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D0DF2" w14:textId="77777777" w:rsidR="00B504E7" w:rsidRPr="00B504E7" w:rsidRDefault="00B504E7" w:rsidP="00B504E7">
      <w:pPr>
        <w:tabs>
          <w:tab w:val="left" w:pos="5778"/>
        </w:tabs>
        <w:rPr>
          <w:rFonts w:cstheme="minorHAnsi"/>
          <w:sz w:val="22"/>
          <w:szCs w:val="22"/>
        </w:rPr>
      </w:pPr>
      <w:r w:rsidRPr="00B504E7">
        <w:rPr>
          <w:rFonts w:cstheme="minorHAnsi"/>
          <w:sz w:val="22"/>
          <w:szCs w:val="22"/>
        </w:rPr>
        <w:t>Skills in clinical settings</w:t>
      </w:r>
    </w:p>
    <w:p w14:paraId="2D7D07E8" w14:textId="77777777" w:rsidR="00B504E7" w:rsidRPr="00B504E7" w:rsidRDefault="00B504E7" w:rsidP="00B504E7">
      <w:pPr>
        <w:tabs>
          <w:tab w:val="left" w:pos="5778"/>
        </w:tabs>
        <w:rPr>
          <w:rFonts w:cstheme="minorHAnsi"/>
          <w:sz w:val="22"/>
          <w:szCs w:val="22"/>
        </w:rPr>
      </w:pPr>
      <w:r w:rsidRPr="00B504E7">
        <w:rPr>
          <w:rFonts w:cstheme="minorHAnsi"/>
          <w:sz w:val="22"/>
          <w:szCs w:val="22"/>
        </w:rPr>
        <w:t>Learning more about research</w:t>
      </w:r>
    </w:p>
    <w:p w14:paraId="30A52706" w14:textId="77777777" w:rsidR="00B504E7" w:rsidRPr="00B504E7" w:rsidRDefault="00B504E7" w:rsidP="00B504E7">
      <w:pPr>
        <w:tabs>
          <w:tab w:val="left" w:pos="5778"/>
        </w:tabs>
        <w:rPr>
          <w:rFonts w:cstheme="minorHAnsi"/>
          <w:sz w:val="22"/>
          <w:szCs w:val="22"/>
        </w:rPr>
      </w:pPr>
      <w:r w:rsidRPr="00B504E7">
        <w:rPr>
          <w:rFonts w:cstheme="minorHAnsi"/>
          <w:sz w:val="22"/>
          <w:szCs w:val="22"/>
        </w:rPr>
        <w:t>Learning more about interdisciplinary approaches to medicine</w:t>
      </w:r>
    </w:p>
    <w:p w14:paraId="4AD6DF8E" w14:textId="77777777" w:rsidR="00B504E7" w:rsidRPr="00B504E7" w:rsidRDefault="00B504E7" w:rsidP="00B504E7">
      <w:pPr>
        <w:tabs>
          <w:tab w:val="left" w:pos="5778"/>
        </w:tabs>
        <w:rPr>
          <w:rFonts w:cstheme="minorHAnsi"/>
          <w:sz w:val="22"/>
          <w:szCs w:val="22"/>
        </w:rPr>
      </w:pPr>
      <w:r w:rsidRPr="00B504E7">
        <w:rPr>
          <w:rFonts w:cstheme="minorHAnsi"/>
          <w:sz w:val="22"/>
          <w:szCs w:val="22"/>
        </w:rPr>
        <w:t>Learn more about medical sciences</w:t>
      </w:r>
    </w:p>
    <w:p w14:paraId="304B2447" w14:textId="77777777" w:rsidR="00B504E7" w:rsidRPr="00B504E7" w:rsidRDefault="00B504E7" w:rsidP="00B504E7">
      <w:pPr>
        <w:tabs>
          <w:tab w:val="left" w:pos="5778"/>
        </w:tabs>
        <w:rPr>
          <w:rFonts w:cstheme="minorHAnsi"/>
          <w:sz w:val="22"/>
          <w:szCs w:val="22"/>
        </w:rPr>
      </w:pPr>
    </w:p>
    <w:p w14:paraId="4DBB7B87" w14:textId="77777777" w:rsidR="00B504E7" w:rsidRPr="00BD3822" w:rsidRDefault="00B504E7" w:rsidP="00B504E7">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outlineLvl w:val="2"/>
        <w:rPr>
          <w:rFonts w:eastAsia="Times New Roman" w:cstheme="minorHAnsi"/>
          <w:b/>
          <w:bCs/>
          <w:color w:val="212121"/>
          <w:spacing w:val="6"/>
          <w:sz w:val="22"/>
          <w:szCs w:val="22"/>
        </w:rPr>
      </w:pPr>
      <w:r w:rsidRPr="00BD3822">
        <w:rPr>
          <w:rFonts w:eastAsia="Times New Roman" w:cstheme="minorHAnsi"/>
          <w:b/>
          <w:bCs/>
          <w:color w:val="212121"/>
          <w:spacing w:val="6"/>
          <w:sz w:val="22"/>
          <w:szCs w:val="22"/>
        </w:rPr>
        <w:t>KIN_V 562 (3) </w:t>
      </w:r>
      <w:r w:rsidRPr="00BD3822">
        <w:rPr>
          <w:rFonts w:eastAsia="Times New Roman" w:cstheme="minorHAnsi"/>
          <w:b/>
          <w:bCs/>
          <w:color w:val="212121"/>
          <w:spacing w:val="6"/>
          <w:sz w:val="22"/>
          <w:szCs w:val="22"/>
          <w:bdr w:val="single" w:sz="2" w:space="0" w:color="auto" w:frame="1"/>
        </w:rPr>
        <w:t>Bioenergetics of Physical Activity</w:t>
      </w:r>
    </w:p>
    <w:p w14:paraId="2C7ECBAD" w14:textId="77777777" w:rsidR="00B504E7" w:rsidRPr="00BD3822" w:rsidRDefault="00B504E7" w:rsidP="00B504E7">
      <w:pPr>
        <w:pBdr>
          <w:top w:val="single" w:sz="2" w:space="0" w:color="auto"/>
          <w:left w:val="single" w:sz="2" w:space="0" w:color="auto"/>
          <w:bottom w:val="single" w:sz="2" w:space="0" w:color="auto"/>
          <w:right w:val="single" w:sz="2" w:space="0" w:color="auto"/>
        </w:pBdr>
        <w:shd w:val="clear" w:color="auto" w:fill="FFFFFF"/>
        <w:ind w:left="720"/>
        <w:rPr>
          <w:rFonts w:eastAsia="Times New Roman" w:cstheme="minorHAnsi"/>
          <w:color w:val="212121"/>
          <w:sz w:val="22"/>
          <w:szCs w:val="22"/>
        </w:rPr>
      </w:pPr>
      <w:r w:rsidRPr="00BD3822">
        <w:rPr>
          <w:rFonts w:eastAsia="Times New Roman" w:cstheme="minorHAnsi"/>
          <w:color w:val="212121"/>
          <w:sz w:val="22"/>
          <w:szCs w:val="22"/>
        </w:rPr>
        <w:t>Basic energy systems of the human body; primarily concentrating on the bioenergetics of the skeletal muscle cell, recovery from muscular work, substrate utilization, muscle fiber types, strength, endurance and the physiological assessment of maximal performance. </w:t>
      </w:r>
      <w:r w:rsidRPr="00BD3822">
        <w:rPr>
          <w:rFonts w:eastAsia="Times New Roman" w:cstheme="minorHAnsi"/>
          <w:i/>
          <w:iCs/>
          <w:color w:val="212121"/>
          <w:sz w:val="22"/>
          <w:szCs w:val="22"/>
          <w:bdr w:val="single" w:sz="2" w:space="0" w:color="auto" w:frame="1"/>
        </w:rPr>
        <w:t>This course is not eligible for Credit/D/Fail grading.</w:t>
      </w:r>
    </w:p>
    <w:p w14:paraId="17587954" w14:textId="77777777" w:rsidR="00B504E7" w:rsidRPr="00BD3822" w:rsidRDefault="00B504E7" w:rsidP="00B504E7">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outlineLvl w:val="2"/>
        <w:rPr>
          <w:rFonts w:eastAsia="Times New Roman" w:cstheme="minorHAnsi"/>
          <w:b/>
          <w:bCs/>
          <w:color w:val="212121"/>
          <w:spacing w:val="6"/>
          <w:sz w:val="22"/>
          <w:szCs w:val="22"/>
        </w:rPr>
      </w:pPr>
      <w:r w:rsidRPr="00BD3822">
        <w:rPr>
          <w:rFonts w:eastAsia="Times New Roman" w:cstheme="minorHAnsi"/>
          <w:b/>
          <w:bCs/>
          <w:color w:val="212121"/>
          <w:spacing w:val="6"/>
          <w:sz w:val="22"/>
          <w:szCs w:val="22"/>
        </w:rPr>
        <w:t>KIN_V 563 (3) </w:t>
      </w:r>
      <w:r w:rsidRPr="00BD3822">
        <w:rPr>
          <w:rFonts w:eastAsia="Times New Roman" w:cstheme="minorHAnsi"/>
          <w:b/>
          <w:bCs/>
          <w:color w:val="212121"/>
          <w:spacing w:val="6"/>
          <w:sz w:val="22"/>
          <w:szCs w:val="22"/>
          <w:bdr w:val="single" w:sz="2" w:space="0" w:color="auto" w:frame="1"/>
        </w:rPr>
        <w:t>Measurement of Human Motion</w:t>
      </w:r>
    </w:p>
    <w:p w14:paraId="383337F3" w14:textId="77777777" w:rsidR="00B504E7" w:rsidRPr="00BD3822" w:rsidRDefault="00B504E7" w:rsidP="00B504E7">
      <w:pPr>
        <w:pBdr>
          <w:top w:val="single" w:sz="2" w:space="0" w:color="auto"/>
          <w:left w:val="single" w:sz="2" w:space="0" w:color="auto"/>
          <w:bottom w:val="single" w:sz="2" w:space="0" w:color="auto"/>
          <w:right w:val="single" w:sz="2" w:space="0" w:color="auto"/>
        </w:pBdr>
        <w:shd w:val="clear" w:color="auto" w:fill="FFFFFF"/>
        <w:ind w:left="720"/>
        <w:rPr>
          <w:rFonts w:eastAsia="Times New Roman" w:cstheme="minorHAnsi"/>
          <w:color w:val="212121"/>
          <w:sz w:val="22"/>
          <w:szCs w:val="22"/>
        </w:rPr>
      </w:pPr>
      <w:r w:rsidRPr="00BD3822">
        <w:rPr>
          <w:rFonts w:eastAsia="Times New Roman" w:cstheme="minorHAnsi"/>
          <w:color w:val="212121"/>
          <w:sz w:val="22"/>
          <w:szCs w:val="22"/>
        </w:rPr>
        <w:t>A critical evaluation of research tools used to measure and assess human motor performance including electromyography, anthropometry, ergometers, indirect calorimetry, cinematography, and indirect dynamics. </w:t>
      </w:r>
      <w:r w:rsidRPr="00BD3822">
        <w:rPr>
          <w:rFonts w:eastAsia="Times New Roman" w:cstheme="minorHAnsi"/>
          <w:i/>
          <w:iCs/>
          <w:color w:val="212121"/>
          <w:sz w:val="22"/>
          <w:szCs w:val="22"/>
          <w:bdr w:val="single" w:sz="2" w:space="0" w:color="auto" w:frame="1"/>
        </w:rPr>
        <w:t>This course is not eligible for Credit/D/Fail grading.</w:t>
      </w:r>
    </w:p>
    <w:p w14:paraId="1FF6341B" w14:textId="77777777" w:rsidR="00B504E7" w:rsidRPr="00B504E7" w:rsidRDefault="00B504E7" w:rsidP="00B504E7">
      <w:pPr>
        <w:pStyle w:val="Heading3"/>
        <w:numPr>
          <w:ilvl w:val="0"/>
          <w:numId w:val="3"/>
        </w:numPr>
        <w:pBdr>
          <w:top w:val="single" w:sz="2" w:space="0" w:color="auto"/>
          <w:left w:val="single" w:sz="2" w:space="0" w:color="auto"/>
          <w:bottom w:val="single" w:sz="2" w:space="0" w:color="auto"/>
          <w:right w:val="single" w:sz="2" w:space="0" w:color="auto"/>
        </w:pBdr>
        <w:shd w:val="clear" w:color="auto" w:fill="FFFFFF"/>
        <w:tabs>
          <w:tab w:val="clear" w:pos="720"/>
        </w:tabs>
        <w:spacing w:after="0" w:afterAutospacing="0"/>
        <w:rPr>
          <w:rFonts w:asciiTheme="minorHAnsi" w:hAnsiTheme="minorHAnsi" w:cstheme="minorHAnsi"/>
          <w:color w:val="212121"/>
          <w:spacing w:val="6"/>
          <w:sz w:val="22"/>
          <w:szCs w:val="22"/>
        </w:rPr>
      </w:pPr>
      <w:r w:rsidRPr="00B504E7">
        <w:rPr>
          <w:rFonts w:asciiTheme="minorHAnsi" w:hAnsiTheme="minorHAnsi" w:cstheme="minorHAnsi"/>
          <w:color w:val="212121"/>
          <w:spacing w:val="6"/>
          <w:sz w:val="22"/>
          <w:szCs w:val="22"/>
        </w:rPr>
        <w:t>KIN_V 574 (3) </w:t>
      </w:r>
      <w:r w:rsidRPr="00B504E7">
        <w:rPr>
          <w:rStyle w:val="Strong"/>
          <w:rFonts w:asciiTheme="minorHAnsi" w:hAnsiTheme="minorHAnsi" w:cstheme="minorHAnsi"/>
          <w:b/>
          <w:bCs/>
          <w:color w:val="212121"/>
          <w:spacing w:val="6"/>
          <w:sz w:val="22"/>
          <w:szCs w:val="22"/>
          <w:bdr w:val="single" w:sz="2" w:space="0" w:color="auto" w:frame="1"/>
        </w:rPr>
        <w:t>Seminar in Health Promotion Through Physical Activity</w:t>
      </w:r>
    </w:p>
    <w:p w14:paraId="4339A695" w14:textId="77777777" w:rsidR="00B504E7" w:rsidRPr="00B504E7" w:rsidRDefault="00B504E7" w:rsidP="00B504E7">
      <w:pPr>
        <w:pStyle w:val="mt-0"/>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ind w:left="720"/>
        <w:rPr>
          <w:rFonts w:asciiTheme="minorHAnsi" w:hAnsiTheme="minorHAnsi" w:cstheme="minorHAnsi"/>
          <w:color w:val="212121"/>
          <w:sz w:val="22"/>
          <w:szCs w:val="22"/>
        </w:rPr>
      </w:pPr>
      <w:r w:rsidRPr="00B504E7">
        <w:rPr>
          <w:rFonts w:asciiTheme="minorHAnsi" w:hAnsiTheme="minorHAnsi" w:cstheme="minorHAnsi"/>
          <w:color w:val="212121"/>
          <w:sz w:val="22"/>
          <w:szCs w:val="22"/>
        </w:rPr>
        <w:t>The relationship of new concepts in health to the promotion of health through physical activity; the application of research findings from a number of disciplines to the identification, selection, and targeting of health promotion/education strategies related to physical activity. </w:t>
      </w:r>
      <w:r w:rsidRPr="00B504E7">
        <w:rPr>
          <w:rStyle w:val="Emphasis"/>
          <w:rFonts w:asciiTheme="minorHAnsi" w:hAnsiTheme="minorHAnsi" w:cstheme="minorHAnsi"/>
          <w:color w:val="212121"/>
          <w:sz w:val="22"/>
          <w:szCs w:val="22"/>
          <w:bdr w:val="single" w:sz="2" w:space="0" w:color="auto" w:frame="1"/>
        </w:rPr>
        <w:t>This course is not eligible for Credit/D/Fail grading.</w:t>
      </w:r>
    </w:p>
    <w:p w14:paraId="15B87381" w14:textId="77777777" w:rsidR="00B504E7" w:rsidRPr="00B504E7" w:rsidRDefault="00B504E7" w:rsidP="00B504E7">
      <w:pPr>
        <w:pStyle w:val="Heading1"/>
        <w:shd w:val="clear" w:color="auto" w:fill="FFFFFF"/>
        <w:rPr>
          <w:rFonts w:asciiTheme="minorHAnsi" w:hAnsiTheme="minorHAnsi" w:cstheme="minorHAnsi"/>
          <w:color w:val="002145"/>
          <w:sz w:val="22"/>
          <w:szCs w:val="22"/>
        </w:rPr>
      </w:pPr>
      <w:r w:rsidRPr="00B504E7">
        <w:rPr>
          <w:rFonts w:asciiTheme="minorHAnsi" w:hAnsiTheme="minorHAnsi" w:cstheme="minorHAnsi"/>
          <w:color w:val="002145"/>
          <w:sz w:val="22"/>
          <w:szCs w:val="22"/>
        </w:rPr>
        <w:t>ANAT_V 392 - Gross Anatomy of the Limbs and Trunk (4 credits)</w:t>
      </w:r>
    </w:p>
    <w:p w14:paraId="6033D961" w14:textId="77777777" w:rsidR="00B504E7" w:rsidRPr="00B504E7" w:rsidRDefault="00B504E7" w:rsidP="00B504E7">
      <w:pPr>
        <w:pStyle w:val="NormalWeb"/>
        <w:shd w:val="clear" w:color="auto" w:fill="FFFFFF"/>
        <w:spacing w:before="0" w:beforeAutospacing="0" w:after="240" w:afterAutospacing="0"/>
        <w:rPr>
          <w:rFonts w:asciiTheme="minorHAnsi" w:hAnsiTheme="minorHAnsi" w:cstheme="minorHAnsi"/>
          <w:color w:val="002145"/>
          <w:sz w:val="22"/>
          <w:szCs w:val="22"/>
        </w:rPr>
      </w:pPr>
      <w:r w:rsidRPr="00B504E7">
        <w:rPr>
          <w:rFonts w:asciiTheme="minorHAnsi" w:hAnsiTheme="minorHAnsi" w:cstheme="minorHAnsi"/>
          <w:color w:val="002145"/>
          <w:sz w:val="22"/>
          <w:szCs w:val="22"/>
        </w:rPr>
        <w:t>Lectures and laboratory sessions on the human gross and functional anatomy of the limbs and trunk. The course includes the study of predissected specimens. For credit only in the Department of Physical Therapy.</w:t>
      </w:r>
    </w:p>
    <w:p w14:paraId="40273CF3" w14:textId="77777777" w:rsidR="00B504E7" w:rsidRPr="00B504E7" w:rsidRDefault="00B504E7" w:rsidP="00B504E7">
      <w:pPr>
        <w:tabs>
          <w:tab w:val="left" w:pos="5778"/>
        </w:tabs>
        <w:rPr>
          <w:rFonts w:cstheme="minorHAnsi"/>
          <w:sz w:val="22"/>
          <w:szCs w:val="22"/>
        </w:rPr>
      </w:pPr>
      <w:r w:rsidRPr="00B504E7">
        <w:rPr>
          <w:rFonts w:cstheme="minorHAnsi"/>
          <w:noProof/>
          <w:sz w:val="22"/>
          <w:szCs w:val="22"/>
        </w:rPr>
        <w:drawing>
          <wp:inline distT="0" distB="0" distL="0" distR="0" wp14:anchorId="44FAEFBC" wp14:editId="69CBD9BC">
            <wp:extent cx="5943600" cy="2703830"/>
            <wp:effectExtent l="0" t="0" r="0" b="127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03830"/>
                    </a:xfrm>
                    <a:prstGeom prst="rect">
                      <a:avLst/>
                    </a:prstGeom>
                  </pic:spPr>
                </pic:pic>
              </a:graphicData>
            </a:graphic>
          </wp:inline>
        </w:drawing>
      </w:r>
    </w:p>
    <w:p w14:paraId="3C5A0088" w14:textId="77777777" w:rsidR="00B504E7" w:rsidRPr="00B504E7" w:rsidRDefault="00000000" w:rsidP="00B504E7">
      <w:pPr>
        <w:tabs>
          <w:tab w:val="left" w:pos="5778"/>
        </w:tabs>
        <w:rPr>
          <w:rFonts w:cstheme="minorHAnsi"/>
          <w:color w:val="222222"/>
          <w:sz w:val="22"/>
          <w:szCs w:val="22"/>
          <w:shd w:val="clear" w:color="auto" w:fill="FFFFFF"/>
        </w:rPr>
      </w:pPr>
      <w:hyperlink r:id="rId6" w:tgtFrame="_blank" w:history="1">
        <w:r w:rsidR="00B504E7" w:rsidRPr="00B504E7">
          <w:rPr>
            <w:rFonts w:cstheme="minorHAnsi"/>
            <w:b/>
            <w:bCs/>
            <w:color w:val="007E2E"/>
            <w:sz w:val="22"/>
            <w:szCs w:val="22"/>
            <w:shd w:val="clear" w:color="auto" w:fill="FFFFFF"/>
          </w:rPr>
          <w:br/>
        </w:r>
        <w:r w:rsidR="00B504E7" w:rsidRPr="00B504E7">
          <w:rPr>
            <w:rStyle w:val="Hyperlink"/>
            <w:rFonts w:cstheme="minorHAnsi"/>
            <w:b/>
            <w:bCs/>
            <w:color w:val="007E2E"/>
            <w:sz w:val="22"/>
            <w:szCs w:val="22"/>
            <w:shd w:val="clear" w:color="auto" w:fill="FFFFFF"/>
          </w:rPr>
          <w:t>KIN 420: Prevention of Sports Injuries</w:t>
        </w:r>
      </w:hyperlink>
      <w:r w:rsidR="00B504E7" w:rsidRPr="00B504E7">
        <w:rPr>
          <w:rStyle w:val="Strong"/>
          <w:rFonts w:cstheme="minorHAnsi"/>
          <w:color w:val="222222"/>
          <w:sz w:val="22"/>
          <w:szCs w:val="22"/>
          <w:shd w:val="clear" w:color="auto" w:fill="FFFFFF"/>
        </w:rPr>
        <w:t>:</w:t>
      </w:r>
      <w:r w:rsidR="00B504E7" w:rsidRPr="00B504E7">
        <w:rPr>
          <w:rFonts w:cstheme="minorHAnsi"/>
          <w:color w:val="222222"/>
          <w:sz w:val="22"/>
          <w:szCs w:val="22"/>
          <w:shd w:val="clear" w:color="auto" w:fill="FFFFFF"/>
        </w:rPr>
        <w:t> Training and safety strategies for the prevention of injuries to the musculoskeletal system and sense organs.</w:t>
      </w:r>
    </w:p>
    <w:p w14:paraId="63D33B78" w14:textId="77777777" w:rsidR="00B504E7" w:rsidRPr="00B504E7" w:rsidRDefault="00000000" w:rsidP="00B504E7">
      <w:pPr>
        <w:tabs>
          <w:tab w:val="left" w:pos="5778"/>
        </w:tabs>
        <w:rPr>
          <w:rFonts w:cstheme="minorHAnsi"/>
          <w:color w:val="222222"/>
          <w:sz w:val="22"/>
          <w:szCs w:val="22"/>
          <w:shd w:val="clear" w:color="auto" w:fill="FFFFFF"/>
        </w:rPr>
      </w:pPr>
      <w:hyperlink r:id="rId7" w:tgtFrame="_blank" w:history="1">
        <w:r w:rsidR="00B504E7" w:rsidRPr="00B504E7">
          <w:rPr>
            <w:rStyle w:val="Hyperlink"/>
            <w:rFonts w:cstheme="minorHAnsi"/>
            <w:b/>
            <w:bCs/>
            <w:color w:val="007E2E"/>
            <w:sz w:val="22"/>
            <w:szCs w:val="22"/>
            <w:shd w:val="clear" w:color="auto" w:fill="FFFFFF"/>
          </w:rPr>
          <w:t>KIN 355: Movement Experiences for Young Children</w:t>
        </w:r>
      </w:hyperlink>
      <w:r w:rsidR="00B504E7" w:rsidRPr="00B504E7">
        <w:rPr>
          <w:rStyle w:val="Strong"/>
          <w:rFonts w:cstheme="minorHAnsi"/>
          <w:color w:val="222222"/>
          <w:sz w:val="22"/>
          <w:szCs w:val="22"/>
          <w:shd w:val="clear" w:color="auto" w:fill="FFFFFF"/>
        </w:rPr>
        <w:t>: </w:t>
      </w:r>
      <w:r w:rsidR="00B504E7" w:rsidRPr="00B504E7">
        <w:rPr>
          <w:rFonts w:cstheme="minorHAnsi"/>
          <w:color w:val="222222"/>
          <w:sz w:val="22"/>
          <w:szCs w:val="22"/>
          <w:shd w:val="clear" w:color="auto" w:fill="FFFFFF"/>
        </w:rPr>
        <w:t>The design and implementation of movement experiences for children in early childhood years.</w:t>
      </w:r>
    </w:p>
    <w:p w14:paraId="399D512C" w14:textId="77777777" w:rsidR="00B504E7" w:rsidRPr="00B504E7" w:rsidRDefault="00B504E7" w:rsidP="00B504E7">
      <w:pPr>
        <w:tabs>
          <w:tab w:val="left" w:pos="5778"/>
        </w:tabs>
        <w:rPr>
          <w:rFonts w:cstheme="minorHAnsi"/>
          <w:color w:val="222222"/>
          <w:sz w:val="22"/>
          <w:szCs w:val="22"/>
          <w:shd w:val="clear" w:color="auto" w:fill="FFFFFF"/>
        </w:rPr>
      </w:pPr>
      <w:r w:rsidRPr="00B504E7">
        <w:rPr>
          <w:rStyle w:val="Strong"/>
          <w:rFonts w:cstheme="minorHAnsi"/>
          <w:color w:val="222222"/>
          <w:sz w:val="22"/>
          <w:szCs w:val="22"/>
          <w:shd w:val="clear" w:color="auto" w:fill="FFFFFF"/>
        </w:rPr>
        <w:t xml:space="preserve">Medi 501: </w:t>
      </w:r>
      <w:r w:rsidRPr="00B504E7">
        <w:rPr>
          <w:rFonts w:cstheme="minorHAnsi"/>
          <w:color w:val="222222"/>
          <w:sz w:val="22"/>
          <w:szCs w:val="22"/>
          <w:shd w:val="clear" w:color="auto" w:fill="FFFFFF"/>
        </w:rPr>
        <w:t>Molecular and Cellular Biology of Experimental Medicine. Cell and molecular function in normal tissues and in specific disease processes, including genetic, viral, bacterial, immune and physiological disorders. This course is held in the Fall term (Sept.-Dec.) at the Eye Care Centre. </w:t>
      </w:r>
    </w:p>
    <w:p w14:paraId="633FD202" w14:textId="77777777" w:rsidR="00B504E7" w:rsidRPr="00B504E7" w:rsidRDefault="00B504E7" w:rsidP="00B504E7">
      <w:pPr>
        <w:tabs>
          <w:tab w:val="left" w:pos="5778"/>
        </w:tabs>
        <w:rPr>
          <w:rFonts w:cstheme="minorHAnsi"/>
          <w:color w:val="222222"/>
          <w:sz w:val="22"/>
          <w:szCs w:val="22"/>
          <w:shd w:val="clear" w:color="auto" w:fill="FFFFFF"/>
        </w:rPr>
      </w:pPr>
    </w:p>
    <w:p w14:paraId="22688C71" w14:textId="77777777" w:rsidR="00B504E7" w:rsidRPr="00B504E7" w:rsidRDefault="00B504E7" w:rsidP="00B504E7">
      <w:pPr>
        <w:tabs>
          <w:tab w:val="left" w:pos="5778"/>
        </w:tabs>
        <w:rPr>
          <w:rFonts w:cstheme="minorHAnsi"/>
          <w:color w:val="222222"/>
          <w:sz w:val="22"/>
          <w:szCs w:val="22"/>
          <w:shd w:val="clear" w:color="auto" w:fill="FFFFFF"/>
        </w:rPr>
      </w:pPr>
      <w:r w:rsidRPr="00B504E7">
        <w:rPr>
          <w:rFonts w:cstheme="minorHAnsi"/>
          <w:color w:val="222222"/>
          <w:sz w:val="22"/>
          <w:szCs w:val="22"/>
          <w:shd w:val="clear" w:color="auto" w:fill="FFFFFF"/>
        </w:rPr>
        <w:t>I do better with structure, so maybe start with weekly meetings and then move to biweekly in the new year if that works for them?</w:t>
      </w:r>
    </w:p>
    <w:p w14:paraId="1FE08C3E" w14:textId="77777777" w:rsidR="00B504E7" w:rsidRPr="00B504E7" w:rsidRDefault="00B504E7" w:rsidP="00B504E7">
      <w:pPr>
        <w:pStyle w:val="ListParagraph"/>
        <w:numPr>
          <w:ilvl w:val="0"/>
          <w:numId w:val="1"/>
        </w:numPr>
        <w:tabs>
          <w:tab w:val="left" w:pos="5778"/>
        </w:tabs>
        <w:rPr>
          <w:rFonts w:cstheme="minorHAnsi"/>
          <w:color w:val="222222"/>
          <w:sz w:val="22"/>
          <w:szCs w:val="22"/>
          <w:shd w:val="clear" w:color="auto" w:fill="FFFFFF"/>
        </w:rPr>
      </w:pPr>
      <w:r w:rsidRPr="00B504E7">
        <w:rPr>
          <w:rFonts w:cstheme="minorHAnsi"/>
          <w:color w:val="222222"/>
          <w:sz w:val="22"/>
          <w:szCs w:val="22"/>
          <w:shd w:val="clear" w:color="auto" w:fill="FFFFFF"/>
        </w:rPr>
        <w:t>Layout goals/what I should be getting done</w:t>
      </w:r>
    </w:p>
    <w:p w14:paraId="0470DB0D" w14:textId="5948FF29" w:rsidR="00B504E7" w:rsidRPr="00B504E7" w:rsidRDefault="00B504E7" w:rsidP="00B504E7">
      <w:pPr>
        <w:tabs>
          <w:tab w:val="left" w:pos="5778"/>
        </w:tabs>
        <w:rPr>
          <w:rFonts w:cstheme="minorHAnsi"/>
          <w:color w:val="222222"/>
          <w:sz w:val="22"/>
          <w:szCs w:val="22"/>
          <w:shd w:val="clear" w:color="auto" w:fill="FFFFFF"/>
        </w:rPr>
      </w:pPr>
      <w:r w:rsidRPr="00B504E7">
        <w:rPr>
          <w:rFonts w:cstheme="minorHAnsi"/>
          <w:color w:val="222222"/>
          <w:sz w:val="22"/>
          <w:szCs w:val="22"/>
          <w:shd w:val="clear" w:color="auto" w:fill="FFFFFF"/>
        </w:rPr>
        <w:t>Work computer?</w:t>
      </w:r>
      <w:r w:rsidR="00F779A2">
        <w:rPr>
          <w:rFonts w:cstheme="minorHAnsi"/>
          <w:color w:val="222222"/>
          <w:sz w:val="22"/>
          <w:szCs w:val="22"/>
          <w:shd w:val="clear" w:color="auto" w:fill="FFFFFF"/>
        </w:rPr>
        <w:t xml:space="preserve"> NO</w:t>
      </w:r>
    </w:p>
    <w:p w14:paraId="789041DC" w14:textId="77777777" w:rsidR="00B504E7" w:rsidRPr="00B504E7" w:rsidRDefault="00B504E7" w:rsidP="00B504E7">
      <w:pPr>
        <w:tabs>
          <w:tab w:val="left" w:pos="5778"/>
        </w:tabs>
        <w:rPr>
          <w:rFonts w:cstheme="minorHAnsi"/>
          <w:color w:val="222222"/>
          <w:sz w:val="22"/>
          <w:szCs w:val="22"/>
          <w:shd w:val="clear" w:color="auto" w:fill="FFFFFF"/>
        </w:rPr>
      </w:pPr>
      <w:r w:rsidRPr="00B504E7">
        <w:rPr>
          <w:rFonts w:cstheme="minorHAnsi"/>
          <w:color w:val="222222"/>
          <w:sz w:val="22"/>
          <w:szCs w:val="22"/>
          <w:shd w:val="clear" w:color="auto" w:fill="FFFFFF"/>
        </w:rPr>
        <w:t>Going into the lab?</w:t>
      </w:r>
    </w:p>
    <w:p w14:paraId="0F2F0F21" w14:textId="6071A870" w:rsidR="00000000" w:rsidRDefault="00B504E7" w:rsidP="00B504E7">
      <w:pPr>
        <w:tabs>
          <w:tab w:val="left" w:pos="5778"/>
        </w:tabs>
        <w:rPr>
          <w:rFonts w:cstheme="minorHAnsi"/>
          <w:color w:val="222222"/>
          <w:sz w:val="22"/>
          <w:szCs w:val="22"/>
          <w:shd w:val="clear" w:color="auto" w:fill="FFFFFF"/>
        </w:rPr>
      </w:pPr>
      <w:r w:rsidRPr="00B504E7">
        <w:rPr>
          <w:rFonts w:cstheme="minorHAnsi"/>
          <w:color w:val="222222"/>
          <w:sz w:val="22"/>
          <w:szCs w:val="22"/>
          <w:shd w:val="clear" w:color="auto" w:fill="FFFFFF"/>
        </w:rPr>
        <w:t>Layout of the program/thesis</w:t>
      </w:r>
    </w:p>
    <w:p w14:paraId="792A3FC7" w14:textId="64DDB7BE" w:rsidR="00F779A2" w:rsidRDefault="00F779A2" w:rsidP="00B504E7">
      <w:pPr>
        <w:tabs>
          <w:tab w:val="left" w:pos="5778"/>
        </w:tabs>
        <w:rPr>
          <w:rFonts w:cstheme="minorHAnsi"/>
          <w:color w:val="222222"/>
          <w:sz w:val="22"/>
          <w:szCs w:val="22"/>
          <w:shd w:val="clear" w:color="auto" w:fill="FFFFFF"/>
        </w:rPr>
      </w:pPr>
      <w:r>
        <w:rPr>
          <w:rFonts w:cstheme="minorHAnsi"/>
          <w:color w:val="222222"/>
          <w:sz w:val="22"/>
          <w:szCs w:val="22"/>
          <w:shd w:val="clear" w:color="auto" w:fill="FFFFFF"/>
        </w:rPr>
        <w:t>GETTING EMAIL – access to folders</w:t>
      </w:r>
    </w:p>
    <w:p w14:paraId="16CA9291" w14:textId="746589E8" w:rsidR="00B504E7" w:rsidRDefault="00B504E7" w:rsidP="00B504E7">
      <w:pPr>
        <w:tabs>
          <w:tab w:val="left" w:pos="5778"/>
        </w:tabs>
        <w:rPr>
          <w:rFonts w:cstheme="minorHAnsi"/>
          <w:color w:val="222222"/>
          <w:sz w:val="22"/>
          <w:szCs w:val="22"/>
          <w:shd w:val="clear" w:color="auto" w:fill="FFFFFF"/>
        </w:rPr>
      </w:pPr>
    </w:p>
    <w:p w14:paraId="76688330" w14:textId="36BCEEB7" w:rsidR="00B504E7" w:rsidRDefault="00B504E7" w:rsidP="00B504E7">
      <w:pPr>
        <w:tabs>
          <w:tab w:val="left" w:pos="5778"/>
        </w:tabs>
        <w:rPr>
          <w:rFonts w:cstheme="minorHAnsi"/>
          <w:color w:val="222222"/>
          <w:sz w:val="22"/>
          <w:szCs w:val="22"/>
          <w:shd w:val="clear" w:color="auto" w:fill="FFFFFF"/>
        </w:rPr>
      </w:pPr>
      <w:r>
        <w:rPr>
          <w:rFonts w:cstheme="minorHAnsi"/>
          <w:color w:val="222222"/>
          <w:sz w:val="22"/>
          <w:szCs w:val="22"/>
          <w:shd w:val="clear" w:color="auto" w:fill="FFFFFF"/>
        </w:rPr>
        <w:t>Research statistics/methodology courses</w:t>
      </w:r>
    </w:p>
    <w:p w14:paraId="091EBE45" w14:textId="0B66015B" w:rsidR="00B504E7" w:rsidRPr="00B504E7" w:rsidRDefault="00B504E7" w:rsidP="00B504E7">
      <w:pPr>
        <w:pStyle w:val="ListParagraph"/>
        <w:numPr>
          <w:ilvl w:val="0"/>
          <w:numId w:val="1"/>
        </w:numPr>
        <w:tabs>
          <w:tab w:val="left" w:pos="5778"/>
        </w:tabs>
        <w:rPr>
          <w:rFonts w:cstheme="minorHAnsi"/>
          <w:color w:val="222222"/>
          <w:sz w:val="22"/>
          <w:szCs w:val="22"/>
          <w:shd w:val="clear" w:color="auto" w:fill="FFFFFF"/>
        </w:rPr>
      </w:pPr>
      <w:r>
        <w:rPr>
          <w:rFonts w:cstheme="minorHAnsi"/>
          <w:color w:val="222222"/>
          <w:sz w:val="22"/>
          <w:szCs w:val="22"/>
          <w:shd w:val="clear" w:color="auto" w:fill="FFFFFF"/>
        </w:rPr>
        <w:t>Methodology or stats side</w:t>
      </w:r>
    </w:p>
    <w:p w14:paraId="16664017" w14:textId="634EA406" w:rsidR="00B504E7" w:rsidRDefault="00B504E7" w:rsidP="00B504E7">
      <w:pPr>
        <w:tabs>
          <w:tab w:val="left" w:pos="5778"/>
        </w:tabs>
        <w:rPr>
          <w:rFonts w:cstheme="minorHAnsi"/>
          <w:color w:val="222222"/>
          <w:sz w:val="22"/>
          <w:szCs w:val="22"/>
          <w:shd w:val="clear" w:color="auto" w:fill="FFFFFF"/>
        </w:rPr>
      </w:pPr>
      <w:r>
        <w:rPr>
          <w:rFonts w:cstheme="minorHAnsi"/>
          <w:color w:val="222222"/>
          <w:sz w:val="22"/>
          <w:szCs w:val="22"/>
          <w:shd w:val="clear" w:color="auto" w:fill="FFFFFF"/>
        </w:rPr>
        <w:t>Survey and device based research</w:t>
      </w:r>
    </w:p>
    <w:p w14:paraId="7E2FEB4D" w14:textId="113DBBD8" w:rsidR="00B504E7" w:rsidRDefault="00B504E7" w:rsidP="00B504E7">
      <w:pPr>
        <w:tabs>
          <w:tab w:val="left" w:pos="5778"/>
        </w:tabs>
        <w:rPr>
          <w:rFonts w:cstheme="minorHAnsi"/>
          <w:color w:val="222222"/>
          <w:sz w:val="22"/>
          <w:szCs w:val="22"/>
          <w:shd w:val="clear" w:color="auto" w:fill="FFFFFF"/>
        </w:rPr>
      </w:pPr>
      <w:r>
        <w:rPr>
          <w:rFonts w:cstheme="minorHAnsi"/>
          <w:color w:val="222222"/>
          <w:sz w:val="22"/>
          <w:szCs w:val="22"/>
          <w:shd w:val="clear" w:color="auto" w:fill="FFFFFF"/>
        </w:rPr>
        <w:t>Spph = 400 level intro to stats (mike mar</w:t>
      </w:r>
      <w:r w:rsidR="00F779A2">
        <w:rPr>
          <w:rFonts w:cstheme="minorHAnsi"/>
          <w:color w:val="222222"/>
          <w:sz w:val="22"/>
          <w:szCs w:val="22"/>
          <w:shd w:val="clear" w:color="auto" w:fill="FFFFFF"/>
        </w:rPr>
        <w:t>i</w:t>
      </w:r>
      <w:r>
        <w:rPr>
          <w:rFonts w:cstheme="minorHAnsi"/>
          <w:color w:val="222222"/>
          <w:sz w:val="22"/>
          <w:szCs w:val="22"/>
          <w:shd w:val="clear" w:color="auto" w:fill="FFFFFF"/>
        </w:rPr>
        <w:t>n)</w:t>
      </w:r>
    </w:p>
    <w:p w14:paraId="05876867" w14:textId="28DED701" w:rsidR="00B504E7" w:rsidRDefault="00F779A2" w:rsidP="00B504E7">
      <w:pPr>
        <w:tabs>
          <w:tab w:val="left" w:pos="5778"/>
        </w:tabs>
        <w:rPr>
          <w:rFonts w:cstheme="minorHAnsi"/>
          <w:color w:val="222222"/>
          <w:sz w:val="22"/>
          <w:szCs w:val="22"/>
          <w:shd w:val="clear" w:color="auto" w:fill="FFFFFF"/>
        </w:rPr>
      </w:pPr>
      <w:r>
        <w:rPr>
          <w:rFonts w:cstheme="minorHAnsi"/>
          <w:color w:val="222222"/>
          <w:sz w:val="22"/>
          <w:szCs w:val="22"/>
          <w:shd w:val="clear" w:color="auto" w:fill="FFFFFF"/>
        </w:rPr>
        <w:t>Directed studies</w:t>
      </w:r>
    </w:p>
    <w:p w14:paraId="07EB192F" w14:textId="754D5F49" w:rsidR="00F779A2" w:rsidRDefault="00F779A2" w:rsidP="00B504E7">
      <w:pPr>
        <w:tabs>
          <w:tab w:val="left" w:pos="5778"/>
        </w:tabs>
        <w:rPr>
          <w:rFonts w:cstheme="minorHAnsi"/>
          <w:color w:val="222222"/>
          <w:sz w:val="22"/>
          <w:szCs w:val="22"/>
          <w:shd w:val="clear" w:color="auto" w:fill="FFFFFF"/>
        </w:rPr>
      </w:pPr>
    </w:p>
    <w:p w14:paraId="344D5AFF" w14:textId="30B37E18" w:rsidR="00057C5B" w:rsidRDefault="00057C5B" w:rsidP="00B504E7">
      <w:pPr>
        <w:tabs>
          <w:tab w:val="left" w:pos="5778"/>
        </w:tabs>
        <w:rPr>
          <w:rFonts w:cstheme="minorHAnsi"/>
          <w:color w:val="222222"/>
          <w:sz w:val="22"/>
          <w:szCs w:val="22"/>
          <w:shd w:val="clear" w:color="auto" w:fill="FFFFFF"/>
        </w:rPr>
      </w:pPr>
      <w:r>
        <w:rPr>
          <w:rFonts w:cstheme="minorHAnsi"/>
          <w:color w:val="222222"/>
          <w:sz w:val="22"/>
          <w:szCs w:val="22"/>
          <w:shd w:val="clear" w:color="auto" w:fill="FFFFFF"/>
        </w:rPr>
        <w:t>Emily: office in clinical support building (CSB)</w:t>
      </w:r>
    </w:p>
    <w:p w14:paraId="70F93B07" w14:textId="7CF734B6" w:rsidR="00057C5B" w:rsidRPr="00057C5B" w:rsidRDefault="00057C5B" w:rsidP="00057C5B">
      <w:pPr>
        <w:pStyle w:val="ListParagraph"/>
        <w:numPr>
          <w:ilvl w:val="0"/>
          <w:numId w:val="1"/>
        </w:numPr>
        <w:tabs>
          <w:tab w:val="left" w:pos="5778"/>
        </w:tabs>
        <w:rPr>
          <w:rFonts w:cstheme="minorHAnsi"/>
          <w:color w:val="222222"/>
          <w:sz w:val="22"/>
          <w:szCs w:val="22"/>
          <w:shd w:val="clear" w:color="auto" w:fill="FFFFFF"/>
        </w:rPr>
      </w:pPr>
      <w:r>
        <w:rPr>
          <w:rFonts w:cstheme="minorHAnsi"/>
          <w:color w:val="222222"/>
          <w:sz w:val="22"/>
          <w:szCs w:val="22"/>
          <w:shd w:val="clear" w:color="auto" w:fill="FFFFFF"/>
        </w:rPr>
        <w:t>Coordinator office</w:t>
      </w:r>
    </w:p>
    <w:p w14:paraId="06A0CA9F" w14:textId="545BE7F5" w:rsidR="00057C5B" w:rsidRDefault="00057C5B" w:rsidP="00B504E7">
      <w:pPr>
        <w:tabs>
          <w:tab w:val="left" w:pos="5778"/>
        </w:tabs>
        <w:rPr>
          <w:rFonts w:cstheme="minorHAnsi"/>
          <w:color w:val="222222"/>
          <w:sz w:val="22"/>
          <w:szCs w:val="22"/>
          <w:shd w:val="clear" w:color="auto" w:fill="FFFFFF"/>
        </w:rPr>
      </w:pPr>
    </w:p>
    <w:p w14:paraId="64DE8F19" w14:textId="76B4B504" w:rsidR="00A778AC" w:rsidRDefault="00000000" w:rsidP="00B504E7">
      <w:pPr>
        <w:tabs>
          <w:tab w:val="left" w:pos="5778"/>
        </w:tabs>
        <w:rPr>
          <w:rFonts w:ascii="Arial" w:hAnsi="Arial" w:cs="Arial"/>
          <w:color w:val="222222"/>
          <w:sz w:val="21"/>
          <w:szCs w:val="21"/>
          <w:shd w:val="clear" w:color="auto" w:fill="FFFFFF"/>
        </w:rPr>
      </w:pPr>
      <w:hyperlink r:id="rId8" w:history="1">
        <w:r w:rsidR="00A778AC">
          <w:rPr>
            <w:rStyle w:val="Strong"/>
            <w:rFonts w:ascii="Arial" w:hAnsi="Arial" w:cs="Arial"/>
            <w:color w:val="2F5D7C"/>
            <w:sz w:val="21"/>
            <w:szCs w:val="21"/>
            <w:u w:val="single"/>
            <w:shd w:val="clear" w:color="auto" w:fill="FFFFFF"/>
          </w:rPr>
          <w:t>MEDI 535</w:t>
        </w:r>
      </w:hyperlink>
      <w:r w:rsidR="00A778AC">
        <w:rPr>
          <w:rFonts w:ascii="Arial" w:hAnsi="Arial" w:cs="Arial"/>
          <w:color w:val="222222"/>
          <w:sz w:val="21"/>
          <w:szCs w:val="21"/>
          <w:shd w:val="clear" w:color="auto" w:fill="FFFFFF"/>
        </w:rPr>
        <w:t> (3.0 credits) Research Seminar. Reviews of research in selected areas of Experimental Medicine pertaining to skin health and disease, which may include presentation of student's own research results.Students from outside the Program require permission from the Experimental Medicine Office. Please contact Dr. Sunil Kalia for information regarding the schedule.</w:t>
      </w:r>
    </w:p>
    <w:p w14:paraId="67C45CAD" w14:textId="77777777" w:rsidR="00706CA6" w:rsidRDefault="00706CA6" w:rsidP="00B504E7">
      <w:pPr>
        <w:tabs>
          <w:tab w:val="left" w:pos="5778"/>
        </w:tabs>
        <w:rPr>
          <w:rFonts w:ascii="Arial" w:hAnsi="Arial" w:cs="Arial"/>
          <w:color w:val="222222"/>
          <w:sz w:val="21"/>
          <w:szCs w:val="21"/>
          <w:shd w:val="clear" w:color="auto" w:fill="FFFFFF"/>
        </w:rPr>
      </w:pPr>
    </w:p>
    <w:p w14:paraId="6ABC1A6C" w14:textId="77777777" w:rsidR="00706CA6" w:rsidRPr="00706CA6" w:rsidRDefault="00706CA6" w:rsidP="00706CA6">
      <w:pPr>
        <w:tabs>
          <w:tab w:val="left" w:pos="5778"/>
        </w:tabs>
        <w:rPr>
          <w:rFonts w:cstheme="minorHAnsi"/>
          <w:color w:val="222222"/>
          <w:sz w:val="22"/>
          <w:szCs w:val="22"/>
          <w:shd w:val="clear" w:color="auto" w:fill="FFFFFF"/>
          <w:lang w:val="en-US"/>
        </w:rPr>
      </w:pPr>
      <w:r w:rsidRPr="00706CA6">
        <w:rPr>
          <w:rFonts w:cstheme="minorHAnsi"/>
          <w:color w:val="222222"/>
          <w:sz w:val="22"/>
          <w:szCs w:val="22"/>
          <w:shd w:val="clear" w:color="auto" w:fill="FFFFFF"/>
          <w:lang w:val="en-US"/>
        </w:rPr>
        <w:t>Masters program:</w:t>
      </w:r>
    </w:p>
    <w:p w14:paraId="4D4E985F" w14:textId="77777777" w:rsidR="00706CA6" w:rsidRPr="00706CA6" w:rsidRDefault="00706CA6" w:rsidP="00706CA6">
      <w:pPr>
        <w:numPr>
          <w:ilvl w:val="0"/>
          <w:numId w:val="4"/>
        </w:numPr>
        <w:tabs>
          <w:tab w:val="left" w:pos="5778"/>
        </w:tabs>
        <w:rPr>
          <w:rFonts w:cstheme="minorHAnsi"/>
          <w:color w:val="222222"/>
          <w:sz w:val="22"/>
          <w:szCs w:val="22"/>
          <w:shd w:val="clear" w:color="auto" w:fill="FFFFFF"/>
          <w:lang w:val="en-US"/>
        </w:rPr>
      </w:pPr>
      <w:r w:rsidRPr="00706CA6">
        <w:rPr>
          <w:rFonts w:cstheme="minorHAnsi"/>
          <w:color w:val="222222"/>
          <w:sz w:val="22"/>
          <w:szCs w:val="22"/>
          <w:shd w:val="clear" w:color="auto" w:fill="FFFFFF"/>
          <w:lang w:val="en-US"/>
        </w:rPr>
        <w:t>population health</w:t>
      </w:r>
    </w:p>
    <w:p w14:paraId="5B384702" w14:textId="77777777" w:rsidR="00706CA6" w:rsidRPr="00706CA6" w:rsidRDefault="00706CA6" w:rsidP="00706CA6">
      <w:pPr>
        <w:numPr>
          <w:ilvl w:val="1"/>
          <w:numId w:val="4"/>
        </w:numPr>
        <w:tabs>
          <w:tab w:val="left" w:pos="5778"/>
        </w:tabs>
        <w:rPr>
          <w:rFonts w:cstheme="minorHAnsi"/>
          <w:color w:val="222222"/>
          <w:sz w:val="22"/>
          <w:szCs w:val="22"/>
          <w:shd w:val="clear" w:color="auto" w:fill="FFFFFF"/>
          <w:lang w:val="en-US"/>
        </w:rPr>
      </w:pPr>
      <w:r w:rsidRPr="00706CA6">
        <w:rPr>
          <w:rFonts w:cstheme="minorHAnsi"/>
          <w:color w:val="222222"/>
          <w:sz w:val="22"/>
          <w:szCs w:val="22"/>
          <w:shd w:val="clear" w:color="auto" w:fill="FFFFFF"/>
          <w:lang w:val="en-US"/>
        </w:rPr>
        <w:t xml:space="preserve">focused on physical activity </w:t>
      </w:r>
    </w:p>
    <w:p w14:paraId="1908F10B" w14:textId="77777777" w:rsidR="00706CA6" w:rsidRPr="00706CA6" w:rsidRDefault="00706CA6" w:rsidP="00706CA6">
      <w:pPr>
        <w:numPr>
          <w:ilvl w:val="0"/>
          <w:numId w:val="4"/>
        </w:numPr>
        <w:tabs>
          <w:tab w:val="left" w:pos="5778"/>
        </w:tabs>
        <w:rPr>
          <w:rFonts w:cstheme="minorHAnsi"/>
          <w:color w:val="222222"/>
          <w:sz w:val="22"/>
          <w:szCs w:val="22"/>
          <w:shd w:val="clear" w:color="auto" w:fill="FFFFFF"/>
          <w:lang w:val="en-US"/>
        </w:rPr>
      </w:pPr>
      <w:r w:rsidRPr="00706CA6">
        <w:rPr>
          <w:rFonts w:cstheme="minorHAnsi"/>
          <w:color w:val="222222"/>
          <w:sz w:val="22"/>
          <w:szCs w:val="22"/>
          <w:shd w:val="clear" w:color="auto" w:fill="FFFFFF"/>
          <w:lang w:val="en-US"/>
        </w:rPr>
        <w:t xml:space="preserve">development of clinical pathway for the return of physical activity following hip </w:t>
      </w:r>
    </w:p>
    <w:p w14:paraId="0713FA42" w14:textId="77777777" w:rsidR="00706CA6" w:rsidRPr="00706CA6" w:rsidRDefault="00706CA6" w:rsidP="00706CA6">
      <w:pPr>
        <w:numPr>
          <w:ilvl w:val="1"/>
          <w:numId w:val="4"/>
        </w:numPr>
        <w:tabs>
          <w:tab w:val="left" w:pos="5778"/>
        </w:tabs>
        <w:rPr>
          <w:rFonts w:cstheme="minorHAnsi"/>
          <w:color w:val="222222"/>
          <w:sz w:val="22"/>
          <w:szCs w:val="22"/>
          <w:shd w:val="clear" w:color="auto" w:fill="FFFFFF"/>
          <w:lang w:val="en-US"/>
        </w:rPr>
      </w:pPr>
      <w:r w:rsidRPr="00706CA6">
        <w:rPr>
          <w:rFonts w:cstheme="minorHAnsi"/>
          <w:color w:val="222222"/>
          <w:sz w:val="22"/>
          <w:szCs w:val="22"/>
          <w:shd w:val="clear" w:color="auto" w:fill="FFFFFF"/>
          <w:lang w:val="en-US"/>
        </w:rPr>
        <w:t>more prevalent among boys late childhood</w:t>
      </w:r>
    </w:p>
    <w:p w14:paraId="24745F7D" w14:textId="77777777" w:rsidR="00706CA6" w:rsidRPr="00706CA6" w:rsidRDefault="00706CA6" w:rsidP="00706CA6">
      <w:pPr>
        <w:numPr>
          <w:ilvl w:val="1"/>
          <w:numId w:val="4"/>
        </w:numPr>
        <w:tabs>
          <w:tab w:val="left" w:pos="5778"/>
        </w:tabs>
        <w:rPr>
          <w:rFonts w:cstheme="minorHAnsi"/>
          <w:color w:val="222222"/>
          <w:sz w:val="22"/>
          <w:szCs w:val="22"/>
          <w:shd w:val="clear" w:color="auto" w:fill="FFFFFF"/>
          <w:lang w:val="en-US"/>
        </w:rPr>
      </w:pPr>
      <w:r w:rsidRPr="00706CA6">
        <w:rPr>
          <w:rFonts w:cstheme="minorHAnsi"/>
          <w:color w:val="222222"/>
          <w:sz w:val="22"/>
          <w:szCs w:val="22"/>
          <w:shd w:val="clear" w:color="auto" w:fill="FFFFFF"/>
          <w:lang w:val="en-US"/>
        </w:rPr>
        <w:t>femoral head is impacted</w:t>
      </w:r>
    </w:p>
    <w:p w14:paraId="1F800A04" w14:textId="77777777" w:rsidR="00706CA6" w:rsidRPr="00706CA6" w:rsidRDefault="00706CA6" w:rsidP="00706CA6">
      <w:pPr>
        <w:numPr>
          <w:ilvl w:val="1"/>
          <w:numId w:val="4"/>
        </w:numPr>
        <w:tabs>
          <w:tab w:val="left" w:pos="5778"/>
        </w:tabs>
        <w:rPr>
          <w:rFonts w:cstheme="minorHAnsi"/>
          <w:color w:val="222222"/>
          <w:sz w:val="22"/>
          <w:szCs w:val="22"/>
          <w:shd w:val="clear" w:color="auto" w:fill="FFFFFF"/>
          <w:lang w:val="en-US"/>
        </w:rPr>
      </w:pPr>
      <w:r w:rsidRPr="00706CA6">
        <w:rPr>
          <w:rFonts w:cstheme="minorHAnsi"/>
          <w:color w:val="222222"/>
          <w:sz w:val="22"/>
          <w:szCs w:val="22"/>
          <w:shd w:val="clear" w:color="auto" w:fill="FFFFFF"/>
          <w:lang w:val="en-US"/>
        </w:rPr>
        <w:t>need bed rest and avoid physical activity for a period of time</w:t>
      </w:r>
    </w:p>
    <w:p w14:paraId="0E0CF97F" w14:textId="77777777" w:rsidR="00706CA6" w:rsidRPr="00706CA6" w:rsidRDefault="00706CA6" w:rsidP="00706CA6">
      <w:pPr>
        <w:numPr>
          <w:ilvl w:val="1"/>
          <w:numId w:val="4"/>
        </w:numPr>
        <w:tabs>
          <w:tab w:val="left" w:pos="5778"/>
        </w:tabs>
        <w:rPr>
          <w:rFonts w:cstheme="minorHAnsi"/>
          <w:color w:val="222222"/>
          <w:sz w:val="22"/>
          <w:szCs w:val="22"/>
          <w:shd w:val="clear" w:color="auto" w:fill="FFFFFF"/>
          <w:lang w:val="en-US"/>
        </w:rPr>
      </w:pPr>
      <w:r w:rsidRPr="00706CA6">
        <w:rPr>
          <w:rFonts w:cstheme="minorHAnsi"/>
          <w:color w:val="222222"/>
          <w:sz w:val="22"/>
          <w:szCs w:val="22"/>
          <w:shd w:val="clear" w:color="auto" w:fill="FFFFFF"/>
          <w:lang w:val="en-US"/>
        </w:rPr>
        <w:t>there isn’t much guidance on how to safely return to physical activity when hip is clinically okay again</w:t>
      </w:r>
    </w:p>
    <w:p w14:paraId="22CC3FE6" w14:textId="77777777" w:rsidR="00706CA6" w:rsidRPr="00706CA6" w:rsidRDefault="00706CA6" w:rsidP="00706CA6">
      <w:pPr>
        <w:numPr>
          <w:ilvl w:val="0"/>
          <w:numId w:val="4"/>
        </w:numPr>
        <w:tabs>
          <w:tab w:val="left" w:pos="5778"/>
        </w:tabs>
        <w:rPr>
          <w:rFonts w:cstheme="minorHAnsi"/>
          <w:color w:val="222222"/>
          <w:sz w:val="22"/>
          <w:szCs w:val="22"/>
          <w:shd w:val="clear" w:color="auto" w:fill="FFFFFF"/>
          <w:lang w:val="en-US"/>
        </w:rPr>
      </w:pPr>
      <w:r w:rsidRPr="00706CA6">
        <w:rPr>
          <w:rFonts w:cstheme="minorHAnsi"/>
          <w:color w:val="222222"/>
          <w:sz w:val="22"/>
          <w:szCs w:val="22"/>
          <w:shd w:val="clear" w:color="auto" w:fill="FFFFFF"/>
          <w:lang w:val="en-US"/>
        </w:rPr>
        <w:t>lots of variability in what is recommended</w:t>
      </w:r>
    </w:p>
    <w:p w14:paraId="10BC2E54" w14:textId="77777777" w:rsidR="00706CA6" w:rsidRPr="00706CA6" w:rsidRDefault="00706CA6" w:rsidP="00706CA6">
      <w:pPr>
        <w:numPr>
          <w:ilvl w:val="0"/>
          <w:numId w:val="4"/>
        </w:numPr>
        <w:tabs>
          <w:tab w:val="left" w:pos="5778"/>
        </w:tabs>
        <w:rPr>
          <w:rFonts w:cstheme="minorHAnsi"/>
          <w:color w:val="222222"/>
          <w:sz w:val="22"/>
          <w:szCs w:val="22"/>
          <w:shd w:val="clear" w:color="auto" w:fill="FFFFFF"/>
          <w:lang w:val="en-US"/>
        </w:rPr>
      </w:pPr>
      <w:r w:rsidRPr="00706CA6">
        <w:rPr>
          <w:rFonts w:cstheme="minorHAnsi"/>
          <w:color w:val="222222"/>
          <w:sz w:val="22"/>
          <w:szCs w:val="22"/>
          <w:shd w:val="clear" w:color="auto" w:fill="FFFFFF"/>
          <w:lang w:val="en-US"/>
        </w:rPr>
        <w:t>paper outlining methodology</w:t>
      </w:r>
    </w:p>
    <w:p w14:paraId="1E4A02D7" w14:textId="77777777" w:rsidR="00706CA6" w:rsidRPr="00706CA6" w:rsidRDefault="00706CA6" w:rsidP="00706CA6">
      <w:pPr>
        <w:numPr>
          <w:ilvl w:val="1"/>
          <w:numId w:val="4"/>
        </w:numPr>
        <w:tabs>
          <w:tab w:val="left" w:pos="5778"/>
        </w:tabs>
        <w:rPr>
          <w:rFonts w:cstheme="minorHAnsi"/>
          <w:color w:val="222222"/>
          <w:sz w:val="22"/>
          <w:szCs w:val="22"/>
          <w:shd w:val="clear" w:color="auto" w:fill="FFFFFF"/>
          <w:lang w:val="en-US"/>
        </w:rPr>
      </w:pPr>
      <w:r w:rsidRPr="00706CA6">
        <w:rPr>
          <w:rFonts w:cstheme="minorHAnsi"/>
          <w:color w:val="222222"/>
          <w:sz w:val="22"/>
          <w:szCs w:val="22"/>
          <w:shd w:val="clear" w:color="auto" w:fill="FFFFFF"/>
          <w:lang w:val="en-US"/>
        </w:rPr>
        <w:t>follow a similar methodology</w:t>
      </w:r>
    </w:p>
    <w:p w14:paraId="185BC009" w14:textId="77777777" w:rsidR="00706CA6" w:rsidRPr="00706CA6" w:rsidRDefault="00706CA6" w:rsidP="00706CA6">
      <w:pPr>
        <w:numPr>
          <w:ilvl w:val="1"/>
          <w:numId w:val="4"/>
        </w:numPr>
        <w:tabs>
          <w:tab w:val="left" w:pos="5778"/>
        </w:tabs>
        <w:rPr>
          <w:rFonts w:cstheme="minorHAnsi"/>
          <w:color w:val="222222"/>
          <w:sz w:val="22"/>
          <w:szCs w:val="22"/>
          <w:shd w:val="clear" w:color="auto" w:fill="FFFFFF"/>
          <w:lang w:val="en-US"/>
        </w:rPr>
      </w:pPr>
      <w:r w:rsidRPr="00706CA6">
        <w:rPr>
          <w:rFonts w:cstheme="minorHAnsi"/>
          <w:color w:val="222222"/>
          <w:sz w:val="22"/>
          <w:szCs w:val="22"/>
          <w:shd w:val="clear" w:color="auto" w:fill="FFFFFF"/>
          <w:lang w:val="en-US"/>
        </w:rPr>
        <w:t>first step: expert survey on what is being recommended (</w:t>
      </w:r>
    </w:p>
    <w:p w14:paraId="12E2C927" w14:textId="77777777" w:rsidR="00706CA6" w:rsidRPr="00706CA6" w:rsidRDefault="00706CA6" w:rsidP="00706CA6">
      <w:pPr>
        <w:numPr>
          <w:ilvl w:val="0"/>
          <w:numId w:val="4"/>
        </w:numPr>
        <w:tabs>
          <w:tab w:val="left" w:pos="5778"/>
        </w:tabs>
        <w:rPr>
          <w:rFonts w:cstheme="minorHAnsi"/>
          <w:color w:val="222222"/>
          <w:sz w:val="22"/>
          <w:szCs w:val="22"/>
          <w:shd w:val="clear" w:color="auto" w:fill="FFFFFF"/>
          <w:lang w:val="en-US"/>
        </w:rPr>
      </w:pPr>
      <w:r w:rsidRPr="00706CA6">
        <w:rPr>
          <w:rFonts w:cstheme="minorHAnsi"/>
          <w:color w:val="222222"/>
          <w:sz w:val="22"/>
          <w:szCs w:val="22"/>
          <w:shd w:val="clear" w:color="auto" w:fill="FFFFFF"/>
          <w:lang w:val="en-US"/>
        </w:rPr>
        <w:t>have a panel of experts in the field to inform the clinical guidelines</w:t>
      </w:r>
    </w:p>
    <w:p w14:paraId="214B9345" w14:textId="77777777" w:rsidR="00706CA6" w:rsidRPr="00706CA6" w:rsidRDefault="00706CA6" w:rsidP="00706CA6">
      <w:pPr>
        <w:numPr>
          <w:ilvl w:val="1"/>
          <w:numId w:val="4"/>
        </w:numPr>
        <w:tabs>
          <w:tab w:val="left" w:pos="5778"/>
        </w:tabs>
        <w:rPr>
          <w:rFonts w:cstheme="minorHAnsi"/>
          <w:color w:val="222222"/>
          <w:sz w:val="22"/>
          <w:szCs w:val="22"/>
          <w:shd w:val="clear" w:color="auto" w:fill="FFFFFF"/>
          <w:lang w:val="en-US"/>
        </w:rPr>
      </w:pPr>
      <w:r w:rsidRPr="00706CA6">
        <w:rPr>
          <w:rFonts w:cstheme="minorHAnsi"/>
          <w:color w:val="222222"/>
          <w:sz w:val="22"/>
          <w:szCs w:val="22"/>
          <w:shd w:val="clear" w:color="auto" w:fill="FFFFFF"/>
          <w:lang w:val="en-US"/>
        </w:rPr>
        <w:t xml:space="preserve">what are the criteria that need to be evaluated </w:t>
      </w:r>
    </w:p>
    <w:p w14:paraId="6B5D7716" w14:textId="77777777" w:rsidR="00706CA6" w:rsidRPr="00706CA6" w:rsidRDefault="00706CA6" w:rsidP="00706CA6">
      <w:pPr>
        <w:numPr>
          <w:ilvl w:val="1"/>
          <w:numId w:val="4"/>
        </w:numPr>
        <w:tabs>
          <w:tab w:val="left" w:pos="5778"/>
        </w:tabs>
        <w:rPr>
          <w:rFonts w:cstheme="minorHAnsi"/>
          <w:color w:val="222222"/>
          <w:sz w:val="22"/>
          <w:szCs w:val="22"/>
          <w:shd w:val="clear" w:color="auto" w:fill="FFFFFF"/>
          <w:lang w:val="en-US"/>
        </w:rPr>
      </w:pPr>
      <w:r w:rsidRPr="00706CA6">
        <w:rPr>
          <w:rFonts w:cstheme="minorHAnsi"/>
          <w:color w:val="222222"/>
          <w:sz w:val="22"/>
          <w:szCs w:val="22"/>
          <w:shd w:val="clear" w:color="auto" w:fill="FFFFFF"/>
          <w:lang w:val="en-US"/>
        </w:rPr>
        <w:t>what do we need to see clinically to allow them to resume to activity (gradual, protected)</w:t>
      </w:r>
    </w:p>
    <w:p w14:paraId="7BAE6998" w14:textId="77777777" w:rsidR="00706CA6" w:rsidRPr="00706CA6" w:rsidRDefault="00706CA6" w:rsidP="00706CA6">
      <w:pPr>
        <w:numPr>
          <w:ilvl w:val="0"/>
          <w:numId w:val="4"/>
        </w:numPr>
        <w:tabs>
          <w:tab w:val="left" w:pos="5778"/>
        </w:tabs>
        <w:rPr>
          <w:rFonts w:cstheme="minorHAnsi"/>
          <w:color w:val="222222"/>
          <w:sz w:val="22"/>
          <w:szCs w:val="22"/>
          <w:shd w:val="clear" w:color="auto" w:fill="FFFFFF"/>
          <w:lang w:val="en-US"/>
        </w:rPr>
      </w:pPr>
      <w:r w:rsidRPr="00706CA6">
        <w:rPr>
          <w:rFonts w:cstheme="minorHAnsi"/>
          <w:color w:val="222222"/>
          <w:sz w:val="22"/>
          <w:szCs w:val="22"/>
          <w:shd w:val="clear" w:color="auto" w:fill="FFFFFF"/>
          <w:lang w:val="en-US"/>
        </w:rPr>
        <w:t>interesting methodological process</w:t>
      </w:r>
    </w:p>
    <w:p w14:paraId="51A799DB" w14:textId="768EEB18" w:rsidR="00706CA6" w:rsidRPr="00706CA6" w:rsidRDefault="00706CA6" w:rsidP="00B504E7">
      <w:pPr>
        <w:numPr>
          <w:ilvl w:val="1"/>
          <w:numId w:val="4"/>
        </w:numPr>
        <w:tabs>
          <w:tab w:val="left" w:pos="5778"/>
        </w:tabs>
        <w:rPr>
          <w:rFonts w:cstheme="minorHAnsi"/>
          <w:color w:val="222222"/>
          <w:sz w:val="22"/>
          <w:szCs w:val="22"/>
          <w:shd w:val="clear" w:color="auto" w:fill="FFFFFF"/>
          <w:lang w:val="en-US"/>
        </w:rPr>
      </w:pPr>
      <w:r w:rsidRPr="00706CA6">
        <w:rPr>
          <w:rFonts w:cstheme="minorHAnsi"/>
          <w:color w:val="222222"/>
          <w:sz w:val="22"/>
          <w:szCs w:val="22"/>
          <w:shd w:val="clear" w:color="auto" w:fill="FFFFFF"/>
          <w:lang w:val="en-US"/>
        </w:rPr>
        <w:t>interesting to follow data and experts you are surveying</w:t>
      </w:r>
    </w:p>
    <w:sectPr w:rsidR="00706CA6" w:rsidRPr="00706C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BE21CE"/>
    <w:multiLevelType w:val="multilevel"/>
    <w:tmpl w:val="18700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730AA"/>
    <w:multiLevelType w:val="hybridMultilevel"/>
    <w:tmpl w:val="3C2E31CA"/>
    <w:lvl w:ilvl="0" w:tplc="EEE093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CA2861"/>
    <w:multiLevelType w:val="multilevel"/>
    <w:tmpl w:val="92D2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2148481">
    <w:abstractNumId w:val="2"/>
  </w:num>
  <w:num w:numId="2" w16cid:durableId="1594242819">
    <w:abstractNumId w:val="1"/>
  </w:num>
  <w:num w:numId="3" w16cid:durableId="1048915196">
    <w:abstractNumId w:val="3"/>
  </w:num>
  <w:num w:numId="4" w16cid:durableId="1069352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25"/>
    <w:rsid w:val="00057C5B"/>
    <w:rsid w:val="0008688C"/>
    <w:rsid w:val="00495625"/>
    <w:rsid w:val="005416E4"/>
    <w:rsid w:val="00593DFE"/>
    <w:rsid w:val="00706CA6"/>
    <w:rsid w:val="00A778AC"/>
    <w:rsid w:val="00B504E7"/>
    <w:rsid w:val="00C76268"/>
    <w:rsid w:val="00E217BB"/>
    <w:rsid w:val="00F779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96D4603"/>
  <w15:chartTrackingRefBased/>
  <w15:docId w15:val="{C4D3ED06-8B1E-0740-B4DF-736297B8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4E7"/>
  </w:style>
  <w:style w:type="paragraph" w:styleId="Heading1">
    <w:name w:val="heading 1"/>
    <w:basedOn w:val="Normal"/>
    <w:next w:val="Normal"/>
    <w:link w:val="Heading1Char"/>
    <w:uiPriority w:val="9"/>
    <w:qFormat/>
    <w:rsid w:val="00B504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504E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4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504E7"/>
    <w:rPr>
      <w:rFonts w:ascii="Times New Roman" w:eastAsia="Times New Roman" w:hAnsi="Times New Roman" w:cs="Times New Roman"/>
      <w:b/>
      <w:bCs/>
      <w:sz w:val="27"/>
      <w:szCs w:val="27"/>
    </w:rPr>
  </w:style>
  <w:style w:type="paragraph" w:styleId="ListParagraph">
    <w:name w:val="List Paragraph"/>
    <w:basedOn w:val="Normal"/>
    <w:uiPriority w:val="34"/>
    <w:qFormat/>
    <w:rsid w:val="00B504E7"/>
    <w:pPr>
      <w:ind w:left="720"/>
      <w:contextualSpacing/>
    </w:pPr>
  </w:style>
  <w:style w:type="character" w:styleId="Strong">
    <w:name w:val="Strong"/>
    <w:basedOn w:val="DefaultParagraphFont"/>
    <w:uiPriority w:val="22"/>
    <w:qFormat/>
    <w:rsid w:val="00B504E7"/>
    <w:rPr>
      <w:b/>
      <w:bCs/>
    </w:rPr>
  </w:style>
  <w:style w:type="paragraph" w:customStyle="1" w:styleId="mt-0">
    <w:name w:val="mt-0"/>
    <w:basedOn w:val="Normal"/>
    <w:rsid w:val="00B504E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504E7"/>
    <w:rPr>
      <w:i/>
      <w:iCs/>
    </w:rPr>
  </w:style>
  <w:style w:type="paragraph" w:styleId="NormalWeb">
    <w:name w:val="Normal (Web)"/>
    <w:basedOn w:val="Normal"/>
    <w:uiPriority w:val="99"/>
    <w:semiHidden/>
    <w:unhideWhenUsed/>
    <w:rsid w:val="00B504E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504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fom-exp-med.sites.olt.ubc.ca/files/2010/08/MEDI535-schedule.doc" TargetMode="External"/><Relationship Id="rId3" Type="http://schemas.openxmlformats.org/officeDocument/2006/relationships/settings" Target="settings.xml"/><Relationship Id="rId7" Type="http://schemas.openxmlformats.org/officeDocument/2006/relationships/hyperlink" Target="https://educ-kin2016.sites.olt.ubc.ca/files/2023/09/KIN355-2023W.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c-kin2016.sites.olt.ubc.ca/files/2023/01/KIN420-2022W.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Lindsey Ga Lin Jung</dc:creator>
  <cp:keywords/>
  <dc:description/>
  <cp:lastModifiedBy>ajung02@student.ubc.ca</cp:lastModifiedBy>
  <cp:revision>4</cp:revision>
  <dcterms:created xsi:type="dcterms:W3CDTF">2024-08-16T17:58:00Z</dcterms:created>
  <dcterms:modified xsi:type="dcterms:W3CDTF">2024-09-05T23:40:00Z</dcterms:modified>
</cp:coreProperties>
</file>