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3305C" w14:textId="7B8AB18D" w:rsidR="001A435B" w:rsidRDefault="001A435B" w:rsidP="001A435B">
      <w:pPr>
        <w:spacing w:line="480" w:lineRule="auto"/>
        <w:rPr>
          <w:rFonts w:asciiTheme="minorHAnsi" w:hAnsiTheme="minorHAnsi" w:cstheme="minorHAnsi"/>
          <w:b/>
          <w:sz w:val="22"/>
          <w:szCs w:val="22"/>
        </w:rPr>
      </w:pPr>
      <w:r w:rsidRPr="001A435B">
        <w:rPr>
          <w:rFonts w:asciiTheme="minorHAnsi" w:hAnsiTheme="minorHAnsi" w:cstheme="minorHAnsi"/>
          <w:b/>
          <w:sz w:val="22"/>
          <w:szCs w:val="22"/>
        </w:rPr>
        <w:t>Physical activity and sedentary behavior in children and adolescents with healed Legg-Calve-Perthes Disease, Slipped Capital Femoral Epiphysis (SCFE), and Developmental Dysplasia of the Hip (DDH).</w:t>
      </w:r>
    </w:p>
    <w:p w14:paraId="71B28C84" w14:textId="77777777" w:rsidR="004B2716" w:rsidRDefault="004B2716" w:rsidP="001A435B">
      <w:pPr>
        <w:spacing w:line="480" w:lineRule="auto"/>
        <w:rPr>
          <w:rFonts w:asciiTheme="minorHAnsi" w:hAnsiTheme="minorHAnsi" w:cstheme="minorHAnsi"/>
          <w:b/>
          <w:sz w:val="22"/>
          <w:szCs w:val="22"/>
        </w:rPr>
      </w:pPr>
    </w:p>
    <w:p w14:paraId="7C45AE8B" w14:textId="1FFDB019" w:rsidR="001A435B" w:rsidRDefault="001A435B" w:rsidP="001A435B">
      <w:pPr>
        <w:spacing w:line="480" w:lineRule="auto"/>
        <w:rPr>
          <w:rFonts w:asciiTheme="minorHAnsi" w:hAnsiTheme="minorHAnsi" w:cstheme="minorHAnsi"/>
          <w:bCs/>
          <w:sz w:val="22"/>
          <w:szCs w:val="22"/>
        </w:rPr>
      </w:pPr>
      <w:r>
        <w:rPr>
          <w:rFonts w:asciiTheme="minorHAnsi" w:hAnsiTheme="minorHAnsi" w:cstheme="minorHAnsi"/>
          <w:b/>
          <w:sz w:val="22"/>
          <w:szCs w:val="22"/>
        </w:rPr>
        <w:t>Know:</w:t>
      </w:r>
      <w:r>
        <w:rPr>
          <w:rFonts w:asciiTheme="minorHAnsi" w:hAnsiTheme="minorHAnsi" w:cstheme="minorHAnsi"/>
          <w:bCs/>
          <w:sz w:val="22"/>
          <w:szCs w:val="22"/>
        </w:rPr>
        <w:t xml:space="preserve"> Children with chronic hip conditions should engage in PA (Jackie’s previous paper).</w:t>
      </w:r>
    </w:p>
    <w:p w14:paraId="5BADC181" w14:textId="77777777" w:rsidR="004B2716" w:rsidRPr="001A435B" w:rsidRDefault="004B2716" w:rsidP="001A435B">
      <w:pPr>
        <w:spacing w:line="480" w:lineRule="auto"/>
        <w:rPr>
          <w:rFonts w:asciiTheme="minorHAnsi" w:hAnsiTheme="minorHAnsi" w:cstheme="minorHAnsi"/>
          <w:bCs/>
          <w:sz w:val="22"/>
          <w:szCs w:val="22"/>
        </w:rPr>
      </w:pPr>
    </w:p>
    <w:p w14:paraId="521266FA" w14:textId="057731FA" w:rsidR="001A435B" w:rsidRDefault="001A435B" w:rsidP="001A435B">
      <w:pPr>
        <w:spacing w:line="480" w:lineRule="auto"/>
        <w:rPr>
          <w:rFonts w:asciiTheme="minorHAnsi" w:hAnsiTheme="minorHAnsi" w:cstheme="minorHAnsi"/>
          <w:bCs/>
          <w:sz w:val="22"/>
          <w:szCs w:val="22"/>
        </w:rPr>
      </w:pPr>
      <w:r>
        <w:rPr>
          <w:rFonts w:asciiTheme="minorHAnsi" w:hAnsiTheme="minorHAnsi" w:cstheme="minorHAnsi"/>
          <w:b/>
          <w:sz w:val="22"/>
          <w:szCs w:val="22"/>
        </w:rPr>
        <w:t xml:space="preserve">End goal: </w:t>
      </w:r>
      <w:r w:rsidRPr="001A435B">
        <w:rPr>
          <w:rFonts w:asciiTheme="minorHAnsi" w:hAnsiTheme="minorHAnsi" w:cstheme="minorHAnsi"/>
          <w:bCs/>
          <w:sz w:val="22"/>
          <w:szCs w:val="22"/>
        </w:rPr>
        <w:t>Create an international database of PA levels and sedentary behaviour in pediatric hip patients to</w:t>
      </w:r>
      <w:r>
        <w:rPr>
          <w:rFonts w:asciiTheme="minorHAnsi" w:hAnsiTheme="minorHAnsi" w:cstheme="minorHAnsi"/>
          <w:b/>
          <w:sz w:val="22"/>
          <w:szCs w:val="22"/>
        </w:rPr>
        <w:t xml:space="preserve"> </w:t>
      </w:r>
      <w:r>
        <w:rPr>
          <w:rFonts w:asciiTheme="minorHAnsi" w:hAnsiTheme="minorHAnsi" w:cstheme="minorHAnsi"/>
          <w:bCs/>
          <w:sz w:val="22"/>
          <w:szCs w:val="22"/>
        </w:rPr>
        <w:t xml:space="preserve">help develop </w:t>
      </w:r>
      <w:r w:rsidRPr="001A435B">
        <w:rPr>
          <w:rFonts w:asciiTheme="minorHAnsi" w:hAnsiTheme="minorHAnsi" w:cstheme="minorHAnsi"/>
          <w:bCs/>
          <w:sz w:val="22"/>
          <w:szCs w:val="22"/>
        </w:rPr>
        <w:t>PA guidelines that optimize outcomes for pediatric hip patients</w:t>
      </w:r>
      <w:r>
        <w:rPr>
          <w:rFonts w:asciiTheme="minorHAnsi" w:hAnsiTheme="minorHAnsi" w:cstheme="minorHAnsi"/>
          <w:bCs/>
          <w:sz w:val="22"/>
          <w:szCs w:val="22"/>
        </w:rPr>
        <w:t>.</w:t>
      </w:r>
    </w:p>
    <w:p w14:paraId="01284C73" w14:textId="77777777" w:rsidR="004B2716" w:rsidRDefault="004B2716" w:rsidP="001A435B">
      <w:pPr>
        <w:spacing w:line="480" w:lineRule="auto"/>
        <w:rPr>
          <w:rFonts w:asciiTheme="minorHAnsi" w:hAnsiTheme="minorHAnsi" w:cstheme="minorHAnsi"/>
          <w:bCs/>
          <w:sz w:val="22"/>
          <w:szCs w:val="22"/>
        </w:rPr>
      </w:pPr>
    </w:p>
    <w:p w14:paraId="2EBC33CD" w14:textId="05A974D9" w:rsidR="001A435B" w:rsidRDefault="001A435B" w:rsidP="001A435B">
      <w:pPr>
        <w:spacing w:line="480" w:lineRule="auto"/>
        <w:rPr>
          <w:rFonts w:asciiTheme="minorHAnsi" w:hAnsiTheme="minorHAnsi" w:cstheme="minorHAnsi"/>
          <w:bCs/>
          <w:sz w:val="22"/>
          <w:szCs w:val="22"/>
        </w:rPr>
      </w:pPr>
      <w:r>
        <w:rPr>
          <w:rFonts w:asciiTheme="minorHAnsi" w:hAnsiTheme="minorHAnsi" w:cstheme="minorHAnsi"/>
          <w:b/>
          <w:sz w:val="22"/>
          <w:szCs w:val="22"/>
        </w:rPr>
        <w:t>What we are looking at in this study:</w:t>
      </w:r>
    </w:p>
    <w:p w14:paraId="3D21BAB6" w14:textId="467A8C91" w:rsidR="001A435B" w:rsidRPr="004B2716" w:rsidRDefault="001A435B" w:rsidP="001A435B">
      <w:pPr>
        <w:pStyle w:val="ListParagraph"/>
        <w:numPr>
          <w:ilvl w:val="0"/>
          <w:numId w:val="1"/>
        </w:numPr>
        <w:spacing w:line="480" w:lineRule="auto"/>
        <w:rPr>
          <w:rFonts w:cstheme="minorHAnsi"/>
          <w:bCs/>
          <w:sz w:val="22"/>
          <w:szCs w:val="22"/>
        </w:rPr>
      </w:pPr>
      <w:r>
        <w:rPr>
          <w:rFonts w:cs="Calibri"/>
          <w:sz w:val="22"/>
          <w:szCs w:val="22"/>
        </w:rPr>
        <w:t>T</w:t>
      </w:r>
      <w:r w:rsidRPr="00F224BF">
        <w:rPr>
          <w:rFonts w:cs="Calibri"/>
          <w:sz w:val="22"/>
          <w:szCs w:val="22"/>
        </w:rPr>
        <w:t>o understand activity levels within this cohort, focusing on the extent to which healed pediatric hip patients meet current guidelines for physical activity and sedentary behavio</w:t>
      </w:r>
      <w:r>
        <w:rPr>
          <w:rFonts w:cs="Calibri"/>
          <w:sz w:val="22"/>
          <w:szCs w:val="22"/>
        </w:rPr>
        <w:t>r</w:t>
      </w:r>
    </w:p>
    <w:p w14:paraId="026AFE61" w14:textId="77777777" w:rsidR="004B2716" w:rsidRPr="001A435B" w:rsidRDefault="004B2716" w:rsidP="001A435B">
      <w:pPr>
        <w:pStyle w:val="ListParagraph"/>
        <w:numPr>
          <w:ilvl w:val="0"/>
          <w:numId w:val="1"/>
        </w:numPr>
        <w:spacing w:line="480" w:lineRule="auto"/>
        <w:rPr>
          <w:rFonts w:cstheme="minorHAnsi"/>
          <w:bCs/>
          <w:sz w:val="22"/>
          <w:szCs w:val="22"/>
        </w:rPr>
      </w:pPr>
    </w:p>
    <w:p w14:paraId="5DB7B88D" w14:textId="48C4E4B7" w:rsidR="001A435B" w:rsidRDefault="001A435B" w:rsidP="001A435B">
      <w:pPr>
        <w:spacing w:line="480" w:lineRule="auto"/>
        <w:rPr>
          <w:rFonts w:asciiTheme="minorHAnsi" w:hAnsiTheme="minorHAnsi" w:cs="Calibri"/>
          <w:sz w:val="22"/>
          <w:szCs w:val="22"/>
        </w:rPr>
      </w:pPr>
      <w:r w:rsidRPr="001A435B">
        <w:rPr>
          <w:rFonts w:asciiTheme="minorHAnsi" w:hAnsiTheme="minorHAnsi" w:cstheme="minorHAnsi"/>
          <w:b/>
          <w:sz w:val="22"/>
          <w:szCs w:val="22"/>
        </w:rPr>
        <w:t>Hypothesi</w:t>
      </w:r>
      <w:r>
        <w:rPr>
          <w:rFonts w:asciiTheme="minorHAnsi" w:hAnsiTheme="minorHAnsi" w:cstheme="minorHAnsi"/>
          <w:b/>
          <w:sz w:val="22"/>
          <w:szCs w:val="22"/>
        </w:rPr>
        <w:t>s:</w:t>
      </w:r>
      <w:r>
        <w:rPr>
          <w:rFonts w:asciiTheme="minorHAnsi" w:hAnsiTheme="minorHAnsi" w:cstheme="minorHAnsi"/>
          <w:bCs/>
          <w:sz w:val="22"/>
          <w:szCs w:val="22"/>
        </w:rPr>
        <w:t xml:space="preserve"> </w:t>
      </w:r>
      <w:r>
        <w:rPr>
          <w:rFonts w:asciiTheme="minorHAnsi" w:hAnsiTheme="minorHAnsi" w:cs="Calibri"/>
          <w:sz w:val="22"/>
          <w:szCs w:val="22"/>
        </w:rPr>
        <w:t>H</w:t>
      </w:r>
      <w:r w:rsidRPr="00F224BF">
        <w:rPr>
          <w:rFonts w:asciiTheme="minorHAnsi" w:hAnsiTheme="minorHAnsi" w:cs="Calibri"/>
          <w:sz w:val="22"/>
          <w:szCs w:val="22"/>
        </w:rPr>
        <w:t>ip patients will have both inadequate physical activity levels and increased levels of sedentary behaviour</w:t>
      </w:r>
      <w:r>
        <w:rPr>
          <w:rFonts w:asciiTheme="minorHAnsi" w:hAnsiTheme="minorHAnsi" w:cs="Calibri"/>
          <w:sz w:val="22"/>
          <w:szCs w:val="22"/>
        </w:rPr>
        <w:t>.</w:t>
      </w:r>
    </w:p>
    <w:p w14:paraId="5BDBFF43" w14:textId="77777777" w:rsidR="004B2716" w:rsidRDefault="004B2716" w:rsidP="001A435B">
      <w:pPr>
        <w:spacing w:line="480" w:lineRule="auto"/>
        <w:rPr>
          <w:rFonts w:asciiTheme="minorHAnsi" w:hAnsiTheme="minorHAnsi" w:cs="Calibri"/>
          <w:sz w:val="22"/>
          <w:szCs w:val="22"/>
        </w:rPr>
      </w:pPr>
    </w:p>
    <w:p w14:paraId="56AF1033" w14:textId="4C598753" w:rsidR="004B2716" w:rsidRDefault="004B2716" w:rsidP="001A435B">
      <w:pPr>
        <w:spacing w:line="480" w:lineRule="auto"/>
        <w:rPr>
          <w:rFonts w:asciiTheme="minorHAnsi" w:hAnsiTheme="minorHAnsi" w:cs="Calibri"/>
          <w:sz w:val="22"/>
          <w:szCs w:val="22"/>
        </w:rPr>
      </w:pPr>
      <w:r>
        <w:rPr>
          <w:rFonts w:asciiTheme="minorHAnsi" w:hAnsiTheme="minorHAnsi" w:cs="Calibri"/>
          <w:b/>
          <w:bCs/>
          <w:sz w:val="22"/>
          <w:szCs w:val="22"/>
        </w:rPr>
        <w:t xml:space="preserve">Methods </w:t>
      </w:r>
      <w:proofErr w:type="gramStart"/>
      <w:r>
        <w:rPr>
          <w:rFonts w:asciiTheme="minorHAnsi" w:hAnsiTheme="minorHAnsi" w:cs="Calibri"/>
          <w:b/>
          <w:bCs/>
          <w:sz w:val="22"/>
          <w:szCs w:val="22"/>
        </w:rPr>
        <w:t>include:</w:t>
      </w:r>
      <w:proofErr w:type="gramEnd"/>
      <w:r>
        <w:rPr>
          <w:rFonts w:asciiTheme="minorHAnsi" w:hAnsiTheme="minorHAnsi" w:cs="Calibri"/>
          <w:sz w:val="22"/>
          <w:szCs w:val="22"/>
        </w:rPr>
        <w:t xml:space="preserve"> anthropometry, subjective hip outcome (IPSG-HOOS), physical activity questionnaire, accelerometry, and activity log.</w:t>
      </w:r>
    </w:p>
    <w:p w14:paraId="68971D10" w14:textId="216B01DB" w:rsidR="000B7E33" w:rsidRDefault="000B7E33" w:rsidP="001A435B">
      <w:pPr>
        <w:spacing w:line="480" w:lineRule="auto"/>
        <w:rPr>
          <w:rFonts w:asciiTheme="minorHAnsi" w:hAnsiTheme="minorHAnsi" w:cs="Calibri"/>
          <w:sz w:val="22"/>
          <w:szCs w:val="22"/>
        </w:rPr>
      </w:pPr>
      <w:r>
        <w:rPr>
          <w:rFonts w:asciiTheme="minorHAnsi" w:hAnsiTheme="minorHAnsi" w:cs="Calibri"/>
          <w:sz w:val="22"/>
          <w:szCs w:val="22"/>
        </w:rPr>
        <w:t xml:space="preserve">Strength training? </w:t>
      </w:r>
    </w:p>
    <w:p w14:paraId="3A77A986" w14:textId="0F035CB7" w:rsidR="000B7E33" w:rsidRDefault="000B7E33" w:rsidP="001A435B">
      <w:pPr>
        <w:spacing w:line="480" w:lineRule="auto"/>
        <w:rPr>
          <w:rFonts w:asciiTheme="minorHAnsi" w:hAnsiTheme="minorHAnsi" w:cs="Calibri"/>
          <w:sz w:val="22"/>
          <w:szCs w:val="22"/>
        </w:rPr>
      </w:pPr>
      <w:r>
        <w:rPr>
          <w:rFonts w:asciiTheme="minorHAnsi" w:hAnsiTheme="minorHAnsi" w:cs="Calibri"/>
          <w:sz w:val="22"/>
          <w:szCs w:val="22"/>
        </w:rPr>
        <w:t xml:space="preserve">Looking at </w:t>
      </w:r>
      <w:proofErr w:type="gramStart"/>
      <w:r>
        <w:rPr>
          <w:rFonts w:asciiTheme="minorHAnsi" w:hAnsiTheme="minorHAnsi" w:cs="Calibri"/>
          <w:sz w:val="22"/>
          <w:szCs w:val="22"/>
        </w:rPr>
        <w:t>24 hour</w:t>
      </w:r>
      <w:proofErr w:type="gramEnd"/>
      <w:r>
        <w:rPr>
          <w:rFonts w:asciiTheme="minorHAnsi" w:hAnsiTheme="minorHAnsi" w:cs="Calibri"/>
          <w:sz w:val="22"/>
          <w:szCs w:val="22"/>
        </w:rPr>
        <w:t xml:space="preserve"> movement guidelines not just 1 hour a day</w:t>
      </w:r>
    </w:p>
    <w:p w14:paraId="23B68755" w14:textId="47FEB428" w:rsidR="004B2716" w:rsidRDefault="00113514" w:rsidP="001A435B">
      <w:pPr>
        <w:spacing w:line="480" w:lineRule="auto"/>
        <w:rPr>
          <w:rFonts w:asciiTheme="minorHAnsi" w:hAnsiTheme="minorHAnsi" w:cs="Calibri"/>
          <w:sz w:val="22"/>
          <w:szCs w:val="22"/>
        </w:rPr>
      </w:pPr>
      <w:r>
        <w:rPr>
          <w:rFonts w:asciiTheme="minorHAnsi" w:hAnsiTheme="minorHAnsi" w:cs="Calibri"/>
          <w:sz w:val="22"/>
          <w:szCs w:val="22"/>
        </w:rPr>
        <w:t>10 of each hip pathology</w:t>
      </w:r>
    </w:p>
    <w:p w14:paraId="1DA8DA3E" w14:textId="14B24297" w:rsidR="00113514" w:rsidRDefault="00113514" w:rsidP="001A435B">
      <w:pPr>
        <w:spacing w:line="480" w:lineRule="auto"/>
        <w:rPr>
          <w:rFonts w:asciiTheme="minorHAnsi" w:hAnsiTheme="minorHAnsi" w:cs="Calibri"/>
          <w:sz w:val="22"/>
          <w:szCs w:val="22"/>
        </w:rPr>
      </w:pPr>
      <w:r>
        <w:rPr>
          <w:rFonts w:asciiTheme="minorHAnsi" w:hAnsiTheme="minorHAnsi" w:cs="Calibri"/>
          <w:sz w:val="22"/>
          <w:szCs w:val="22"/>
        </w:rPr>
        <w:t xml:space="preserve">Controls, community </w:t>
      </w:r>
      <w:proofErr w:type="gramStart"/>
      <w:r>
        <w:rPr>
          <w:rFonts w:asciiTheme="minorHAnsi" w:hAnsiTheme="minorHAnsi" w:cs="Calibri"/>
          <w:sz w:val="22"/>
          <w:szCs w:val="22"/>
        </w:rPr>
        <w:t>based?</w:t>
      </w:r>
      <w:proofErr w:type="gramEnd"/>
      <w:r>
        <w:rPr>
          <w:rFonts w:asciiTheme="minorHAnsi" w:hAnsiTheme="minorHAnsi" w:cs="Calibri"/>
          <w:sz w:val="22"/>
          <w:szCs w:val="22"/>
        </w:rPr>
        <w:t xml:space="preserve"> Or siblings? </w:t>
      </w:r>
    </w:p>
    <w:p w14:paraId="25E0BA30" w14:textId="60E10886" w:rsidR="00113514" w:rsidRPr="00113514" w:rsidRDefault="00113514" w:rsidP="00113514">
      <w:pPr>
        <w:pStyle w:val="ListParagraph"/>
        <w:numPr>
          <w:ilvl w:val="0"/>
          <w:numId w:val="1"/>
        </w:numPr>
        <w:spacing w:line="480" w:lineRule="auto"/>
        <w:rPr>
          <w:rFonts w:cs="Calibri"/>
          <w:sz w:val="22"/>
          <w:szCs w:val="22"/>
        </w:rPr>
      </w:pPr>
      <w:r>
        <w:rPr>
          <w:rFonts w:cs="Calibri"/>
          <w:sz w:val="22"/>
          <w:szCs w:val="22"/>
        </w:rPr>
        <w:t>Control from national data</w:t>
      </w:r>
    </w:p>
    <w:p w14:paraId="54714D22" w14:textId="0F1645ED" w:rsidR="00113514" w:rsidRDefault="00113514" w:rsidP="001A435B">
      <w:pPr>
        <w:spacing w:line="480" w:lineRule="auto"/>
        <w:rPr>
          <w:rFonts w:asciiTheme="minorHAnsi" w:hAnsiTheme="minorHAnsi" w:cs="Calibri"/>
          <w:sz w:val="22"/>
          <w:szCs w:val="22"/>
        </w:rPr>
      </w:pPr>
      <w:r>
        <w:rPr>
          <w:rFonts w:asciiTheme="minorHAnsi" w:hAnsiTheme="minorHAnsi" w:cs="Calibri"/>
          <w:sz w:val="22"/>
          <w:szCs w:val="22"/>
        </w:rPr>
        <w:t xml:space="preserve">SCFE and Perthes </w:t>
      </w:r>
      <w:r w:rsidR="000B7E33">
        <w:rPr>
          <w:rFonts w:asciiTheme="minorHAnsi" w:hAnsiTheme="minorHAnsi" w:cs="Calibri"/>
          <w:sz w:val="22"/>
          <w:szCs w:val="22"/>
        </w:rPr>
        <w:t>registry</w:t>
      </w:r>
      <w:r>
        <w:rPr>
          <w:rFonts w:asciiTheme="minorHAnsi" w:hAnsiTheme="minorHAnsi" w:cs="Calibri"/>
          <w:sz w:val="22"/>
          <w:szCs w:val="22"/>
        </w:rPr>
        <w:t xml:space="preserve"> </w:t>
      </w:r>
    </w:p>
    <w:p w14:paraId="58B1079D" w14:textId="2A5138CD" w:rsidR="00113514" w:rsidRDefault="00113514" w:rsidP="001A435B">
      <w:pPr>
        <w:spacing w:line="480" w:lineRule="auto"/>
        <w:rPr>
          <w:rFonts w:asciiTheme="minorHAnsi" w:hAnsiTheme="minorHAnsi" w:cs="Calibri"/>
          <w:sz w:val="22"/>
          <w:szCs w:val="22"/>
        </w:rPr>
      </w:pPr>
      <w:r>
        <w:rPr>
          <w:rFonts w:asciiTheme="minorHAnsi" w:hAnsiTheme="minorHAnsi" w:cs="Calibri"/>
          <w:sz w:val="22"/>
          <w:szCs w:val="22"/>
        </w:rPr>
        <w:lastRenderedPageBreak/>
        <w:t>Incentives = $250 for completing</w:t>
      </w:r>
    </w:p>
    <w:p w14:paraId="68CCFB35" w14:textId="6CFE8DCC" w:rsidR="00113514" w:rsidRDefault="00113514" w:rsidP="00113514">
      <w:pPr>
        <w:pStyle w:val="ListParagraph"/>
        <w:numPr>
          <w:ilvl w:val="0"/>
          <w:numId w:val="1"/>
        </w:numPr>
        <w:spacing w:line="480" w:lineRule="auto"/>
        <w:rPr>
          <w:rFonts w:cs="Calibri"/>
          <w:sz w:val="22"/>
          <w:szCs w:val="22"/>
        </w:rPr>
      </w:pPr>
      <w:r>
        <w:rPr>
          <w:rFonts w:cs="Calibri"/>
          <w:sz w:val="22"/>
          <w:szCs w:val="22"/>
        </w:rPr>
        <w:t>$20 for initial</w:t>
      </w:r>
    </w:p>
    <w:p w14:paraId="24BA02D1" w14:textId="7F7D4790" w:rsidR="00113514" w:rsidRPr="00B07625" w:rsidRDefault="00113514" w:rsidP="00113514">
      <w:pPr>
        <w:spacing w:line="480" w:lineRule="auto"/>
        <w:rPr>
          <w:rFonts w:asciiTheme="minorHAnsi" w:hAnsiTheme="minorHAnsi" w:cs="Calibri"/>
          <w:sz w:val="22"/>
          <w:szCs w:val="22"/>
        </w:rPr>
      </w:pPr>
      <w:r w:rsidRPr="00B07625">
        <w:rPr>
          <w:rFonts w:asciiTheme="minorHAnsi" w:hAnsiTheme="minorHAnsi" w:cs="Calibri"/>
          <w:sz w:val="22"/>
          <w:szCs w:val="22"/>
        </w:rPr>
        <w:t>Variability in age, time frame of recovery</w:t>
      </w:r>
    </w:p>
    <w:p w14:paraId="0D78A87C" w14:textId="73E11ED7" w:rsidR="006C3886" w:rsidRPr="00B07625" w:rsidRDefault="006C3886" w:rsidP="00113514">
      <w:pPr>
        <w:spacing w:line="480" w:lineRule="auto"/>
        <w:rPr>
          <w:rFonts w:asciiTheme="minorHAnsi" w:hAnsiTheme="minorHAnsi" w:cs="Calibri"/>
          <w:sz w:val="22"/>
          <w:szCs w:val="22"/>
        </w:rPr>
      </w:pPr>
      <w:r w:rsidRPr="00B07625">
        <w:rPr>
          <w:rFonts w:asciiTheme="minorHAnsi" w:hAnsiTheme="minorHAnsi" w:cs="Calibri"/>
          <w:sz w:val="22"/>
          <w:szCs w:val="22"/>
        </w:rPr>
        <w:t>Progress paragraphs every 2 weeks</w:t>
      </w:r>
    </w:p>
    <w:p w14:paraId="42F020AF" w14:textId="435EF81C" w:rsidR="006C3886" w:rsidRPr="00B07625" w:rsidRDefault="006C3886" w:rsidP="00113514">
      <w:pPr>
        <w:spacing w:line="480" w:lineRule="auto"/>
        <w:rPr>
          <w:rFonts w:asciiTheme="minorHAnsi" w:hAnsiTheme="minorHAnsi" w:cs="Calibri"/>
          <w:sz w:val="22"/>
          <w:szCs w:val="22"/>
        </w:rPr>
      </w:pPr>
      <w:r w:rsidRPr="00B07625">
        <w:rPr>
          <w:rFonts w:asciiTheme="minorHAnsi" w:hAnsiTheme="minorHAnsi" w:cs="Calibri"/>
          <w:sz w:val="22"/>
          <w:szCs w:val="22"/>
          <w:highlight w:val="yellow"/>
        </w:rPr>
        <w:t>2</w:t>
      </w:r>
      <w:r w:rsidR="00B07625" w:rsidRPr="00B07625">
        <w:rPr>
          <w:rFonts w:asciiTheme="minorHAnsi" w:hAnsiTheme="minorHAnsi" w:cs="Calibri"/>
          <w:sz w:val="22"/>
          <w:szCs w:val="22"/>
          <w:highlight w:val="yellow"/>
        </w:rPr>
        <w:t>-</w:t>
      </w:r>
      <w:r w:rsidRPr="00B07625">
        <w:rPr>
          <w:rFonts w:asciiTheme="minorHAnsi" w:hAnsiTheme="minorHAnsi" w:cs="Calibri"/>
          <w:sz w:val="22"/>
          <w:szCs w:val="22"/>
          <w:highlight w:val="yellow"/>
        </w:rPr>
        <w:t>year timeline for MSc ideas</w:t>
      </w:r>
    </w:p>
    <w:p w14:paraId="01C6833E" w14:textId="69E10A79" w:rsidR="00B07625" w:rsidRPr="00B07625" w:rsidRDefault="00B07625" w:rsidP="00113514">
      <w:pPr>
        <w:spacing w:line="480" w:lineRule="auto"/>
        <w:rPr>
          <w:rFonts w:asciiTheme="minorHAnsi" w:hAnsiTheme="minorHAnsi" w:cs="Calibri"/>
          <w:sz w:val="22"/>
          <w:szCs w:val="22"/>
        </w:rPr>
      </w:pPr>
      <w:r w:rsidRPr="00B07625">
        <w:rPr>
          <w:rFonts w:asciiTheme="minorHAnsi" w:hAnsiTheme="minorHAnsi" w:cs="Calibri"/>
          <w:sz w:val="22"/>
          <w:szCs w:val="22"/>
        </w:rPr>
        <w:t>Case-control experiments</w:t>
      </w:r>
      <w:r>
        <w:rPr>
          <w:rFonts w:asciiTheme="minorHAnsi" w:hAnsiTheme="minorHAnsi" w:cs="Calibri"/>
          <w:sz w:val="22"/>
          <w:szCs w:val="22"/>
        </w:rPr>
        <w:t xml:space="preserve"> – comparative study</w:t>
      </w:r>
    </w:p>
    <w:p w14:paraId="189B19AB" w14:textId="11DC235A" w:rsidR="004B2716" w:rsidRDefault="004B2716" w:rsidP="001A435B">
      <w:pPr>
        <w:spacing w:line="480" w:lineRule="auto"/>
        <w:rPr>
          <w:rFonts w:asciiTheme="minorHAnsi" w:hAnsiTheme="minorHAnsi" w:cs="Calibri"/>
          <w:sz w:val="22"/>
          <w:szCs w:val="22"/>
        </w:rPr>
      </w:pPr>
      <w:r>
        <w:rPr>
          <w:rFonts w:asciiTheme="minorHAnsi" w:hAnsiTheme="minorHAnsi" w:cs="Calibri"/>
          <w:b/>
          <w:bCs/>
          <w:sz w:val="22"/>
          <w:szCs w:val="22"/>
        </w:rPr>
        <w:t>Significance:</w:t>
      </w:r>
      <w:r>
        <w:rPr>
          <w:rFonts w:asciiTheme="minorHAnsi" w:hAnsiTheme="minorHAnsi" w:cs="Calibri"/>
          <w:sz w:val="22"/>
          <w:szCs w:val="22"/>
        </w:rPr>
        <w:t xml:space="preserve"> </w:t>
      </w:r>
    </w:p>
    <w:p w14:paraId="01F1D74E" w14:textId="66E1056B" w:rsidR="004B2716" w:rsidRPr="004B2716" w:rsidRDefault="004B2716" w:rsidP="004B2716">
      <w:pPr>
        <w:pStyle w:val="ListParagraph"/>
        <w:numPr>
          <w:ilvl w:val="0"/>
          <w:numId w:val="1"/>
        </w:numPr>
        <w:spacing w:line="480" w:lineRule="auto"/>
        <w:rPr>
          <w:rFonts w:cstheme="minorHAnsi"/>
          <w:sz w:val="22"/>
          <w:szCs w:val="22"/>
        </w:rPr>
      </w:pPr>
      <w:r w:rsidRPr="00190848">
        <w:rPr>
          <w:sz w:val="22"/>
          <w:szCs w:val="22"/>
          <w:lang w:val="en-US"/>
        </w:rPr>
        <w:t>This project will provide critical data on the amount of PA and sedentary that healed hip patients</w:t>
      </w:r>
      <w:r>
        <w:rPr>
          <w:sz w:val="22"/>
          <w:szCs w:val="22"/>
          <w:lang w:val="en-US"/>
        </w:rPr>
        <w:t xml:space="preserve"> </w:t>
      </w:r>
      <w:r w:rsidRPr="00190848">
        <w:rPr>
          <w:sz w:val="22"/>
          <w:szCs w:val="22"/>
          <w:lang w:val="en-US"/>
        </w:rPr>
        <w:t>currently engage in.</w:t>
      </w:r>
    </w:p>
    <w:p w14:paraId="60878A67" w14:textId="49BFB532" w:rsidR="004B2716" w:rsidRPr="00CA198D" w:rsidRDefault="004B2716" w:rsidP="004B2716">
      <w:pPr>
        <w:pStyle w:val="ListParagraph"/>
        <w:numPr>
          <w:ilvl w:val="0"/>
          <w:numId w:val="1"/>
        </w:numPr>
        <w:spacing w:line="480" w:lineRule="auto"/>
        <w:rPr>
          <w:rFonts w:cstheme="minorHAnsi"/>
          <w:sz w:val="22"/>
          <w:szCs w:val="22"/>
        </w:rPr>
      </w:pPr>
      <w:r>
        <w:rPr>
          <w:sz w:val="22"/>
          <w:szCs w:val="22"/>
          <w:lang w:val="en-US"/>
        </w:rPr>
        <w:t>W</w:t>
      </w:r>
      <w:r w:rsidRPr="00190848">
        <w:rPr>
          <w:sz w:val="22"/>
          <w:szCs w:val="22"/>
          <w:lang w:val="en-US"/>
        </w:rPr>
        <w:t>ill hopefully inform</w:t>
      </w:r>
      <w:r>
        <w:rPr>
          <w:sz w:val="22"/>
          <w:szCs w:val="22"/>
          <w:lang w:val="en-US"/>
        </w:rPr>
        <w:t xml:space="preserve"> </w:t>
      </w:r>
      <w:r w:rsidRPr="00190848">
        <w:rPr>
          <w:sz w:val="22"/>
          <w:szCs w:val="22"/>
          <w:lang w:val="en-US"/>
        </w:rPr>
        <w:t xml:space="preserve">current </w:t>
      </w:r>
      <w:proofErr w:type="spellStart"/>
      <w:r w:rsidRPr="00190848">
        <w:rPr>
          <w:sz w:val="22"/>
          <w:szCs w:val="22"/>
          <w:lang w:val="en-US"/>
        </w:rPr>
        <w:t>orthopaedic</w:t>
      </w:r>
      <w:proofErr w:type="spellEnd"/>
      <w:r w:rsidRPr="00190848">
        <w:rPr>
          <w:sz w:val="22"/>
          <w:szCs w:val="22"/>
          <w:lang w:val="en-US"/>
        </w:rPr>
        <w:t xml:space="preserve"> practice on the importance of understanding PA in their patients</w:t>
      </w:r>
    </w:p>
    <w:p w14:paraId="21E026A1" w14:textId="766AD415" w:rsidR="00CA198D" w:rsidRPr="00CA198D" w:rsidRDefault="00CA198D" w:rsidP="00CA198D">
      <w:pPr>
        <w:spacing w:line="480" w:lineRule="auto"/>
        <w:rPr>
          <w:rFonts w:asciiTheme="minorHAnsi" w:hAnsiTheme="minorHAnsi" w:cs="Calibri"/>
          <w:sz w:val="22"/>
          <w:szCs w:val="22"/>
        </w:rPr>
      </w:pPr>
      <w:r w:rsidRPr="00CA198D">
        <w:rPr>
          <w:rFonts w:asciiTheme="minorHAnsi" w:hAnsiTheme="minorHAnsi" w:cs="Calibri"/>
          <w:sz w:val="22"/>
          <w:szCs w:val="22"/>
        </w:rPr>
        <w:t>The purpose of this study is to assess the levels of physical activity (PA) and sedentary behavior in children and adolescents who have healed from three common pediatric hip conditions: Legg-Calve-Perthes Disease, Slipped Capital Femoral Epiphysis (SCFE), and Developmental Dysplasia of the Hip (DDH). While these patients are expected to return to normal activity post-healing, the study aims to determine if their physical activity levels meet current Canadian Movement Guidelines and to identify any factors influencing these levels. The findings could guide orthopedic surgeons in offering better recommendations for activity and lifestyle adjustments, reducing long-term risks such as osteoarthritis. Additionally, the study seeks to evaluate the validity of physical activity questionnaires (PAQ-C and PAQ-A) in this population</w:t>
      </w:r>
      <w:r w:rsidRPr="00CA198D">
        <w:rPr>
          <w:rFonts w:ascii="Arial" w:hAnsi="Arial" w:cs="Arial"/>
          <w:sz w:val="22"/>
          <w:szCs w:val="22"/>
        </w:rPr>
        <w:t>​</w:t>
      </w:r>
      <w:r>
        <w:rPr>
          <w:rFonts w:ascii="Arial" w:hAnsi="Arial" w:cs="Arial"/>
          <w:sz w:val="22"/>
          <w:szCs w:val="22"/>
        </w:rPr>
        <w:t>.</w:t>
      </w:r>
    </w:p>
    <w:sectPr w:rsidR="00CA198D" w:rsidRPr="00CA1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27351"/>
    <w:multiLevelType w:val="hybridMultilevel"/>
    <w:tmpl w:val="182E125A"/>
    <w:lvl w:ilvl="0" w:tplc="674C6696">
      <w:numFmt w:val="bullet"/>
      <w:lvlText w:val="-"/>
      <w:lvlJc w:val="left"/>
      <w:pPr>
        <w:ind w:left="720" w:hanging="360"/>
      </w:pPr>
      <w:rPr>
        <w:rFonts w:ascii="Aptos" w:eastAsia="Times New Roman" w:hAnsi="Apto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818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5B"/>
    <w:rsid w:val="0008688C"/>
    <w:rsid w:val="000B7E33"/>
    <w:rsid w:val="00113514"/>
    <w:rsid w:val="001A435B"/>
    <w:rsid w:val="004B2716"/>
    <w:rsid w:val="005416E4"/>
    <w:rsid w:val="00593DFE"/>
    <w:rsid w:val="006031D4"/>
    <w:rsid w:val="006C3886"/>
    <w:rsid w:val="008048B1"/>
    <w:rsid w:val="009D1B0D"/>
    <w:rsid w:val="00B07625"/>
    <w:rsid w:val="00BF59AF"/>
    <w:rsid w:val="00C76268"/>
    <w:rsid w:val="00CA198D"/>
    <w:rsid w:val="00D325FE"/>
    <w:rsid w:val="00F057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65263E2"/>
  <w15:chartTrackingRefBased/>
  <w15:docId w15:val="{088F2138-1845-4744-9215-16F5BD75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35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A435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A435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A435B"/>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A435B"/>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A435B"/>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A435B"/>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A435B"/>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A435B"/>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A435B"/>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3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3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3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3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3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3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3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35B"/>
    <w:rPr>
      <w:rFonts w:eastAsiaTheme="majorEastAsia" w:cstheme="majorBidi"/>
      <w:color w:val="272727" w:themeColor="text1" w:themeTint="D8"/>
    </w:rPr>
  </w:style>
  <w:style w:type="paragraph" w:styleId="Title">
    <w:name w:val="Title"/>
    <w:basedOn w:val="Normal"/>
    <w:next w:val="Normal"/>
    <w:link w:val="TitleChar"/>
    <w:uiPriority w:val="10"/>
    <w:qFormat/>
    <w:rsid w:val="001A435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A43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35B"/>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A43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35B"/>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A435B"/>
    <w:rPr>
      <w:i/>
      <w:iCs/>
      <w:color w:val="404040" w:themeColor="text1" w:themeTint="BF"/>
    </w:rPr>
  </w:style>
  <w:style w:type="paragraph" w:styleId="ListParagraph">
    <w:name w:val="List Paragraph"/>
    <w:basedOn w:val="Normal"/>
    <w:uiPriority w:val="34"/>
    <w:qFormat/>
    <w:rsid w:val="001A435B"/>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A435B"/>
    <w:rPr>
      <w:i/>
      <w:iCs/>
      <w:color w:val="0F4761" w:themeColor="accent1" w:themeShade="BF"/>
    </w:rPr>
  </w:style>
  <w:style w:type="paragraph" w:styleId="IntenseQuote">
    <w:name w:val="Intense Quote"/>
    <w:basedOn w:val="Normal"/>
    <w:next w:val="Normal"/>
    <w:link w:val="IntenseQuoteChar"/>
    <w:uiPriority w:val="30"/>
    <w:qFormat/>
    <w:rsid w:val="001A435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A435B"/>
    <w:rPr>
      <w:i/>
      <w:iCs/>
      <w:color w:val="0F4761" w:themeColor="accent1" w:themeShade="BF"/>
    </w:rPr>
  </w:style>
  <w:style w:type="character" w:styleId="IntenseReference">
    <w:name w:val="Intense Reference"/>
    <w:basedOn w:val="DefaultParagraphFont"/>
    <w:uiPriority w:val="32"/>
    <w:qFormat/>
    <w:rsid w:val="001A43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ajung02@student.ubc.ca</dc:creator>
  <cp:keywords/>
  <dc:description/>
  <cp:lastModifiedBy>ajung02@student.ubc.ca</cp:lastModifiedBy>
  <cp:revision>3</cp:revision>
  <dcterms:created xsi:type="dcterms:W3CDTF">2024-09-25T05:45:00Z</dcterms:created>
  <dcterms:modified xsi:type="dcterms:W3CDTF">2024-10-01T22:33:00Z</dcterms:modified>
</cp:coreProperties>
</file>