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6D0" w:rsidRDefault="008341E6" w:rsidP="00033038">
      <w:pPr>
        <w:jc w:val="both"/>
        <w:rPr>
          <w:b/>
        </w:rPr>
      </w:pPr>
      <w:r w:rsidRPr="00033038">
        <w:rPr>
          <w:b/>
        </w:rPr>
        <w:t>Predicting Credit Returns – An Asset Allocator’s Perspective</w:t>
      </w:r>
    </w:p>
    <w:p w:rsidR="00780228" w:rsidRPr="00033038" w:rsidRDefault="00780228" w:rsidP="00033038">
      <w:pPr>
        <w:jc w:val="both"/>
        <w:rPr>
          <w:b/>
        </w:rPr>
      </w:pPr>
      <w:r>
        <w:rPr>
          <w:b/>
        </w:rPr>
        <w:t>Author: Pranav Aggarwal</w:t>
      </w:r>
    </w:p>
    <w:p w:rsidR="008341E6" w:rsidRDefault="008341E6" w:rsidP="00033038">
      <w:pPr>
        <w:jc w:val="both"/>
      </w:pPr>
      <w:bookmarkStart w:id="0" w:name="_GoBack"/>
      <w:bookmarkEnd w:id="0"/>
      <w:r>
        <w:t xml:space="preserve">Timing entry into different asset classes is the fundamental problem in </w:t>
      </w:r>
      <w:r w:rsidR="009F5882">
        <w:t xml:space="preserve">tactical </w:t>
      </w:r>
      <w:r>
        <w:t xml:space="preserve">asset allocation. Investment grade and high yield bonds form a significant asset class with a particularly strong value anchor which makes timing the asset class a fruitful exercise. </w:t>
      </w:r>
    </w:p>
    <w:p w:rsidR="008341E6" w:rsidRDefault="008341E6" w:rsidP="00033038">
      <w:pPr>
        <w:jc w:val="both"/>
      </w:pPr>
      <w:r>
        <w:t xml:space="preserve">This article explores using the option adjusted spread </w:t>
      </w:r>
      <w:r w:rsidR="00BB6556">
        <w:t xml:space="preserve">(OAS) </w:t>
      </w:r>
      <w:r>
        <w:t>on</w:t>
      </w:r>
      <w:r w:rsidR="00BB6556">
        <w:t xml:space="preserve"> </w:t>
      </w:r>
      <w:r w:rsidR="009F5882">
        <w:t>credit indices</w:t>
      </w:r>
      <w:r w:rsidR="00BB6556">
        <w:t xml:space="preserve"> as a timing signal into the asset class and as a predictor for future returns</w:t>
      </w:r>
      <w:r w:rsidR="009F5882">
        <w:t xml:space="preserve"> for both IG and HY indices.</w:t>
      </w:r>
    </w:p>
    <w:p w:rsidR="008341E6" w:rsidRDefault="00BB6556" w:rsidP="00033038">
      <w:pPr>
        <w:jc w:val="both"/>
      </w:pPr>
      <w:r>
        <w:t xml:space="preserve">The option adjusted spread (OAS) for a fixed income security measures the spread (or yield difference) between the fixed income security and the risk free yield, adjusted for any embedded options. Simply put – the OAS is the yield of the fixed income security above that of the equivalent risk free government bond, adjusted for any embedded optionality. This is the compensation </w:t>
      </w:r>
      <w:r w:rsidR="009F5882">
        <w:t xml:space="preserve">that the </w:t>
      </w:r>
      <w:r>
        <w:t xml:space="preserve">bond holder </w:t>
      </w:r>
      <w:r w:rsidR="009F5882">
        <w:t xml:space="preserve">gets for </w:t>
      </w:r>
      <w:r>
        <w:t>provid</w:t>
      </w:r>
      <w:r w:rsidR="009F5882">
        <w:t>ing capital to the ‘credit-risky’ bond issuer compared to providing capital to the ‘risk-free’ government bond.</w:t>
      </w:r>
    </w:p>
    <w:p w:rsidR="00BB6556" w:rsidRDefault="00BB6556" w:rsidP="00033038">
      <w:pPr>
        <w:jc w:val="both"/>
      </w:pPr>
      <w:r>
        <w:t xml:space="preserve">Looking at the option adjusted spread on Global Investment Grade and Global High Yield bond indices in </w:t>
      </w:r>
      <w:r w:rsidR="00033038">
        <w:t>F</w:t>
      </w:r>
      <w:r>
        <w:t>ig</w:t>
      </w:r>
      <w:r w:rsidR="00033038">
        <w:t>ures 1 and 2 respectively</w:t>
      </w:r>
      <w:r>
        <w:t>, we can clearly see that these are no</w:t>
      </w:r>
      <w:r w:rsidR="00882DC7">
        <w:t xml:space="preserve">t constant through time as market </w:t>
      </w:r>
      <w:r w:rsidR="00165AB4">
        <w:t xml:space="preserve">and default </w:t>
      </w:r>
      <w:r w:rsidR="00882DC7">
        <w:t xml:space="preserve">risks and investor sentiment evolve. </w:t>
      </w:r>
    </w:p>
    <w:p w:rsidR="00971616" w:rsidRDefault="0032799F" w:rsidP="0032799F">
      <w:pPr>
        <w:jc w:val="both"/>
      </w:pPr>
      <w:r>
        <w:rPr>
          <w:noProof/>
          <w:lang w:eastAsia="en-GB"/>
        </w:rPr>
        <w:drawing>
          <wp:inline distT="0" distB="0" distL="0" distR="0">
            <wp:extent cx="5731510" cy="3410268"/>
            <wp:effectExtent l="0" t="0" r="2540" b="0"/>
            <wp:docPr id="4" name="Picture 4" descr="U:\AssetAllocation\Pranav\CPD\data_science_blogpost\IGO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ssetAllocation\Pranav\CPD\data_science_blogpost\IGOA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10268"/>
                    </a:xfrm>
                    <a:prstGeom prst="rect">
                      <a:avLst/>
                    </a:prstGeom>
                    <a:noFill/>
                    <a:ln>
                      <a:noFill/>
                    </a:ln>
                  </pic:spPr>
                </pic:pic>
              </a:graphicData>
            </a:graphic>
          </wp:inline>
        </w:drawing>
      </w:r>
    </w:p>
    <w:p w:rsidR="00BB6556" w:rsidRDefault="00033038" w:rsidP="00971616">
      <w:pPr>
        <w:jc w:val="center"/>
        <w:rPr>
          <w:i/>
        </w:rPr>
      </w:pPr>
      <w:r w:rsidRPr="00971616">
        <w:rPr>
          <w:i/>
        </w:rPr>
        <w:t>Figure 1 – Option Adjusted Spread for the Global Investment Grade Index</w:t>
      </w:r>
    </w:p>
    <w:p w:rsidR="00971616" w:rsidRPr="00971616" w:rsidRDefault="00971616" w:rsidP="00971616">
      <w:pPr>
        <w:jc w:val="center"/>
        <w:rPr>
          <w:b/>
          <w:i/>
        </w:rPr>
      </w:pPr>
    </w:p>
    <w:p w:rsidR="00971616" w:rsidRDefault="0032799F" w:rsidP="00971616">
      <w:pPr>
        <w:jc w:val="center"/>
        <w:rPr>
          <w:i/>
        </w:rPr>
      </w:pPr>
      <w:r>
        <w:rPr>
          <w:noProof/>
          <w:lang w:eastAsia="en-GB"/>
        </w:rPr>
        <w:lastRenderedPageBreak/>
        <w:drawing>
          <wp:inline distT="0" distB="0" distL="0" distR="0">
            <wp:extent cx="5731510" cy="3650868"/>
            <wp:effectExtent l="0" t="0" r="2540" b="6985"/>
            <wp:docPr id="5" name="Picture 5" descr="U:\AssetAllocation\Pranav\CPD\data_science_blogpost\HYO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AssetAllocation\Pranav\CPD\data_science_blogpost\HYO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50868"/>
                    </a:xfrm>
                    <a:prstGeom prst="rect">
                      <a:avLst/>
                    </a:prstGeom>
                    <a:noFill/>
                    <a:ln>
                      <a:noFill/>
                    </a:ln>
                  </pic:spPr>
                </pic:pic>
              </a:graphicData>
            </a:graphic>
          </wp:inline>
        </w:drawing>
      </w:r>
      <w:r w:rsidR="00971616" w:rsidRPr="00971616">
        <w:rPr>
          <w:i/>
        </w:rPr>
        <w:t xml:space="preserve">Figure </w:t>
      </w:r>
      <w:r w:rsidR="00971616">
        <w:rPr>
          <w:i/>
        </w:rPr>
        <w:t>2</w:t>
      </w:r>
      <w:r w:rsidR="00971616" w:rsidRPr="00971616">
        <w:rPr>
          <w:i/>
        </w:rPr>
        <w:t xml:space="preserve"> – Option Adjusted Spread for the Global </w:t>
      </w:r>
      <w:r w:rsidR="00971616">
        <w:rPr>
          <w:i/>
        </w:rPr>
        <w:t xml:space="preserve">High Yield </w:t>
      </w:r>
      <w:r w:rsidR="00971616" w:rsidRPr="00971616">
        <w:rPr>
          <w:i/>
        </w:rPr>
        <w:t>Index</w:t>
      </w:r>
    </w:p>
    <w:p w:rsidR="00DE3FBA" w:rsidRDefault="0032799F" w:rsidP="0032799F">
      <w:pPr>
        <w:jc w:val="both"/>
      </w:pPr>
      <w:r>
        <w:t xml:space="preserve">Part of the reason for the drift in the OAS over time is the changing composition of the index. Credit rating agencies assign a credit rating to each issuer. Credit ratings are a discrete measure of the credit risk in a bond.  There are three main credit ratings agencies </w:t>
      </w:r>
      <w:r w:rsidR="0081453D">
        <w:t xml:space="preserve">and there is generally a high degree of correlation between the ratings assigned by each to any given issuer. We will be using the credit ratings by S&amp;P. Table 1 shows the credit ratings used by S&amp;P. </w:t>
      </w:r>
      <w:r w:rsidR="00DE3FBA">
        <w:t xml:space="preserve">Bonds rated AAA to BBB are considered Investment Grade (IG) while bonds rated BB downwards are considered High Yield (HY) or ‘junk’ bonds. </w:t>
      </w:r>
    </w:p>
    <w:p w:rsidR="0032799F" w:rsidRDefault="0081453D" w:rsidP="0032799F">
      <w:pPr>
        <w:jc w:val="both"/>
      </w:pPr>
      <w:r>
        <w:t>Figures 3 and 4 show how the composition of the Global IG and Global HY indices has changed from a credit ratings lens.</w:t>
      </w:r>
      <w:r w:rsidR="009F05D3">
        <w:t xml:space="preserve"> There has been significant shift in the average credit rating of bonds in each index. The IG index has a much higher proportion of BBB and </w:t>
      </w:r>
      <w:proofErr w:type="gramStart"/>
      <w:r w:rsidR="009F05D3">
        <w:t>A</w:t>
      </w:r>
      <w:proofErr w:type="gramEnd"/>
      <w:r w:rsidR="009F05D3">
        <w:t xml:space="preserve"> bonds now than it did historically – the average credit rating for the IG index is much worse now than in the early 2000’s. </w:t>
      </w:r>
    </w:p>
    <w:p w:rsidR="009F05D3" w:rsidRDefault="009F05D3" w:rsidP="0032799F">
      <w:pPr>
        <w:jc w:val="both"/>
      </w:pPr>
      <w:r>
        <w:t>For the HY index – the opposite is true. The credit rating of the average bond in the HY universe is better now than it was in the early 2000’s.</w:t>
      </w:r>
    </w:p>
    <w:p w:rsidR="00BB6556" w:rsidRDefault="00C326B5" w:rsidP="00033038">
      <w:pPr>
        <w:jc w:val="both"/>
      </w:pPr>
      <w:r w:rsidRPr="00C326B5">
        <w:rPr>
          <w:noProof/>
          <w:lang w:eastAsia="en-GB"/>
        </w:rPr>
        <w:drawing>
          <wp:inline distT="0" distB="0" distL="0" distR="0" wp14:anchorId="53437455" wp14:editId="5DD2B000">
            <wp:extent cx="5731510" cy="1868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868865"/>
                    </a:xfrm>
                    <a:prstGeom prst="rect">
                      <a:avLst/>
                    </a:prstGeom>
                  </pic:spPr>
                </pic:pic>
              </a:graphicData>
            </a:graphic>
          </wp:inline>
        </w:drawing>
      </w:r>
    </w:p>
    <w:p w:rsidR="00BB6556" w:rsidRPr="00C326B5" w:rsidRDefault="00C326B5" w:rsidP="00033038">
      <w:pPr>
        <w:jc w:val="both"/>
        <w:rPr>
          <w:i/>
        </w:rPr>
      </w:pPr>
      <w:r w:rsidRPr="00C326B5">
        <w:rPr>
          <w:i/>
        </w:rPr>
        <w:lastRenderedPageBreak/>
        <w:t>Table 1 – Credit ratings from the three major credit agencies</w:t>
      </w:r>
    </w:p>
    <w:p w:rsidR="00C326B5" w:rsidRDefault="00DE3FBA" w:rsidP="00033038">
      <w:pPr>
        <w:jc w:val="both"/>
      </w:pPr>
      <w:r>
        <w:rPr>
          <w:noProof/>
          <w:lang w:eastAsia="en-GB"/>
        </w:rPr>
        <w:drawing>
          <wp:inline distT="0" distB="0" distL="0" distR="0">
            <wp:extent cx="5486400" cy="3636645"/>
            <wp:effectExtent l="0" t="0" r="0" b="1905"/>
            <wp:docPr id="6" name="Picture 6" descr="U:\AssetAllocation\Pranav\CPD\data_science_blogpost\IG_percentage_each_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AssetAllocation\Pranav\CPD\data_science_blogpost\IG_percentage_each_rat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36645"/>
                    </a:xfrm>
                    <a:prstGeom prst="rect">
                      <a:avLst/>
                    </a:prstGeom>
                    <a:noFill/>
                    <a:ln>
                      <a:noFill/>
                    </a:ln>
                  </pic:spPr>
                </pic:pic>
              </a:graphicData>
            </a:graphic>
          </wp:inline>
        </w:drawing>
      </w:r>
    </w:p>
    <w:p w:rsidR="00DE3FBA" w:rsidRDefault="00DE3FBA" w:rsidP="00033038">
      <w:pPr>
        <w:jc w:val="both"/>
      </w:pPr>
      <w:r>
        <w:t>Figure 3 – Global IG index – composition split by credit rating of underlying bonds in index</w:t>
      </w:r>
    </w:p>
    <w:p w:rsidR="00DE3FBA" w:rsidRDefault="00DE3FBA" w:rsidP="00DE3FBA">
      <w:pPr>
        <w:jc w:val="both"/>
      </w:pPr>
      <w:r>
        <w:rPr>
          <w:noProof/>
          <w:lang w:eastAsia="en-GB"/>
        </w:rPr>
        <w:drawing>
          <wp:inline distT="0" distB="0" distL="0" distR="0">
            <wp:extent cx="5486400" cy="3636645"/>
            <wp:effectExtent l="0" t="0" r="0" b="1905"/>
            <wp:docPr id="8" name="Picture 8" descr="U:\AssetAllocation\Pranav\CPD\data_science_blogpost\HY_percentage_each_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AssetAllocation\Pranav\CPD\data_science_blogpost\HY_percentage_each_rat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36645"/>
                    </a:xfrm>
                    <a:prstGeom prst="rect">
                      <a:avLst/>
                    </a:prstGeom>
                    <a:noFill/>
                    <a:ln>
                      <a:noFill/>
                    </a:ln>
                  </pic:spPr>
                </pic:pic>
              </a:graphicData>
            </a:graphic>
          </wp:inline>
        </w:drawing>
      </w:r>
    </w:p>
    <w:p w:rsidR="00DE3FBA" w:rsidRDefault="00DE3FBA" w:rsidP="00DE3FBA">
      <w:pPr>
        <w:jc w:val="both"/>
      </w:pPr>
      <w:r>
        <w:t>Figure 4 – Global HY index – composition split by credit rating of underlying bonds in index</w:t>
      </w:r>
    </w:p>
    <w:p w:rsidR="00DE3FBA" w:rsidRDefault="00DE3FBA" w:rsidP="00033038">
      <w:pPr>
        <w:jc w:val="both"/>
      </w:pPr>
    </w:p>
    <w:p w:rsidR="00DE3FBA" w:rsidRDefault="008B36CD" w:rsidP="00033038">
      <w:pPr>
        <w:jc w:val="both"/>
      </w:pPr>
      <w:r>
        <w:lastRenderedPageBreak/>
        <w:t xml:space="preserve">Assuming the objectivity of the credit ratings agencies has not changed over time, i.e. assuming a company with the same characteristics would have been rated the same in the year 2000 as now – we can calculate what the ‘drift adjusted’ OAS should be. Here we are correcting for the changing composition of the index by fixing the index composition at today’s composition and backing out the index OAS given today’s composition. It is worth mentioning that the assumption on the constant objectivity of credit ratings agencies through time is not a trivial one and can be investigated, though that is a debate for another article. </w:t>
      </w:r>
    </w:p>
    <w:p w:rsidR="00DE3FBA" w:rsidRDefault="002C0D2B" w:rsidP="00033038">
      <w:pPr>
        <w:jc w:val="both"/>
      </w:pPr>
      <w:r>
        <w:t xml:space="preserve">This ratings drift adjusted OAS for both Global IG and Global HY indices is shows in figures 5 and 6 respectively along with the unadjusted OAS for each market. As can be seen the adjustment is significant. </w:t>
      </w:r>
    </w:p>
    <w:p w:rsidR="00C326B5" w:rsidRDefault="006B25AE" w:rsidP="00033038">
      <w:pPr>
        <w:jc w:val="both"/>
      </w:pPr>
      <w:r>
        <w:rPr>
          <w:noProof/>
          <w:lang w:eastAsia="en-GB"/>
        </w:rPr>
        <w:drawing>
          <wp:inline distT="0" distB="0" distL="0" distR="0">
            <wp:extent cx="5731510" cy="3386978"/>
            <wp:effectExtent l="0" t="0" r="2540" b="4445"/>
            <wp:docPr id="9" name="Picture 9" descr="U:\AssetAllocation\Pranav\CPD\data_science_blogpost\drift_adjusted_OAS_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AssetAllocation\Pranav\CPD\data_science_blogpost\drift_adjusted_OAS_I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6978"/>
                    </a:xfrm>
                    <a:prstGeom prst="rect">
                      <a:avLst/>
                    </a:prstGeom>
                    <a:noFill/>
                    <a:ln>
                      <a:noFill/>
                    </a:ln>
                  </pic:spPr>
                </pic:pic>
              </a:graphicData>
            </a:graphic>
          </wp:inline>
        </w:drawing>
      </w:r>
    </w:p>
    <w:p w:rsidR="006B25AE" w:rsidRDefault="006B25AE" w:rsidP="00033038">
      <w:pPr>
        <w:jc w:val="both"/>
      </w:pPr>
      <w:r>
        <w:t>Figure 5 – Composition adjusted OAS for Global IG index assuming today’s composition. If the IG index had today’s composition, the OAS would have been much higher historically (blue line)</w:t>
      </w:r>
    </w:p>
    <w:p w:rsidR="006B25AE" w:rsidRDefault="006B25AE" w:rsidP="006B25AE">
      <w:pPr>
        <w:jc w:val="both"/>
      </w:pPr>
      <w:r>
        <w:rPr>
          <w:noProof/>
          <w:lang w:eastAsia="en-GB"/>
        </w:rPr>
        <w:lastRenderedPageBreak/>
        <w:drawing>
          <wp:inline distT="0" distB="0" distL="0" distR="0">
            <wp:extent cx="5731510" cy="3546309"/>
            <wp:effectExtent l="0" t="0" r="2540" b="0"/>
            <wp:docPr id="11" name="Picture 11" descr="U:\AssetAllocation\Pranav\CPD\data_science_blogpost\drift_adjusted_OAS_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AssetAllocation\Pranav\CPD\data_science_blogpost\drift_adjusted_OAS_H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46309"/>
                    </a:xfrm>
                    <a:prstGeom prst="rect">
                      <a:avLst/>
                    </a:prstGeom>
                    <a:noFill/>
                    <a:ln>
                      <a:noFill/>
                    </a:ln>
                  </pic:spPr>
                </pic:pic>
              </a:graphicData>
            </a:graphic>
          </wp:inline>
        </w:drawing>
      </w:r>
    </w:p>
    <w:p w:rsidR="006B25AE" w:rsidRDefault="006B25AE" w:rsidP="006B25AE">
      <w:pPr>
        <w:jc w:val="both"/>
      </w:pPr>
      <w:r>
        <w:t>Figure 6 – Composition adjusted OAS for Global HY index assuming today’s composition. If the HY index had today’s composition, the OAS would have been lower historically (blue line)</w:t>
      </w:r>
    </w:p>
    <w:p w:rsidR="006B25AE" w:rsidRDefault="007F3768" w:rsidP="00033038">
      <w:pPr>
        <w:jc w:val="both"/>
        <w:rPr>
          <w:b/>
          <w:i/>
        </w:rPr>
      </w:pPr>
      <w:r>
        <w:t>This adjustment bring</w:t>
      </w:r>
      <w:r w:rsidR="00573300">
        <w:t>s</w:t>
      </w:r>
      <w:r>
        <w:t xml:space="preserve"> the data exploration and wrangling to a close. Now we turn to the main question we are looking to answer - </w:t>
      </w:r>
      <w:r w:rsidRPr="007F3768">
        <w:rPr>
          <w:b/>
          <w:i/>
        </w:rPr>
        <w:t>Can the Option Adjusted Spread for an index predict the future returns for that index?</w:t>
      </w:r>
    </w:p>
    <w:p w:rsidR="00E673D0" w:rsidRDefault="00573300" w:rsidP="00033038">
      <w:pPr>
        <w:jc w:val="both"/>
      </w:pPr>
      <w:r>
        <w:t>The first test comes from looking at the scatter plot of starting OAS and the subsequent period excess returns over the equivalent maturity government bond. Fig 7</w:t>
      </w:r>
      <w:r w:rsidR="00892D51">
        <w:t xml:space="preserve"> </w:t>
      </w:r>
      <w:r>
        <w:t xml:space="preserve">look at the starting </w:t>
      </w:r>
      <w:r w:rsidR="00E673D0">
        <w:t xml:space="preserve">IG index </w:t>
      </w:r>
      <w:r>
        <w:t xml:space="preserve">OAS </w:t>
      </w:r>
      <w:r w:rsidR="00E673D0">
        <w:t>and subsequent period returns where the period length is 13 weeks, 26 weeks and 52 weeks respectively. There is a clear positive correlation between the two</w:t>
      </w:r>
      <w:r w:rsidR="00281AEF">
        <w:t>,</w:t>
      </w:r>
      <w:r w:rsidR="00E673D0">
        <w:t xml:space="preserve"> and indeed the correlation is much stronger than one find generally in financial markets. The same can be seen for the HY OAS in </w:t>
      </w:r>
      <w:r w:rsidR="00892D51">
        <w:t>F</w:t>
      </w:r>
      <w:r w:rsidR="00E673D0">
        <w:t>ig</w:t>
      </w:r>
      <w:r w:rsidR="00892D51">
        <w:t xml:space="preserve"> </w:t>
      </w:r>
      <w:r w:rsidR="00E673D0">
        <w:t xml:space="preserve">8. </w:t>
      </w:r>
    </w:p>
    <w:p w:rsidR="00E97ECC" w:rsidRPr="00E97ECC" w:rsidRDefault="00892D51" w:rsidP="00033038">
      <w:pPr>
        <w:jc w:val="both"/>
        <w:rPr>
          <w:b/>
        </w:rPr>
      </w:pPr>
      <w:r w:rsidRPr="00E97ECC">
        <w:rPr>
          <w:b/>
        </w:rPr>
        <w:t xml:space="preserve">Rationalising </w:t>
      </w:r>
      <w:r w:rsidR="00E97ECC" w:rsidRPr="00E97ECC">
        <w:rPr>
          <w:b/>
        </w:rPr>
        <w:t>the positive correlation between starting spreads and subsequent returns</w:t>
      </w:r>
    </w:p>
    <w:p w:rsidR="00E97ECC" w:rsidRDefault="00E97ECC" w:rsidP="00033038">
      <w:pPr>
        <w:jc w:val="both"/>
      </w:pPr>
      <w:r>
        <w:t>The return for a buy and hold investor in a bond is:</w:t>
      </w:r>
    </w:p>
    <w:p w:rsidR="00E97ECC" w:rsidRPr="00E97ECC" w:rsidRDefault="00E97ECC" w:rsidP="00033038">
      <w:pPr>
        <w:jc w:val="both"/>
        <w:rPr>
          <w:b/>
          <w:sz w:val="24"/>
        </w:rPr>
      </w:pPr>
      <w:r w:rsidRPr="00E97ECC">
        <w:rPr>
          <w:b/>
          <w:sz w:val="24"/>
        </w:rPr>
        <w:t xml:space="preserve">Excess Ret = OAS + </w:t>
      </w:r>
      <w:r>
        <w:rPr>
          <w:b/>
          <w:sz w:val="24"/>
        </w:rPr>
        <w:t xml:space="preserve">Change in value </w:t>
      </w:r>
      <w:r w:rsidRPr="00E97ECC">
        <w:rPr>
          <w:b/>
          <w:sz w:val="24"/>
        </w:rPr>
        <w:t xml:space="preserve">due to changes in OAS – default </w:t>
      </w:r>
      <w:r>
        <w:rPr>
          <w:b/>
          <w:sz w:val="24"/>
        </w:rPr>
        <w:t xml:space="preserve">&amp; </w:t>
      </w:r>
      <w:r w:rsidRPr="00E97ECC">
        <w:rPr>
          <w:b/>
          <w:sz w:val="24"/>
        </w:rPr>
        <w:t>downgrading losses</w:t>
      </w:r>
    </w:p>
    <w:p w:rsidR="00E97ECC" w:rsidRDefault="00E97ECC" w:rsidP="00033038">
      <w:pPr>
        <w:jc w:val="both"/>
      </w:pPr>
      <w:r>
        <w:t>I</w:t>
      </w:r>
      <w:r w:rsidR="00892D51">
        <w:t xml:space="preserve">n the absence of any further movement on the OAS, unless the default and downgrading losses go up one for one with OAS, the income due to higher yield is going to push subsequent period returns higher. </w:t>
      </w:r>
      <w:r>
        <w:t xml:space="preserve">This is the income component. </w:t>
      </w:r>
    </w:p>
    <w:p w:rsidR="00281AEF" w:rsidRDefault="00E97ECC" w:rsidP="00033038">
      <w:pPr>
        <w:jc w:val="both"/>
      </w:pPr>
      <w:r>
        <w:t xml:space="preserve">Secondly, the change in OAS for Global IG and Global HY is negatively correlated to the starting value of OAS. Essentially, if starting OAS is high, the correlation implies that the OAS is likely to revert towards the mean. This is the capital appreciation component. This mean reversion in spreads adds to the higher income component at times when OAS is high leading to an outperformance. </w:t>
      </w:r>
    </w:p>
    <w:p w:rsidR="00573300" w:rsidRDefault="00551B06" w:rsidP="00551B06">
      <w:pPr>
        <w:jc w:val="center"/>
      </w:pPr>
      <w:r>
        <w:rPr>
          <w:noProof/>
          <w:lang w:eastAsia="en-GB"/>
        </w:rPr>
        <w:lastRenderedPageBreak/>
        <w:drawing>
          <wp:inline distT="0" distB="0" distL="0" distR="0">
            <wp:extent cx="4620260" cy="2721935"/>
            <wp:effectExtent l="0" t="0" r="8890" b="2540"/>
            <wp:docPr id="16" name="Picture 16" descr="U:\AssetAllocation\Pranav\CPD\data_science_blogpost\IG_OAS_vs_next_13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AssetAllocation\Pranav\CPD\data_science_blogpost\IG_OAS_vs_next_13_week_retur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391" b="1829"/>
                    <a:stretch/>
                  </pic:blipFill>
                  <pic:spPr bwMode="auto">
                    <a:xfrm>
                      <a:off x="0" y="0"/>
                      <a:ext cx="4623125" cy="2723623"/>
                    </a:xfrm>
                    <a:prstGeom prst="rect">
                      <a:avLst/>
                    </a:prstGeom>
                    <a:noFill/>
                    <a:ln>
                      <a:noFill/>
                    </a:ln>
                    <a:extLst>
                      <a:ext uri="{53640926-AAD7-44D8-BBD7-CCE9431645EC}">
                        <a14:shadowObscured xmlns:a14="http://schemas.microsoft.com/office/drawing/2010/main"/>
                      </a:ext>
                    </a:extLst>
                  </pic:spPr>
                </pic:pic>
              </a:graphicData>
            </a:graphic>
          </wp:inline>
        </w:drawing>
      </w:r>
    </w:p>
    <w:p w:rsidR="00551B06" w:rsidRDefault="00551B06" w:rsidP="00551B06">
      <w:pPr>
        <w:jc w:val="center"/>
      </w:pPr>
      <w:r>
        <w:rPr>
          <w:noProof/>
          <w:lang w:eastAsia="en-GB"/>
        </w:rPr>
        <w:drawing>
          <wp:inline distT="0" distB="0" distL="0" distR="0">
            <wp:extent cx="4593265" cy="2771797"/>
            <wp:effectExtent l="0" t="0" r="0" b="0"/>
            <wp:docPr id="17" name="Picture 17" descr="U:\AssetAllocation\Pranav\CPD\data_science_blogpost\IG_OAS_vs_next_26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AssetAllocation\Pranav\CPD\data_science_blogpost\IG_OAS_vs_next_26_week_retur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6564" b="2187"/>
                    <a:stretch/>
                  </pic:blipFill>
                  <pic:spPr bwMode="auto">
                    <a:xfrm>
                      <a:off x="0" y="0"/>
                      <a:ext cx="4603544" cy="2778000"/>
                    </a:xfrm>
                    <a:prstGeom prst="rect">
                      <a:avLst/>
                    </a:prstGeom>
                    <a:noFill/>
                    <a:ln>
                      <a:noFill/>
                    </a:ln>
                    <a:extLst>
                      <a:ext uri="{53640926-AAD7-44D8-BBD7-CCE9431645EC}">
                        <a14:shadowObscured xmlns:a14="http://schemas.microsoft.com/office/drawing/2010/main"/>
                      </a:ext>
                    </a:extLst>
                  </pic:spPr>
                </pic:pic>
              </a:graphicData>
            </a:graphic>
          </wp:inline>
        </w:drawing>
      </w:r>
    </w:p>
    <w:p w:rsidR="007F3768" w:rsidRDefault="00551B06" w:rsidP="00551B06">
      <w:pPr>
        <w:jc w:val="center"/>
      </w:pPr>
      <w:r>
        <w:rPr>
          <w:noProof/>
          <w:lang w:eastAsia="en-GB"/>
        </w:rPr>
        <w:drawing>
          <wp:inline distT="0" distB="0" distL="0" distR="0">
            <wp:extent cx="4497572" cy="2700406"/>
            <wp:effectExtent l="0" t="0" r="0" b="5080"/>
            <wp:docPr id="18" name="Picture 18" descr="U:\AssetAllocation\Pranav\CPD\data_science_blogpost\IG_OAS_vs_next_52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AssetAllocation\Pranav\CPD\data_science_blogpost\IG_OAS_vs_next_52_week_retur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5848" b="2046"/>
                    <a:stretch/>
                  </pic:blipFill>
                  <pic:spPr bwMode="auto">
                    <a:xfrm>
                      <a:off x="0" y="0"/>
                      <a:ext cx="4503084" cy="2703715"/>
                    </a:xfrm>
                    <a:prstGeom prst="rect">
                      <a:avLst/>
                    </a:prstGeom>
                    <a:noFill/>
                    <a:ln>
                      <a:noFill/>
                    </a:ln>
                    <a:extLst>
                      <a:ext uri="{53640926-AAD7-44D8-BBD7-CCE9431645EC}">
                        <a14:shadowObscured xmlns:a14="http://schemas.microsoft.com/office/drawing/2010/main"/>
                      </a:ext>
                    </a:extLst>
                  </pic:spPr>
                </pic:pic>
              </a:graphicData>
            </a:graphic>
          </wp:inline>
        </w:drawing>
      </w:r>
    </w:p>
    <w:p w:rsidR="00E673D0" w:rsidRPr="00551B06" w:rsidRDefault="00551B06" w:rsidP="00551B06">
      <w:pPr>
        <w:jc w:val="center"/>
        <w:rPr>
          <w:i/>
        </w:rPr>
      </w:pPr>
      <w:r w:rsidRPr="008326B3">
        <w:rPr>
          <w:i/>
          <w:sz w:val="21"/>
        </w:rPr>
        <w:t>Fig 7:</w:t>
      </w:r>
      <w:r w:rsidR="008326B3" w:rsidRPr="008326B3">
        <w:rPr>
          <w:i/>
          <w:sz w:val="21"/>
        </w:rPr>
        <w:t xml:space="preserve"> </w:t>
      </w:r>
      <w:r w:rsidRPr="008326B3">
        <w:rPr>
          <w:i/>
          <w:sz w:val="21"/>
        </w:rPr>
        <w:t>Starting</w:t>
      </w:r>
      <w:r w:rsidR="008326B3" w:rsidRPr="008326B3">
        <w:rPr>
          <w:i/>
          <w:sz w:val="21"/>
        </w:rPr>
        <w:t xml:space="preserve"> IG </w:t>
      </w:r>
      <w:r w:rsidRPr="008326B3">
        <w:rPr>
          <w:i/>
          <w:sz w:val="21"/>
        </w:rPr>
        <w:t>OAS and subsequent period return</w:t>
      </w:r>
      <w:proofErr w:type="gramStart"/>
      <w:r w:rsidRPr="008326B3">
        <w:rPr>
          <w:i/>
          <w:sz w:val="21"/>
        </w:rPr>
        <w:t>:13</w:t>
      </w:r>
      <w:proofErr w:type="gramEnd"/>
      <w:r w:rsidRPr="008326B3">
        <w:rPr>
          <w:i/>
          <w:sz w:val="21"/>
        </w:rPr>
        <w:t xml:space="preserve"> weeks (top), 26 weeks (mid), 52 weeks (bottom)</w:t>
      </w:r>
    </w:p>
    <w:p w:rsidR="00551B06" w:rsidRDefault="008326B3" w:rsidP="00551B06">
      <w:pPr>
        <w:jc w:val="center"/>
      </w:pPr>
      <w:r>
        <w:rPr>
          <w:noProof/>
          <w:lang w:eastAsia="en-GB"/>
        </w:rPr>
        <w:lastRenderedPageBreak/>
        <w:drawing>
          <wp:inline distT="0" distB="0" distL="0" distR="0">
            <wp:extent cx="4572000" cy="2696848"/>
            <wp:effectExtent l="0" t="0" r="0" b="8255"/>
            <wp:docPr id="22" name="Picture 22" descr="U:\AssetAllocation\Pranav\CPD\data_science_blogpost\HY_OAS_vs_next_13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AssetAllocation\Pranav\CPD\data_science_blogpost\HY_OAS_vs_next_13_week_retur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216" b="1973"/>
                    <a:stretch/>
                  </pic:blipFill>
                  <pic:spPr bwMode="auto">
                    <a:xfrm>
                      <a:off x="0" y="0"/>
                      <a:ext cx="4577545" cy="2700119"/>
                    </a:xfrm>
                    <a:prstGeom prst="rect">
                      <a:avLst/>
                    </a:prstGeom>
                    <a:noFill/>
                    <a:ln>
                      <a:noFill/>
                    </a:ln>
                    <a:extLst>
                      <a:ext uri="{53640926-AAD7-44D8-BBD7-CCE9431645EC}">
                        <a14:shadowObscured xmlns:a14="http://schemas.microsoft.com/office/drawing/2010/main"/>
                      </a:ext>
                    </a:extLst>
                  </pic:spPr>
                </pic:pic>
              </a:graphicData>
            </a:graphic>
          </wp:inline>
        </w:drawing>
      </w:r>
    </w:p>
    <w:p w:rsidR="008326B3" w:rsidRDefault="008326B3" w:rsidP="00551B06">
      <w:pPr>
        <w:jc w:val="center"/>
      </w:pPr>
      <w:r>
        <w:rPr>
          <w:noProof/>
          <w:lang w:eastAsia="en-GB"/>
        </w:rPr>
        <w:drawing>
          <wp:inline distT="0" distB="0" distL="0" distR="0">
            <wp:extent cx="4467784" cy="2690037"/>
            <wp:effectExtent l="0" t="0" r="9525" b="0"/>
            <wp:docPr id="23" name="Picture 23" descr="U:\AssetAllocation\Pranav\CPD\data_science_blogpost\HY_OAS_vs_next_26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AssetAllocation\Pranav\CPD\data_science_blogpost\HY_OAS_vs_next_26_week_retur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5442" b="1928"/>
                    <a:stretch/>
                  </pic:blipFill>
                  <pic:spPr bwMode="auto">
                    <a:xfrm>
                      <a:off x="0" y="0"/>
                      <a:ext cx="4486797" cy="2701485"/>
                    </a:xfrm>
                    <a:prstGeom prst="rect">
                      <a:avLst/>
                    </a:prstGeom>
                    <a:noFill/>
                    <a:ln>
                      <a:noFill/>
                    </a:ln>
                    <a:extLst>
                      <a:ext uri="{53640926-AAD7-44D8-BBD7-CCE9431645EC}">
                        <a14:shadowObscured xmlns:a14="http://schemas.microsoft.com/office/drawing/2010/main"/>
                      </a:ext>
                    </a:extLst>
                  </pic:spPr>
                </pic:pic>
              </a:graphicData>
            </a:graphic>
          </wp:inline>
        </w:drawing>
      </w:r>
    </w:p>
    <w:p w:rsidR="008326B3" w:rsidRDefault="008326B3" w:rsidP="00551B06">
      <w:pPr>
        <w:jc w:val="center"/>
      </w:pPr>
      <w:r>
        <w:rPr>
          <w:noProof/>
          <w:lang w:eastAsia="en-GB"/>
        </w:rPr>
        <w:drawing>
          <wp:inline distT="0" distB="0" distL="0" distR="0">
            <wp:extent cx="4530753" cy="2785730"/>
            <wp:effectExtent l="0" t="0" r="3175" b="0"/>
            <wp:docPr id="24" name="Picture 24" descr="U:\AssetAllocation\Pranav\CPD\data_science_blogpost\HY_OAS_vs_next_52_wee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AssetAllocation\Pranav\CPD\data_science_blogpost\HY_OAS_vs_next_52_week_return.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5600" b="1641"/>
                    <a:stretch/>
                  </pic:blipFill>
                  <pic:spPr bwMode="auto">
                    <a:xfrm>
                      <a:off x="0" y="0"/>
                      <a:ext cx="4540489" cy="2791716"/>
                    </a:xfrm>
                    <a:prstGeom prst="rect">
                      <a:avLst/>
                    </a:prstGeom>
                    <a:noFill/>
                    <a:ln>
                      <a:noFill/>
                    </a:ln>
                    <a:extLst>
                      <a:ext uri="{53640926-AAD7-44D8-BBD7-CCE9431645EC}">
                        <a14:shadowObscured xmlns:a14="http://schemas.microsoft.com/office/drawing/2010/main"/>
                      </a:ext>
                    </a:extLst>
                  </pic:spPr>
                </pic:pic>
              </a:graphicData>
            </a:graphic>
          </wp:inline>
        </w:drawing>
      </w:r>
    </w:p>
    <w:p w:rsidR="008326B3" w:rsidRPr="00551B06" w:rsidRDefault="008326B3" w:rsidP="008326B3">
      <w:pPr>
        <w:jc w:val="center"/>
        <w:rPr>
          <w:i/>
        </w:rPr>
      </w:pPr>
      <w:r w:rsidRPr="008326B3">
        <w:rPr>
          <w:i/>
          <w:sz w:val="21"/>
        </w:rPr>
        <w:t>Fig 8:</w:t>
      </w:r>
      <w:r w:rsidR="00843412">
        <w:rPr>
          <w:i/>
          <w:sz w:val="21"/>
        </w:rPr>
        <w:t xml:space="preserve"> </w:t>
      </w:r>
      <w:r w:rsidRPr="008326B3">
        <w:rPr>
          <w:i/>
          <w:sz w:val="21"/>
        </w:rPr>
        <w:t>Starting HY OAS and subsequent period return</w:t>
      </w:r>
      <w:proofErr w:type="gramStart"/>
      <w:r w:rsidRPr="008326B3">
        <w:rPr>
          <w:i/>
          <w:sz w:val="21"/>
        </w:rPr>
        <w:t>:13</w:t>
      </w:r>
      <w:proofErr w:type="gramEnd"/>
      <w:r w:rsidRPr="008326B3">
        <w:rPr>
          <w:i/>
          <w:sz w:val="21"/>
        </w:rPr>
        <w:t xml:space="preserve"> weeks (top), 26 weeks (mid), 52 weeks (bottom)</w:t>
      </w:r>
    </w:p>
    <w:p w:rsidR="00843412" w:rsidRPr="00843412" w:rsidRDefault="00843412" w:rsidP="00843412">
      <w:pPr>
        <w:jc w:val="both"/>
        <w:rPr>
          <w:b/>
        </w:rPr>
      </w:pPr>
      <w:r w:rsidRPr="00843412">
        <w:rPr>
          <w:b/>
        </w:rPr>
        <w:lastRenderedPageBreak/>
        <w:t>Correlation Strength and Holding Periods</w:t>
      </w:r>
    </w:p>
    <w:p w:rsidR="00843412" w:rsidRDefault="00843412" w:rsidP="00843412">
      <w:pPr>
        <w:jc w:val="both"/>
      </w:pPr>
      <w:r>
        <w:t xml:space="preserve">The correlation appears to get stronger the longer the holding period. The correlation between stating OAS and subsequent period excess return is explored over a range of period length ranging from 1 week to 78 weeks for both Global IG and Global HY. The results can be seen in Fig 9. There appears to be a clear monotonic relationship between the holding period and the correlation between starting OAS for both IG and HY. </w:t>
      </w:r>
      <w:r w:rsidR="00C12ABA">
        <w:t>Another thing to note is the slightly higher correlation for HY compared to IG. It must be noted however that both sets of correlations are very</w:t>
      </w:r>
      <w:r w:rsidR="00E662F9">
        <w:t xml:space="preserve"> high compared to other models generally available in most financial markets. </w:t>
      </w:r>
    </w:p>
    <w:p w:rsidR="00843412" w:rsidRDefault="00C16BCE" w:rsidP="00843412">
      <w:pPr>
        <w:jc w:val="both"/>
      </w:pPr>
      <w:r>
        <w:t xml:space="preserve">The higher correlation can be interpreted as reduced uncertainty in the outcome. </w:t>
      </w:r>
      <w:r w:rsidR="00843412">
        <w:t xml:space="preserve">This reduced uncertainty in outcome at longer holding periods is because spreads need time to mean revert. In fact, spreads are positively serially correlated over shorter time periods and are mean reverting over longer time periods. This phenomenon directly contributes to the stronger correlation we see at higher holding periods. </w:t>
      </w:r>
    </w:p>
    <w:p w:rsidR="00843412" w:rsidRDefault="00C16BCE" w:rsidP="00C16BCE">
      <w:pPr>
        <w:jc w:val="center"/>
      </w:pPr>
      <w:r>
        <w:rPr>
          <w:noProof/>
          <w:lang w:eastAsia="en-GB"/>
        </w:rPr>
        <w:drawing>
          <wp:inline distT="0" distB="0" distL="0" distR="0">
            <wp:extent cx="5730949" cy="3083442"/>
            <wp:effectExtent l="0" t="0" r="3175" b="3175"/>
            <wp:docPr id="25" name="Picture 25" descr="U:\AssetAllocation\Pranav\CPD\data_science_blogpost\IG_HY_correl_full_peri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AssetAllocation\Pranav\CPD\data_science_blogpost\IG_HY_correl_full_period.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5661" b="3140"/>
                    <a:stretch/>
                  </pic:blipFill>
                  <pic:spPr bwMode="auto">
                    <a:xfrm>
                      <a:off x="0" y="0"/>
                      <a:ext cx="5731510" cy="3083744"/>
                    </a:xfrm>
                    <a:prstGeom prst="rect">
                      <a:avLst/>
                    </a:prstGeom>
                    <a:noFill/>
                    <a:ln>
                      <a:noFill/>
                    </a:ln>
                    <a:extLst>
                      <a:ext uri="{53640926-AAD7-44D8-BBD7-CCE9431645EC}">
                        <a14:shadowObscured xmlns:a14="http://schemas.microsoft.com/office/drawing/2010/main"/>
                      </a:ext>
                    </a:extLst>
                  </pic:spPr>
                </pic:pic>
              </a:graphicData>
            </a:graphic>
          </wp:inline>
        </w:drawing>
      </w:r>
    </w:p>
    <w:p w:rsidR="00C16BCE" w:rsidRPr="00551B06" w:rsidRDefault="00C16BCE" w:rsidP="00C16BCE">
      <w:pPr>
        <w:jc w:val="center"/>
        <w:rPr>
          <w:i/>
        </w:rPr>
      </w:pPr>
      <w:r w:rsidRPr="008326B3">
        <w:rPr>
          <w:i/>
          <w:sz w:val="21"/>
        </w:rPr>
        <w:t xml:space="preserve">Fig </w:t>
      </w:r>
      <w:r>
        <w:rPr>
          <w:i/>
          <w:sz w:val="21"/>
        </w:rPr>
        <w:t>9</w:t>
      </w:r>
      <w:r w:rsidRPr="008326B3">
        <w:rPr>
          <w:i/>
          <w:sz w:val="21"/>
        </w:rPr>
        <w:t>:</w:t>
      </w:r>
      <w:r>
        <w:rPr>
          <w:i/>
          <w:sz w:val="21"/>
        </w:rPr>
        <w:t xml:space="preserve"> Correlation of OAS with next period returns for IG (blue) and HY (orange)</w:t>
      </w:r>
    </w:p>
    <w:p w:rsidR="00C16BCE" w:rsidRDefault="00CB627C" w:rsidP="00C16BCE">
      <w:r>
        <w:t>This monotonic relationship, though great on aver</w:t>
      </w:r>
      <w:r w:rsidR="00895F75">
        <w:t xml:space="preserve">age from Jan 2000 to June 2020, does not exist </w:t>
      </w:r>
      <w:r w:rsidR="00ED27B2">
        <w:t xml:space="preserve">for all periods. Fig 10 and Fig 11 show the correlation charts broken </w:t>
      </w:r>
      <w:r w:rsidR="00AA5FC7">
        <w:t>down by different</w:t>
      </w:r>
      <w:r w:rsidR="008834E5">
        <w:t xml:space="preserve"> periods for IG and HY respectively. </w:t>
      </w:r>
      <w:r w:rsidR="0002141C">
        <w:t xml:space="preserve">The trends are very similar to the one observed for the full dataset in Fig 9. However, periods, particularly the period spanning Jan 2006 to Jan 2008 shows a very different result. Investing in a </w:t>
      </w:r>
    </w:p>
    <w:p w:rsidR="00AA5FC7" w:rsidRDefault="00AA5FC7" w:rsidP="00C16BCE">
      <w:r>
        <w:rPr>
          <w:noProof/>
          <w:lang w:eastAsia="en-GB"/>
        </w:rPr>
        <w:lastRenderedPageBreak/>
        <w:drawing>
          <wp:inline distT="0" distB="0" distL="0" distR="0">
            <wp:extent cx="5731702" cy="3710763"/>
            <wp:effectExtent l="0" t="0" r="2540" b="4445"/>
            <wp:docPr id="26" name="Picture 26" descr="U:\AssetAllocation\Pranav\CPD\data_science_blogpost\IG_correl_different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AssetAllocation\Pranav\CPD\data_science_blogpost\IG_correl_different_time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4549" t="6267" r="7531" b="5072"/>
                    <a:stretch/>
                  </pic:blipFill>
                  <pic:spPr bwMode="auto">
                    <a:xfrm>
                      <a:off x="0" y="0"/>
                      <a:ext cx="5743319" cy="3718284"/>
                    </a:xfrm>
                    <a:prstGeom prst="rect">
                      <a:avLst/>
                    </a:prstGeom>
                    <a:noFill/>
                    <a:ln>
                      <a:noFill/>
                    </a:ln>
                    <a:extLst>
                      <a:ext uri="{53640926-AAD7-44D8-BBD7-CCE9431645EC}">
                        <a14:shadowObscured xmlns:a14="http://schemas.microsoft.com/office/drawing/2010/main"/>
                      </a:ext>
                    </a:extLst>
                  </pic:spPr>
                </pic:pic>
              </a:graphicData>
            </a:graphic>
          </wp:inline>
        </w:drawing>
      </w:r>
    </w:p>
    <w:p w:rsidR="00843412" w:rsidRDefault="00AA5FC7" w:rsidP="00AA5FC7">
      <w:pPr>
        <w:jc w:val="center"/>
      </w:pPr>
      <w:r w:rsidRPr="008326B3">
        <w:rPr>
          <w:i/>
          <w:sz w:val="21"/>
        </w:rPr>
        <w:t xml:space="preserve">Fig </w:t>
      </w:r>
      <w:r>
        <w:rPr>
          <w:i/>
          <w:sz w:val="21"/>
        </w:rPr>
        <w:t>10</w:t>
      </w:r>
      <w:r w:rsidRPr="008326B3">
        <w:rPr>
          <w:i/>
          <w:sz w:val="21"/>
        </w:rPr>
        <w:t>:</w:t>
      </w:r>
      <w:r>
        <w:rPr>
          <w:i/>
          <w:sz w:val="21"/>
        </w:rPr>
        <w:t xml:space="preserve"> Correlation of OAS with next period returns for IG </w:t>
      </w:r>
      <w:r w:rsidR="00D31132">
        <w:rPr>
          <w:i/>
          <w:sz w:val="21"/>
        </w:rPr>
        <w:t>in each period</w:t>
      </w:r>
    </w:p>
    <w:p w:rsidR="00843412" w:rsidRDefault="00AA5FC7" w:rsidP="00843412">
      <w:pPr>
        <w:jc w:val="both"/>
      </w:pPr>
      <w:r>
        <w:rPr>
          <w:noProof/>
          <w:lang w:eastAsia="en-GB"/>
        </w:rPr>
        <w:drawing>
          <wp:inline distT="0" distB="0" distL="0" distR="0">
            <wp:extent cx="5867297" cy="3763925"/>
            <wp:effectExtent l="0" t="0" r="635" b="8255"/>
            <wp:docPr id="27" name="Picture 27" descr="U:\AssetAllocation\Pranav\CPD\data_science_blogpost\HY_correl_different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AssetAllocation\Pranav\CPD\data_science_blogpost\HY_correl_different_time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5196" t="6687" r="6285" b="4360"/>
                    <a:stretch/>
                  </pic:blipFill>
                  <pic:spPr bwMode="auto">
                    <a:xfrm>
                      <a:off x="0" y="0"/>
                      <a:ext cx="5869341" cy="3765236"/>
                    </a:xfrm>
                    <a:prstGeom prst="rect">
                      <a:avLst/>
                    </a:prstGeom>
                    <a:noFill/>
                    <a:ln>
                      <a:noFill/>
                    </a:ln>
                    <a:extLst>
                      <a:ext uri="{53640926-AAD7-44D8-BBD7-CCE9431645EC}">
                        <a14:shadowObscured xmlns:a14="http://schemas.microsoft.com/office/drawing/2010/main"/>
                      </a:ext>
                    </a:extLst>
                  </pic:spPr>
                </pic:pic>
              </a:graphicData>
            </a:graphic>
          </wp:inline>
        </w:drawing>
      </w:r>
    </w:p>
    <w:p w:rsidR="00843412" w:rsidRDefault="00AA5FC7" w:rsidP="00AA5FC7">
      <w:pPr>
        <w:jc w:val="center"/>
      </w:pPr>
      <w:r w:rsidRPr="008326B3">
        <w:rPr>
          <w:i/>
          <w:sz w:val="21"/>
        </w:rPr>
        <w:t xml:space="preserve">Fig </w:t>
      </w:r>
      <w:r>
        <w:rPr>
          <w:i/>
          <w:sz w:val="21"/>
        </w:rPr>
        <w:t>11</w:t>
      </w:r>
      <w:r w:rsidRPr="008326B3">
        <w:rPr>
          <w:i/>
          <w:sz w:val="21"/>
        </w:rPr>
        <w:t>:</w:t>
      </w:r>
      <w:r>
        <w:rPr>
          <w:i/>
          <w:sz w:val="21"/>
        </w:rPr>
        <w:t xml:space="preserve"> Correlation of OAS with next period returns for </w:t>
      </w:r>
      <w:r w:rsidR="00D31132">
        <w:rPr>
          <w:i/>
          <w:sz w:val="21"/>
        </w:rPr>
        <w:t>HY in each period</w:t>
      </w:r>
    </w:p>
    <w:p w:rsidR="00843412" w:rsidRDefault="00843412" w:rsidP="00843412">
      <w:pPr>
        <w:jc w:val="both"/>
      </w:pPr>
    </w:p>
    <w:p w:rsidR="008326B3" w:rsidRPr="00A70A2E" w:rsidRDefault="00B13131" w:rsidP="00B13131">
      <w:pPr>
        <w:rPr>
          <w:b/>
          <w:sz w:val="24"/>
        </w:rPr>
      </w:pPr>
      <w:r w:rsidRPr="00A70A2E">
        <w:rPr>
          <w:b/>
          <w:sz w:val="24"/>
        </w:rPr>
        <w:lastRenderedPageBreak/>
        <w:t>Conclusion</w:t>
      </w:r>
    </w:p>
    <w:p w:rsidR="00B13131" w:rsidRDefault="00B13131" w:rsidP="00B13131">
      <w:pPr>
        <w:pStyle w:val="graf"/>
      </w:pPr>
      <w:r>
        <w:t>What should be clear from the above analysis is that option adjusted spreads are a great predictor for future return for corporate bonds (both investment grade and high yield bonds). OAS is a value indicator for corporate bonds. The predictive power of OAS in corporate bonds is higher than for valuation based indicators in other asset classes like equities — simply because of the more mean-reverting nature of spreads which give corporate bonds a stronger valuation anchor. </w:t>
      </w:r>
    </w:p>
    <w:p w:rsidR="00B13131" w:rsidRDefault="00B13131" w:rsidP="00B13131">
      <w:pPr>
        <w:pStyle w:val="graf"/>
      </w:pPr>
      <w:r>
        <w:t>Devising a trading strategy around OAS is clearly possible. A simple approach would be to use z-scores or percentiles whereby the investor compares the OAS of the bond index now vs historical values. Higher z-scores or percentile values would lead to a buy signal and vice -versa.</w:t>
      </w:r>
    </w:p>
    <w:p w:rsidR="00B13131" w:rsidRDefault="00B13131" w:rsidP="00B13131">
      <w:pPr>
        <w:pStyle w:val="graf"/>
      </w:pPr>
      <w:r>
        <w:t>As with most valuation models — combining this strategy with a trend model would be beneficial from a correlation perspective — ultimately achieving higher Information Ratios and lower drawdowns. We will be discussing trend models in another part of the ‘Strategies for Investing in Corporate Bonds’ series.</w:t>
      </w:r>
    </w:p>
    <w:p w:rsidR="00E673D0" w:rsidRPr="007F3768" w:rsidRDefault="00E673D0" w:rsidP="00033038">
      <w:pPr>
        <w:jc w:val="both"/>
      </w:pPr>
    </w:p>
    <w:sectPr w:rsidR="00E673D0" w:rsidRPr="007F3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1E6"/>
    <w:rsid w:val="0002141C"/>
    <w:rsid w:val="00033038"/>
    <w:rsid w:val="00133AB9"/>
    <w:rsid w:val="00165AB4"/>
    <w:rsid w:val="00281AEF"/>
    <w:rsid w:val="002C0D2B"/>
    <w:rsid w:val="002F2C76"/>
    <w:rsid w:val="002F5A89"/>
    <w:rsid w:val="0032799F"/>
    <w:rsid w:val="00551B06"/>
    <w:rsid w:val="00573300"/>
    <w:rsid w:val="006B25AE"/>
    <w:rsid w:val="00780228"/>
    <w:rsid w:val="007F3768"/>
    <w:rsid w:val="0081453D"/>
    <w:rsid w:val="008326B3"/>
    <w:rsid w:val="008341E6"/>
    <w:rsid w:val="00843412"/>
    <w:rsid w:val="00882DC7"/>
    <w:rsid w:val="008834E5"/>
    <w:rsid w:val="00892D51"/>
    <w:rsid w:val="00895F75"/>
    <w:rsid w:val="008A3D7D"/>
    <w:rsid w:val="008B36CD"/>
    <w:rsid w:val="00971616"/>
    <w:rsid w:val="009F05D3"/>
    <w:rsid w:val="009F36D0"/>
    <w:rsid w:val="009F5882"/>
    <w:rsid w:val="00A70A2E"/>
    <w:rsid w:val="00AA5FC7"/>
    <w:rsid w:val="00B13131"/>
    <w:rsid w:val="00BB6556"/>
    <w:rsid w:val="00C12ABA"/>
    <w:rsid w:val="00C16BCE"/>
    <w:rsid w:val="00C326B5"/>
    <w:rsid w:val="00CA0277"/>
    <w:rsid w:val="00CB627C"/>
    <w:rsid w:val="00CC4BC1"/>
    <w:rsid w:val="00D31132"/>
    <w:rsid w:val="00DE3FBA"/>
    <w:rsid w:val="00E662F9"/>
    <w:rsid w:val="00E673D0"/>
    <w:rsid w:val="00E97ECC"/>
    <w:rsid w:val="00ED27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038"/>
    <w:rPr>
      <w:rFonts w:ascii="Tahoma" w:hAnsi="Tahoma" w:cs="Tahoma"/>
      <w:sz w:val="16"/>
      <w:szCs w:val="16"/>
    </w:rPr>
  </w:style>
  <w:style w:type="paragraph" w:customStyle="1" w:styleId="graf">
    <w:name w:val="graf"/>
    <w:basedOn w:val="Normal"/>
    <w:rsid w:val="00B1313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038"/>
    <w:rPr>
      <w:rFonts w:ascii="Tahoma" w:hAnsi="Tahoma" w:cs="Tahoma"/>
      <w:sz w:val="16"/>
      <w:szCs w:val="16"/>
    </w:rPr>
  </w:style>
  <w:style w:type="paragraph" w:customStyle="1" w:styleId="graf">
    <w:name w:val="graf"/>
    <w:basedOn w:val="Normal"/>
    <w:rsid w:val="00B1313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50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8668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aggarp</dc:creator>
  <cp:lastModifiedBy>aggarp</cp:lastModifiedBy>
  <cp:revision>35</cp:revision>
  <dcterms:created xsi:type="dcterms:W3CDTF">2020-07-05T20:27:00Z</dcterms:created>
  <dcterms:modified xsi:type="dcterms:W3CDTF">2020-08-31T00:01:00Z</dcterms:modified>
</cp:coreProperties>
</file>