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541C" w14:textId="77777777" w:rsidR="0059254A" w:rsidRDefault="0059254A" w:rsidP="0059254A">
      <w:pPr>
        <w:rPr>
          <w:b/>
        </w:rPr>
      </w:pPr>
      <w:bookmarkStart w:id="0" w:name="_Toc16763861"/>
      <w:r w:rsidRPr="00DD66A7">
        <w:rPr>
          <w:noProof/>
        </w:rPr>
        <w:drawing>
          <wp:anchor distT="0" distB="0" distL="114300" distR="114300" simplePos="0" relativeHeight="251659264" behindDoc="0" locked="0" layoutInCell="1" allowOverlap="1" wp14:anchorId="04E92E75" wp14:editId="00A7F01C">
            <wp:simplePos x="0" y="0"/>
            <wp:positionH relativeFrom="column">
              <wp:posOffset>-3175</wp:posOffset>
            </wp:positionH>
            <wp:positionV relativeFrom="paragraph">
              <wp:posOffset>120650</wp:posOffset>
            </wp:positionV>
            <wp:extent cx="1344295" cy="1115695"/>
            <wp:effectExtent l="0" t="0" r="1905" b="1905"/>
            <wp:wrapTopAndBottom/>
            <wp:docPr id="1" name="Picture 14">
              <a:extLst xmlns:a="http://schemas.openxmlformats.org/drawingml/2006/main">
                <a:ext uri="{FF2B5EF4-FFF2-40B4-BE49-F238E27FC236}">
                  <a16:creationId xmlns:a16="http://schemas.microsoft.com/office/drawing/2014/main" id="{AE348CB3-1D37-412A-985C-E2F790D6D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E348CB3-1D37-412A-985C-E2F790D6D0D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4295" cy="1115695"/>
                    </a:xfrm>
                    <a:prstGeom prst="rect">
                      <a:avLst/>
                    </a:prstGeom>
                  </pic:spPr>
                </pic:pic>
              </a:graphicData>
            </a:graphic>
            <wp14:sizeRelH relativeFrom="margin">
              <wp14:pctWidth>0</wp14:pctWidth>
            </wp14:sizeRelH>
            <wp14:sizeRelV relativeFrom="margin">
              <wp14:pctHeight>0</wp14:pctHeight>
            </wp14:sizeRelV>
          </wp:anchor>
        </w:drawing>
      </w:r>
    </w:p>
    <w:p w14:paraId="31F65DCF" w14:textId="77777777" w:rsidR="0059254A" w:rsidRDefault="0059254A" w:rsidP="0059254A">
      <w:pPr>
        <w:rPr>
          <w:b/>
        </w:rPr>
      </w:pPr>
    </w:p>
    <w:p w14:paraId="5379AB69" w14:textId="77777777" w:rsidR="0059254A" w:rsidRDefault="0059254A" w:rsidP="0059254A">
      <w:pPr>
        <w:rPr>
          <w:b/>
        </w:rPr>
      </w:pPr>
    </w:p>
    <w:p w14:paraId="7DB1B37B" w14:textId="77777777" w:rsidR="0059254A" w:rsidRDefault="0059254A" w:rsidP="0059254A">
      <w:pPr>
        <w:rPr>
          <w:b/>
        </w:rPr>
      </w:pPr>
    </w:p>
    <w:p w14:paraId="253F7BCF" w14:textId="77777777" w:rsidR="0059254A" w:rsidRDefault="0059254A" w:rsidP="0059254A">
      <w:pPr>
        <w:rPr>
          <w:b/>
        </w:rPr>
      </w:pPr>
    </w:p>
    <w:p w14:paraId="0F7D6D13" w14:textId="77777777" w:rsidR="0059254A" w:rsidRDefault="0059254A" w:rsidP="0059254A">
      <w:pPr>
        <w:rPr>
          <w:b/>
        </w:rPr>
      </w:pPr>
    </w:p>
    <w:p w14:paraId="59CE2035" w14:textId="77777777" w:rsidR="0059254A" w:rsidRDefault="0059254A" w:rsidP="0059254A">
      <w:pPr>
        <w:rPr>
          <w:b/>
        </w:rPr>
      </w:pPr>
    </w:p>
    <w:p w14:paraId="53B674D5" w14:textId="77777777" w:rsidR="0059254A" w:rsidRDefault="0059254A" w:rsidP="0059254A">
      <w:pPr>
        <w:rPr>
          <w:b/>
        </w:rPr>
      </w:pPr>
    </w:p>
    <w:p w14:paraId="19ACF895" w14:textId="77777777" w:rsidR="0059254A" w:rsidRDefault="0059254A" w:rsidP="0059254A">
      <w:pPr>
        <w:rPr>
          <w:b/>
        </w:rPr>
      </w:pPr>
    </w:p>
    <w:p w14:paraId="1BC92082" w14:textId="77777777" w:rsidR="0059254A" w:rsidRDefault="0059254A" w:rsidP="0059254A">
      <w:pPr>
        <w:rPr>
          <w:b/>
        </w:rPr>
      </w:pPr>
    </w:p>
    <w:p w14:paraId="0DF0CD6F" w14:textId="77777777" w:rsidR="0059254A" w:rsidRDefault="0059254A" w:rsidP="0059254A">
      <w:pPr>
        <w:rPr>
          <w:b/>
        </w:rPr>
      </w:pPr>
    </w:p>
    <w:p w14:paraId="6A05C342" w14:textId="77777777" w:rsidR="0059254A" w:rsidRDefault="0059254A" w:rsidP="0059254A">
      <w:pPr>
        <w:rPr>
          <w:b/>
        </w:rPr>
      </w:pPr>
    </w:p>
    <w:p w14:paraId="7A20B40F" w14:textId="77777777" w:rsidR="0059254A" w:rsidRPr="004C1AD2" w:rsidRDefault="0059254A" w:rsidP="0059254A">
      <w:pPr>
        <w:rPr>
          <w:b/>
          <w:bCs/>
          <w:sz w:val="48"/>
          <w:szCs w:val="48"/>
        </w:rPr>
      </w:pPr>
      <w:r w:rsidRPr="004C1AD2">
        <w:rPr>
          <w:b/>
          <w:bCs/>
          <w:sz w:val="48"/>
          <w:szCs w:val="48"/>
        </w:rPr>
        <w:t>State of Aadhaar 2019</w:t>
      </w:r>
      <w:r>
        <w:rPr>
          <w:b/>
          <w:bCs/>
          <w:sz w:val="48"/>
          <w:szCs w:val="48"/>
        </w:rPr>
        <w:t>:</w:t>
      </w:r>
    </w:p>
    <w:p w14:paraId="53A891AB" w14:textId="13216515" w:rsidR="0059254A" w:rsidRPr="004C1AD2" w:rsidRDefault="0059254A" w:rsidP="0059254A">
      <w:pPr>
        <w:rPr>
          <w:b/>
          <w:bCs/>
          <w:sz w:val="48"/>
          <w:szCs w:val="48"/>
        </w:rPr>
      </w:pPr>
      <w:r>
        <w:rPr>
          <w:b/>
          <w:bCs/>
          <w:sz w:val="48"/>
          <w:szCs w:val="48"/>
        </w:rPr>
        <w:t>Detailed Methodology Note</w:t>
      </w:r>
      <w:bookmarkStart w:id="1" w:name="_GoBack"/>
      <w:bookmarkEnd w:id="1"/>
    </w:p>
    <w:p w14:paraId="700BADAB" w14:textId="77777777" w:rsidR="00624319" w:rsidRPr="00A13B61" w:rsidRDefault="00624319" w:rsidP="00F511BC">
      <w:r w:rsidRPr="00A13B61">
        <w:br w:type="page"/>
      </w:r>
    </w:p>
    <w:sdt>
      <w:sdtPr>
        <w:rPr>
          <w:b w:val="0"/>
          <w:color w:val="auto"/>
          <w:sz w:val="22"/>
          <w:szCs w:val="22"/>
        </w:rPr>
        <w:id w:val="-1330979335"/>
        <w:docPartObj>
          <w:docPartGallery w:val="Table of Contents"/>
          <w:docPartUnique/>
        </w:docPartObj>
      </w:sdtPr>
      <w:sdtEndPr>
        <w:rPr>
          <w:sz w:val="19"/>
          <w:szCs w:val="18"/>
        </w:rPr>
      </w:sdtEndPr>
      <w:sdtContent>
        <w:p w14:paraId="0A24F469" w14:textId="4745B5A1" w:rsidR="00624319" w:rsidRPr="007C5E3A" w:rsidRDefault="00624319" w:rsidP="00F511BC">
          <w:pPr>
            <w:pStyle w:val="TOCHeading"/>
            <w:rPr>
              <w:color w:val="68B7E9"/>
            </w:rPr>
          </w:pPr>
          <w:r w:rsidRPr="007C5E3A">
            <w:rPr>
              <w:color w:val="68B7E9"/>
            </w:rPr>
            <w:t>Contents</w:t>
          </w:r>
        </w:p>
        <w:p w14:paraId="38064F64" w14:textId="060F980C" w:rsidR="001232D6" w:rsidRDefault="00624319" w:rsidP="001232D6">
          <w:pPr>
            <w:pStyle w:val="TOC1"/>
            <w:numPr>
              <w:ilvl w:val="0"/>
              <w:numId w:val="0"/>
            </w:numPr>
            <w:ind w:left="1440"/>
            <w:rPr>
              <w:rFonts w:asciiTheme="minorHAnsi" w:eastAsiaTheme="minorEastAsia" w:hAnsiTheme="minorHAnsi" w:cstheme="minorBidi"/>
              <w:b w:val="0"/>
              <w:sz w:val="24"/>
              <w:szCs w:val="24"/>
              <w:lang w:val="en-IN" w:eastAsia="en-GB"/>
            </w:rPr>
          </w:pPr>
          <w:r w:rsidRPr="00A13B61">
            <w:rPr>
              <w:noProof w:val="0"/>
            </w:rPr>
            <w:fldChar w:fldCharType="begin"/>
          </w:r>
          <w:r w:rsidRPr="00A13B61">
            <w:rPr>
              <w:noProof w:val="0"/>
            </w:rPr>
            <w:instrText xml:space="preserve"> TOC \o "1-3" \h \z \u </w:instrText>
          </w:r>
          <w:r w:rsidRPr="00A13B61">
            <w:rPr>
              <w:noProof w:val="0"/>
            </w:rPr>
            <w:fldChar w:fldCharType="separate"/>
          </w:r>
          <w:hyperlink w:anchor="_Toc25484971" w:history="1">
            <w:r w:rsidR="001232D6" w:rsidRPr="00166E02">
              <w:rPr>
                <w:rStyle w:val="Hyperlink"/>
              </w:rPr>
              <w:t>1</w:t>
            </w:r>
            <w:r w:rsidR="001232D6">
              <w:rPr>
                <w:rFonts w:asciiTheme="minorHAnsi" w:eastAsiaTheme="minorEastAsia" w:hAnsiTheme="minorHAnsi" w:cstheme="minorBidi"/>
                <w:b w:val="0"/>
                <w:sz w:val="24"/>
                <w:szCs w:val="24"/>
                <w:lang w:val="en-IN" w:eastAsia="en-GB"/>
              </w:rPr>
              <w:t xml:space="preserve"> </w:t>
            </w:r>
            <w:r w:rsidR="001232D6" w:rsidRPr="00166E02">
              <w:rPr>
                <w:rStyle w:val="Hyperlink"/>
              </w:rPr>
              <w:t>Overview</w:t>
            </w:r>
            <w:r w:rsidR="001232D6">
              <w:rPr>
                <w:webHidden/>
              </w:rPr>
              <w:tab/>
            </w:r>
            <w:r w:rsidR="001232D6">
              <w:rPr>
                <w:webHidden/>
              </w:rPr>
              <w:fldChar w:fldCharType="begin"/>
            </w:r>
            <w:r w:rsidR="001232D6">
              <w:rPr>
                <w:webHidden/>
              </w:rPr>
              <w:instrText xml:space="preserve"> PAGEREF _Toc25484971 \h </w:instrText>
            </w:r>
            <w:r w:rsidR="001232D6">
              <w:rPr>
                <w:webHidden/>
              </w:rPr>
            </w:r>
            <w:r w:rsidR="001232D6">
              <w:rPr>
                <w:webHidden/>
              </w:rPr>
              <w:fldChar w:fldCharType="separate"/>
            </w:r>
            <w:r w:rsidR="007C5E3A">
              <w:rPr>
                <w:webHidden/>
              </w:rPr>
              <w:t>3</w:t>
            </w:r>
            <w:r w:rsidR="001232D6">
              <w:rPr>
                <w:webHidden/>
              </w:rPr>
              <w:fldChar w:fldCharType="end"/>
            </w:r>
          </w:hyperlink>
        </w:p>
        <w:p w14:paraId="652076F5" w14:textId="060F338F" w:rsidR="001232D6" w:rsidRDefault="001232D6" w:rsidP="001232D6">
          <w:pPr>
            <w:pStyle w:val="TOC1"/>
            <w:numPr>
              <w:ilvl w:val="0"/>
              <w:numId w:val="0"/>
            </w:numPr>
            <w:ind w:left="1440"/>
            <w:rPr>
              <w:rFonts w:asciiTheme="minorHAnsi" w:eastAsiaTheme="minorEastAsia" w:hAnsiTheme="minorHAnsi" w:cstheme="minorBidi"/>
              <w:b w:val="0"/>
              <w:sz w:val="24"/>
              <w:szCs w:val="24"/>
              <w:lang w:val="en-IN" w:eastAsia="en-GB"/>
            </w:rPr>
          </w:pPr>
          <w:hyperlink w:anchor="_Toc25484972" w:history="1">
            <w:r w:rsidRPr="00166E02">
              <w:rPr>
                <w:rStyle w:val="Hyperlink"/>
              </w:rPr>
              <w:t>2</w:t>
            </w:r>
            <w:r>
              <w:rPr>
                <w:rFonts w:asciiTheme="minorHAnsi" w:eastAsiaTheme="minorEastAsia" w:hAnsiTheme="minorHAnsi" w:cstheme="minorBidi"/>
                <w:b w:val="0"/>
                <w:sz w:val="24"/>
                <w:szCs w:val="24"/>
                <w:lang w:val="en-IN" w:eastAsia="en-GB"/>
              </w:rPr>
              <w:t xml:space="preserve"> </w:t>
            </w:r>
            <w:r w:rsidRPr="00166E02">
              <w:rPr>
                <w:rStyle w:val="Hyperlink"/>
              </w:rPr>
              <w:t>Pre-Analysis</w:t>
            </w:r>
            <w:r>
              <w:rPr>
                <w:webHidden/>
              </w:rPr>
              <w:tab/>
            </w:r>
            <w:r>
              <w:rPr>
                <w:webHidden/>
              </w:rPr>
              <w:fldChar w:fldCharType="begin"/>
            </w:r>
            <w:r>
              <w:rPr>
                <w:webHidden/>
              </w:rPr>
              <w:instrText xml:space="preserve"> PAGEREF _Toc25484972 \h </w:instrText>
            </w:r>
            <w:r>
              <w:rPr>
                <w:webHidden/>
              </w:rPr>
            </w:r>
            <w:r>
              <w:rPr>
                <w:webHidden/>
              </w:rPr>
              <w:fldChar w:fldCharType="separate"/>
            </w:r>
            <w:r w:rsidR="007C5E3A">
              <w:rPr>
                <w:webHidden/>
              </w:rPr>
              <w:t>5</w:t>
            </w:r>
            <w:r>
              <w:rPr>
                <w:webHidden/>
              </w:rPr>
              <w:fldChar w:fldCharType="end"/>
            </w:r>
          </w:hyperlink>
        </w:p>
        <w:p w14:paraId="298087B9" w14:textId="10833DD0" w:rsidR="001232D6" w:rsidRDefault="001232D6">
          <w:pPr>
            <w:pStyle w:val="TOC2"/>
            <w:rPr>
              <w:rFonts w:asciiTheme="minorHAnsi" w:eastAsiaTheme="minorEastAsia" w:hAnsiTheme="minorHAnsi" w:cstheme="minorBidi"/>
              <w:sz w:val="24"/>
              <w:szCs w:val="24"/>
              <w:lang w:val="en-IN" w:eastAsia="en-GB"/>
            </w:rPr>
          </w:pPr>
          <w:hyperlink w:anchor="_Toc25484973" w:history="1">
            <w:r w:rsidRPr="00166E02">
              <w:rPr>
                <w:rStyle w:val="Hyperlink"/>
              </w:rPr>
              <w:t>2.1 In-Depth Survey</w:t>
            </w:r>
            <w:r>
              <w:rPr>
                <w:webHidden/>
              </w:rPr>
              <w:tab/>
            </w:r>
            <w:r>
              <w:rPr>
                <w:webHidden/>
              </w:rPr>
              <w:fldChar w:fldCharType="begin"/>
            </w:r>
            <w:r>
              <w:rPr>
                <w:webHidden/>
              </w:rPr>
              <w:instrText xml:space="preserve"> PAGEREF _Toc25484973 \h </w:instrText>
            </w:r>
            <w:r>
              <w:rPr>
                <w:webHidden/>
              </w:rPr>
            </w:r>
            <w:r>
              <w:rPr>
                <w:webHidden/>
              </w:rPr>
              <w:fldChar w:fldCharType="separate"/>
            </w:r>
            <w:r w:rsidR="007C5E3A">
              <w:rPr>
                <w:webHidden/>
              </w:rPr>
              <w:t>5</w:t>
            </w:r>
            <w:r>
              <w:rPr>
                <w:webHidden/>
              </w:rPr>
              <w:fldChar w:fldCharType="end"/>
            </w:r>
          </w:hyperlink>
        </w:p>
        <w:p w14:paraId="42E37B34" w14:textId="5DF7F91A" w:rsidR="001232D6" w:rsidRDefault="001232D6">
          <w:pPr>
            <w:pStyle w:val="TOC3"/>
            <w:rPr>
              <w:rFonts w:asciiTheme="minorHAnsi" w:eastAsiaTheme="minorEastAsia" w:hAnsiTheme="minorHAnsi" w:cstheme="minorBidi"/>
              <w:noProof/>
              <w:sz w:val="24"/>
              <w:szCs w:val="24"/>
              <w:lang w:val="en-IN" w:eastAsia="en-GB"/>
            </w:rPr>
          </w:pPr>
          <w:hyperlink w:anchor="_Toc25484974" w:history="1">
            <w:r w:rsidRPr="00166E02">
              <w:rPr>
                <w:rStyle w:val="Hyperlink"/>
                <w:noProof/>
              </w:rPr>
              <w:t>Questionnaire design</w:t>
            </w:r>
            <w:r>
              <w:rPr>
                <w:noProof/>
                <w:webHidden/>
              </w:rPr>
              <w:tab/>
            </w:r>
            <w:r>
              <w:rPr>
                <w:noProof/>
                <w:webHidden/>
              </w:rPr>
              <w:fldChar w:fldCharType="begin"/>
            </w:r>
            <w:r>
              <w:rPr>
                <w:noProof/>
                <w:webHidden/>
              </w:rPr>
              <w:instrText xml:space="preserve"> PAGEREF _Toc25484974 \h </w:instrText>
            </w:r>
            <w:r>
              <w:rPr>
                <w:noProof/>
                <w:webHidden/>
              </w:rPr>
            </w:r>
            <w:r>
              <w:rPr>
                <w:noProof/>
                <w:webHidden/>
              </w:rPr>
              <w:fldChar w:fldCharType="separate"/>
            </w:r>
            <w:r w:rsidR="007C5E3A">
              <w:rPr>
                <w:noProof/>
                <w:webHidden/>
              </w:rPr>
              <w:t>5</w:t>
            </w:r>
            <w:r>
              <w:rPr>
                <w:noProof/>
                <w:webHidden/>
              </w:rPr>
              <w:fldChar w:fldCharType="end"/>
            </w:r>
          </w:hyperlink>
        </w:p>
        <w:p w14:paraId="2BFA602B" w14:textId="0F70364A" w:rsidR="001232D6" w:rsidRDefault="001232D6">
          <w:pPr>
            <w:pStyle w:val="TOC3"/>
            <w:rPr>
              <w:rFonts w:asciiTheme="minorHAnsi" w:eastAsiaTheme="minorEastAsia" w:hAnsiTheme="minorHAnsi" w:cstheme="minorBidi"/>
              <w:noProof/>
              <w:sz w:val="24"/>
              <w:szCs w:val="24"/>
              <w:lang w:val="en-IN" w:eastAsia="en-GB"/>
            </w:rPr>
          </w:pPr>
          <w:hyperlink w:anchor="_Toc25484975" w:history="1">
            <w:r w:rsidRPr="00166E02">
              <w:rPr>
                <w:rStyle w:val="Hyperlink"/>
                <w:noProof/>
              </w:rPr>
              <w:t>Sampling design</w:t>
            </w:r>
            <w:r>
              <w:rPr>
                <w:noProof/>
                <w:webHidden/>
              </w:rPr>
              <w:tab/>
            </w:r>
            <w:r>
              <w:rPr>
                <w:noProof/>
                <w:webHidden/>
              </w:rPr>
              <w:fldChar w:fldCharType="begin"/>
            </w:r>
            <w:r>
              <w:rPr>
                <w:noProof/>
                <w:webHidden/>
              </w:rPr>
              <w:instrText xml:space="preserve"> PAGEREF _Toc25484975 \h </w:instrText>
            </w:r>
            <w:r>
              <w:rPr>
                <w:noProof/>
                <w:webHidden/>
              </w:rPr>
            </w:r>
            <w:r>
              <w:rPr>
                <w:noProof/>
                <w:webHidden/>
              </w:rPr>
              <w:fldChar w:fldCharType="separate"/>
            </w:r>
            <w:r w:rsidR="007C5E3A">
              <w:rPr>
                <w:noProof/>
                <w:webHidden/>
              </w:rPr>
              <w:t>6</w:t>
            </w:r>
            <w:r>
              <w:rPr>
                <w:noProof/>
                <w:webHidden/>
              </w:rPr>
              <w:fldChar w:fldCharType="end"/>
            </w:r>
          </w:hyperlink>
        </w:p>
        <w:p w14:paraId="3F482923" w14:textId="3A68D1F8" w:rsidR="001232D6" w:rsidRDefault="001232D6">
          <w:pPr>
            <w:pStyle w:val="TOC3"/>
            <w:rPr>
              <w:rFonts w:asciiTheme="minorHAnsi" w:eastAsiaTheme="minorEastAsia" w:hAnsiTheme="minorHAnsi" w:cstheme="minorBidi"/>
              <w:noProof/>
              <w:sz w:val="24"/>
              <w:szCs w:val="24"/>
              <w:lang w:val="en-IN" w:eastAsia="en-GB"/>
            </w:rPr>
          </w:pPr>
          <w:hyperlink w:anchor="_Toc25484976" w:history="1">
            <w:r w:rsidRPr="00166E02">
              <w:rPr>
                <w:rStyle w:val="Hyperlink"/>
                <w:noProof/>
              </w:rPr>
              <w:t>Pilots</w:t>
            </w:r>
            <w:r>
              <w:rPr>
                <w:noProof/>
                <w:webHidden/>
              </w:rPr>
              <w:tab/>
            </w:r>
            <w:r>
              <w:rPr>
                <w:noProof/>
                <w:webHidden/>
              </w:rPr>
              <w:fldChar w:fldCharType="begin"/>
            </w:r>
            <w:r>
              <w:rPr>
                <w:noProof/>
                <w:webHidden/>
              </w:rPr>
              <w:instrText xml:space="preserve"> PAGEREF _Toc25484976 \h </w:instrText>
            </w:r>
            <w:r>
              <w:rPr>
                <w:noProof/>
                <w:webHidden/>
              </w:rPr>
            </w:r>
            <w:r>
              <w:rPr>
                <w:noProof/>
                <w:webHidden/>
              </w:rPr>
              <w:fldChar w:fldCharType="separate"/>
            </w:r>
            <w:r w:rsidR="007C5E3A">
              <w:rPr>
                <w:noProof/>
                <w:webHidden/>
              </w:rPr>
              <w:t>7</w:t>
            </w:r>
            <w:r>
              <w:rPr>
                <w:noProof/>
                <w:webHidden/>
              </w:rPr>
              <w:fldChar w:fldCharType="end"/>
            </w:r>
          </w:hyperlink>
        </w:p>
        <w:p w14:paraId="4E5F038C" w14:textId="129E1E15" w:rsidR="001232D6" w:rsidRDefault="001232D6">
          <w:pPr>
            <w:pStyle w:val="TOC3"/>
            <w:rPr>
              <w:rFonts w:asciiTheme="minorHAnsi" w:eastAsiaTheme="minorEastAsia" w:hAnsiTheme="minorHAnsi" w:cstheme="minorBidi"/>
              <w:noProof/>
              <w:sz w:val="24"/>
              <w:szCs w:val="24"/>
              <w:lang w:val="en-IN" w:eastAsia="en-GB"/>
            </w:rPr>
          </w:pPr>
          <w:hyperlink w:anchor="_Toc25484977" w:history="1">
            <w:r w:rsidRPr="00166E02">
              <w:rPr>
                <w:rStyle w:val="Hyperlink"/>
                <w:noProof/>
              </w:rPr>
              <w:t>Data collection and quality checks</w:t>
            </w:r>
            <w:r>
              <w:rPr>
                <w:noProof/>
                <w:webHidden/>
              </w:rPr>
              <w:tab/>
            </w:r>
            <w:r>
              <w:rPr>
                <w:noProof/>
                <w:webHidden/>
              </w:rPr>
              <w:fldChar w:fldCharType="begin"/>
            </w:r>
            <w:r>
              <w:rPr>
                <w:noProof/>
                <w:webHidden/>
              </w:rPr>
              <w:instrText xml:space="preserve"> PAGEREF _Toc25484977 \h </w:instrText>
            </w:r>
            <w:r>
              <w:rPr>
                <w:noProof/>
                <w:webHidden/>
              </w:rPr>
            </w:r>
            <w:r>
              <w:rPr>
                <w:noProof/>
                <w:webHidden/>
              </w:rPr>
              <w:fldChar w:fldCharType="separate"/>
            </w:r>
            <w:r w:rsidR="007C5E3A">
              <w:rPr>
                <w:noProof/>
                <w:webHidden/>
              </w:rPr>
              <w:t>8</w:t>
            </w:r>
            <w:r>
              <w:rPr>
                <w:noProof/>
                <w:webHidden/>
              </w:rPr>
              <w:fldChar w:fldCharType="end"/>
            </w:r>
          </w:hyperlink>
        </w:p>
        <w:p w14:paraId="2E17F7EA" w14:textId="076B13F1" w:rsidR="001232D6" w:rsidRDefault="001232D6">
          <w:pPr>
            <w:pStyle w:val="TOC2"/>
            <w:rPr>
              <w:rFonts w:asciiTheme="minorHAnsi" w:eastAsiaTheme="minorEastAsia" w:hAnsiTheme="minorHAnsi" w:cstheme="minorBidi"/>
              <w:sz w:val="24"/>
              <w:szCs w:val="24"/>
              <w:lang w:val="en-IN" w:eastAsia="en-GB"/>
            </w:rPr>
          </w:pPr>
          <w:hyperlink w:anchor="_Toc25484978" w:history="1">
            <w:r w:rsidRPr="00166E02">
              <w:rPr>
                <w:rStyle w:val="Hyperlink"/>
              </w:rPr>
              <w:t>2.2 Pulse Survey</w:t>
            </w:r>
            <w:r>
              <w:rPr>
                <w:webHidden/>
              </w:rPr>
              <w:tab/>
            </w:r>
            <w:r>
              <w:rPr>
                <w:webHidden/>
              </w:rPr>
              <w:fldChar w:fldCharType="begin"/>
            </w:r>
            <w:r>
              <w:rPr>
                <w:webHidden/>
              </w:rPr>
              <w:instrText xml:space="preserve"> PAGEREF _Toc25484978 \h </w:instrText>
            </w:r>
            <w:r>
              <w:rPr>
                <w:webHidden/>
              </w:rPr>
            </w:r>
            <w:r>
              <w:rPr>
                <w:webHidden/>
              </w:rPr>
              <w:fldChar w:fldCharType="separate"/>
            </w:r>
            <w:r w:rsidR="007C5E3A">
              <w:rPr>
                <w:webHidden/>
              </w:rPr>
              <w:t>10</w:t>
            </w:r>
            <w:r>
              <w:rPr>
                <w:webHidden/>
              </w:rPr>
              <w:fldChar w:fldCharType="end"/>
            </w:r>
          </w:hyperlink>
        </w:p>
        <w:p w14:paraId="688E8E9E" w14:textId="456D72CC" w:rsidR="001232D6" w:rsidRDefault="001232D6">
          <w:pPr>
            <w:pStyle w:val="TOC3"/>
            <w:rPr>
              <w:rFonts w:asciiTheme="minorHAnsi" w:eastAsiaTheme="minorEastAsia" w:hAnsiTheme="minorHAnsi" w:cstheme="minorBidi"/>
              <w:noProof/>
              <w:sz w:val="24"/>
              <w:szCs w:val="24"/>
              <w:lang w:val="en-IN" w:eastAsia="en-GB"/>
            </w:rPr>
          </w:pPr>
          <w:hyperlink w:anchor="_Toc25484979" w:history="1">
            <w:r w:rsidRPr="00166E02">
              <w:rPr>
                <w:rStyle w:val="Hyperlink"/>
                <w:noProof/>
              </w:rPr>
              <w:t>Questionnaire design</w:t>
            </w:r>
            <w:r>
              <w:rPr>
                <w:noProof/>
                <w:webHidden/>
              </w:rPr>
              <w:tab/>
            </w:r>
            <w:r>
              <w:rPr>
                <w:noProof/>
                <w:webHidden/>
              </w:rPr>
              <w:fldChar w:fldCharType="begin"/>
            </w:r>
            <w:r>
              <w:rPr>
                <w:noProof/>
                <w:webHidden/>
              </w:rPr>
              <w:instrText xml:space="preserve"> PAGEREF _Toc25484979 \h </w:instrText>
            </w:r>
            <w:r>
              <w:rPr>
                <w:noProof/>
                <w:webHidden/>
              </w:rPr>
            </w:r>
            <w:r>
              <w:rPr>
                <w:noProof/>
                <w:webHidden/>
              </w:rPr>
              <w:fldChar w:fldCharType="separate"/>
            </w:r>
            <w:r w:rsidR="007C5E3A">
              <w:rPr>
                <w:noProof/>
                <w:webHidden/>
              </w:rPr>
              <w:t>10</w:t>
            </w:r>
            <w:r>
              <w:rPr>
                <w:noProof/>
                <w:webHidden/>
              </w:rPr>
              <w:fldChar w:fldCharType="end"/>
            </w:r>
          </w:hyperlink>
        </w:p>
        <w:p w14:paraId="40022F98" w14:textId="48620EED" w:rsidR="001232D6" w:rsidRDefault="001232D6">
          <w:pPr>
            <w:pStyle w:val="TOC3"/>
            <w:rPr>
              <w:rFonts w:asciiTheme="minorHAnsi" w:eastAsiaTheme="minorEastAsia" w:hAnsiTheme="minorHAnsi" w:cstheme="minorBidi"/>
              <w:noProof/>
              <w:sz w:val="24"/>
              <w:szCs w:val="24"/>
              <w:lang w:val="en-IN" w:eastAsia="en-GB"/>
            </w:rPr>
          </w:pPr>
          <w:hyperlink w:anchor="_Toc25484980" w:history="1">
            <w:r w:rsidRPr="00166E02">
              <w:rPr>
                <w:rStyle w:val="Hyperlink"/>
                <w:noProof/>
              </w:rPr>
              <w:t>Sampling design</w:t>
            </w:r>
            <w:r>
              <w:rPr>
                <w:noProof/>
                <w:webHidden/>
              </w:rPr>
              <w:tab/>
            </w:r>
            <w:r>
              <w:rPr>
                <w:noProof/>
                <w:webHidden/>
              </w:rPr>
              <w:fldChar w:fldCharType="begin"/>
            </w:r>
            <w:r>
              <w:rPr>
                <w:noProof/>
                <w:webHidden/>
              </w:rPr>
              <w:instrText xml:space="preserve"> PAGEREF _Toc25484980 \h </w:instrText>
            </w:r>
            <w:r>
              <w:rPr>
                <w:noProof/>
                <w:webHidden/>
              </w:rPr>
            </w:r>
            <w:r>
              <w:rPr>
                <w:noProof/>
                <w:webHidden/>
              </w:rPr>
              <w:fldChar w:fldCharType="separate"/>
            </w:r>
            <w:r w:rsidR="007C5E3A">
              <w:rPr>
                <w:noProof/>
                <w:webHidden/>
              </w:rPr>
              <w:t>10</w:t>
            </w:r>
            <w:r>
              <w:rPr>
                <w:noProof/>
                <w:webHidden/>
              </w:rPr>
              <w:fldChar w:fldCharType="end"/>
            </w:r>
          </w:hyperlink>
        </w:p>
        <w:p w14:paraId="2EE8BF26" w14:textId="546DB529" w:rsidR="001232D6" w:rsidRDefault="001232D6">
          <w:pPr>
            <w:pStyle w:val="TOC3"/>
            <w:rPr>
              <w:rFonts w:asciiTheme="minorHAnsi" w:eastAsiaTheme="minorEastAsia" w:hAnsiTheme="minorHAnsi" w:cstheme="minorBidi"/>
              <w:noProof/>
              <w:sz w:val="24"/>
              <w:szCs w:val="24"/>
              <w:lang w:val="en-IN" w:eastAsia="en-GB"/>
            </w:rPr>
          </w:pPr>
          <w:hyperlink w:anchor="_Toc25484981" w:history="1">
            <w:r w:rsidRPr="00166E02">
              <w:rPr>
                <w:rStyle w:val="Hyperlink"/>
                <w:noProof/>
              </w:rPr>
              <w:t>Pilots</w:t>
            </w:r>
            <w:r>
              <w:rPr>
                <w:noProof/>
                <w:webHidden/>
              </w:rPr>
              <w:tab/>
            </w:r>
            <w:r>
              <w:rPr>
                <w:noProof/>
                <w:webHidden/>
              </w:rPr>
              <w:fldChar w:fldCharType="begin"/>
            </w:r>
            <w:r>
              <w:rPr>
                <w:noProof/>
                <w:webHidden/>
              </w:rPr>
              <w:instrText xml:space="preserve"> PAGEREF _Toc25484981 \h </w:instrText>
            </w:r>
            <w:r>
              <w:rPr>
                <w:noProof/>
                <w:webHidden/>
              </w:rPr>
            </w:r>
            <w:r>
              <w:rPr>
                <w:noProof/>
                <w:webHidden/>
              </w:rPr>
              <w:fldChar w:fldCharType="separate"/>
            </w:r>
            <w:r w:rsidR="007C5E3A">
              <w:rPr>
                <w:noProof/>
                <w:webHidden/>
              </w:rPr>
              <w:t>10</w:t>
            </w:r>
            <w:r>
              <w:rPr>
                <w:noProof/>
                <w:webHidden/>
              </w:rPr>
              <w:fldChar w:fldCharType="end"/>
            </w:r>
          </w:hyperlink>
        </w:p>
        <w:p w14:paraId="31F9E1FB" w14:textId="18CC06D9" w:rsidR="001232D6" w:rsidRDefault="001232D6">
          <w:pPr>
            <w:pStyle w:val="TOC3"/>
            <w:rPr>
              <w:rFonts w:asciiTheme="minorHAnsi" w:eastAsiaTheme="minorEastAsia" w:hAnsiTheme="minorHAnsi" w:cstheme="minorBidi"/>
              <w:noProof/>
              <w:sz w:val="24"/>
              <w:szCs w:val="24"/>
              <w:lang w:val="en-IN" w:eastAsia="en-GB"/>
            </w:rPr>
          </w:pPr>
          <w:hyperlink w:anchor="_Toc25484982" w:history="1">
            <w:r w:rsidRPr="00166E02">
              <w:rPr>
                <w:rStyle w:val="Hyperlink"/>
                <w:noProof/>
              </w:rPr>
              <w:t>Data collection and quality checks</w:t>
            </w:r>
            <w:r>
              <w:rPr>
                <w:noProof/>
                <w:webHidden/>
              </w:rPr>
              <w:tab/>
            </w:r>
            <w:r>
              <w:rPr>
                <w:noProof/>
                <w:webHidden/>
              </w:rPr>
              <w:fldChar w:fldCharType="begin"/>
            </w:r>
            <w:r>
              <w:rPr>
                <w:noProof/>
                <w:webHidden/>
              </w:rPr>
              <w:instrText xml:space="preserve"> PAGEREF _Toc25484982 \h </w:instrText>
            </w:r>
            <w:r>
              <w:rPr>
                <w:noProof/>
                <w:webHidden/>
              </w:rPr>
            </w:r>
            <w:r>
              <w:rPr>
                <w:noProof/>
                <w:webHidden/>
              </w:rPr>
              <w:fldChar w:fldCharType="separate"/>
            </w:r>
            <w:r w:rsidR="007C5E3A">
              <w:rPr>
                <w:noProof/>
                <w:webHidden/>
              </w:rPr>
              <w:t>11</w:t>
            </w:r>
            <w:r>
              <w:rPr>
                <w:noProof/>
                <w:webHidden/>
              </w:rPr>
              <w:fldChar w:fldCharType="end"/>
            </w:r>
          </w:hyperlink>
        </w:p>
        <w:p w14:paraId="5A5F3778" w14:textId="451E233B" w:rsidR="001232D6" w:rsidRDefault="001232D6">
          <w:pPr>
            <w:pStyle w:val="TOC2"/>
            <w:rPr>
              <w:rFonts w:asciiTheme="minorHAnsi" w:eastAsiaTheme="minorEastAsia" w:hAnsiTheme="minorHAnsi" w:cstheme="minorBidi"/>
              <w:sz w:val="24"/>
              <w:szCs w:val="24"/>
              <w:lang w:val="en-IN" w:eastAsia="en-GB"/>
            </w:rPr>
          </w:pPr>
          <w:hyperlink w:anchor="_Toc25484983" w:history="1">
            <w:r w:rsidRPr="00166E02">
              <w:rPr>
                <w:rStyle w:val="Hyperlink"/>
              </w:rPr>
              <w:t>2.3 Human centred design research</w:t>
            </w:r>
            <w:r>
              <w:rPr>
                <w:webHidden/>
              </w:rPr>
              <w:tab/>
            </w:r>
            <w:r>
              <w:rPr>
                <w:webHidden/>
              </w:rPr>
              <w:fldChar w:fldCharType="begin"/>
            </w:r>
            <w:r>
              <w:rPr>
                <w:webHidden/>
              </w:rPr>
              <w:instrText xml:space="preserve"> PAGEREF _Toc25484983 \h </w:instrText>
            </w:r>
            <w:r>
              <w:rPr>
                <w:webHidden/>
              </w:rPr>
            </w:r>
            <w:r>
              <w:rPr>
                <w:webHidden/>
              </w:rPr>
              <w:fldChar w:fldCharType="separate"/>
            </w:r>
            <w:r w:rsidR="007C5E3A">
              <w:rPr>
                <w:webHidden/>
              </w:rPr>
              <w:t>12</w:t>
            </w:r>
            <w:r>
              <w:rPr>
                <w:webHidden/>
              </w:rPr>
              <w:fldChar w:fldCharType="end"/>
            </w:r>
          </w:hyperlink>
        </w:p>
        <w:p w14:paraId="11DFD5E8" w14:textId="4C435127" w:rsidR="001232D6" w:rsidRDefault="001232D6">
          <w:pPr>
            <w:pStyle w:val="TOC3"/>
            <w:rPr>
              <w:rFonts w:asciiTheme="minorHAnsi" w:eastAsiaTheme="minorEastAsia" w:hAnsiTheme="minorHAnsi" w:cstheme="minorBidi"/>
              <w:noProof/>
              <w:sz w:val="24"/>
              <w:szCs w:val="24"/>
              <w:lang w:val="en-IN" w:eastAsia="en-GB"/>
            </w:rPr>
          </w:pPr>
          <w:hyperlink w:anchor="_Toc25484984" w:history="1">
            <w:r w:rsidRPr="00166E02">
              <w:rPr>
                <w:rStyle w:val="Hyperlink"/>
                <w:noProof/>
                <w:lang w:val="en-IN"/>
              </w:rPr>
              <w:t>Key research methods</w:t>
            </w:r>
            <w:r>
              <w:rPr>
                <w:noProof/>
                <w:webHidden/>
              </w:rPr>
              <w:tab/>
            </w:r>
            <w:r>
              <w:rPr>
                <w:noProof/>
                <w:webHidden/>
              </w:rPr>
              <w:fldChar w:fldCharType="begin"/>
            </w:r>
            <w:r>
              <w:rPr>
                <w:noProof/>
                <w:webHidden/>
              </w:rPr>
              <w:instrText xml:space="preserve"> PAGEREF _Toc25484984 \h </w:instrText>
            </w:r>
            <w:r>
              <w:rPr>
                <w:noProof/>
                <w:webHidden/>
              </w:rPr>
            </w:r>
            <w:r>
              <w:rPr>
                <w:noProof/>
                <w:webHidden/>
              </w:rPr>
              <w:fldChar w:fldCharType="separate"/>
            </w:r>
            <w:r w:rsidR="007C5E3A">
              <w:rPr>
                <w:noProof/>
                <w:webHidden/>
              </w:rPr>
              <w:t>12</w:t>
            </w:r>
            <w:r>
              <w:rPr>
                <w:noProof/>
                <w:webHidden/>
              </w:rPr>
              <w:fldChar w:fldCharType="end"/>
            </w:r>
          </w:hyperlink>
        </w:p>
        <w:p w14:paraId="531DDA8E" w14:textId="3A305E4C" w:rsidR="001232D6" w:rsidRDefault="001232D6">
          <w:pPr>
            <w:pStyle w:val="TOC3"/>
            <w:rPr>
              <w:rFonts w:asciiTheme="minorHAnsi" w:eastAsiaTheme="minorEastAsia" w:hAnsiTheme="minorHAnsi" w:cstheme="minorBidi"/>
              <w:noProof/>
              <w:sz w:val="24"/>
              <w:szCs w:val="24"/>
              <w:lang w:val="en-IN" w:eastAsia="en-GB"/>
            </w:rPr>
          </w:pPr>
          <w:hyperlink w:anchor="_Toc25484985" w:history="1">
            <w:r w:rsidRPr="00166E02">
              <w:rPr>
                <w:rStyle w:val="Hyperlink"/>
                <w:noProof/>
                <w:lang w:val="en-IN"/>
              </w:rPr>
              <w:t>Research locations</w:t>
            </w:r>
            <w:r>
              <w:rPr>
                <w:noProof/>
                <w:webHidden/>
              </w:rPr>
              <w:tab/>
            </w:r>
            <w:r>
              <w:rPr>
                <w:noProof/>
                <w:webHidden/>
              </w:rPr>
              <w:fldChar w:fldCharType="begin"/>
            </w:r>
            <w:r>
              <w:rPr>
                <w:noProof/>
                <w:webHidden/>
              </w:rPr>
              <w:instrText xml:space="preserve"> PAGEREF _Toc25484985 \h </w:instrText>
            </w:r>
            <w:r>
              <w:rPr>
                <w:noProof/>
                <w:webHidden/>
              </w:rPr>
            </w:r>
            <w:r>
              <w:rPr>
                <w:noProof/>
                <w:webHidden/>
              </w:rPr>
              <w:fldChar w:fldCharType="separate"/>
            </w:r>
            <w:r w:rsidR="007C5E3A">
              <w:rPr>
                <w:noProof/>
                <w:webHidden/>
              </w:rPr>
              <w:t>13</w:t>
            </w:r>
            <w:r>
              <w:rPr>
                <w:noProof/>
                <w:webHidden/>
              </w:rPr>
              <w:fldChar w:fldCharType="end"/>
            </w:r>
          </w:hyperlink>
        </w:p>
        <w:p w14:paraId="3B56590C" w14:textId="0FF5EB82" w:rsidR="001232D6" w:rsidRDefault="001232D6">
          <w:pPr>
            <w:pStyle w:val="TOC3"/>
            <w:rPr>
              <w:rFonts w:asciiTheme="minorHAnsi" w:eastAsiaTheme="minorEastAsia" w:hAnsiTheme="minorHAnsi" w:cstheme="minorBidi"/>
              <w:noProof/>
              <w:sz w:val="24"/>
              <w:szCs w:val="24"/>
              <w:lang w:val="en-IN" w:eastAsia="en-GB"/>
            </w:rPr>
          </w:pPr>
          <w:hyperlink w:anchor="_Toc25484986" w:history="1">
            <w:r w:rsidRPr="00166E02">
              <w:rPr>
                <w:rStyle w:val="Hyperlink"/>
                <w:noProof/>
                <w:lang w:val="en-IN"/>
              </w:rPr>
              <w:t>People we met</w:t>
            </w:r>
            <w:r>
              <w:rPr>
                <w:noProof/>
                <w:webHidden/>
              </w:rPr>
              <w:tab/>
            </w:r>
            <w:r>
              <w:rPr>
                <w:noProof/>
                <w:webHidden/>
              </w:rPr>
              <w:fldChar w:fldCharType="begin"/>
            </w:r>
            <w:r>
              <w:rPr>
                <w:noProof/>
                <w:webHidden/>
              </w:rPr>
              <w:instrText xml:space="preserve"> PAGEREF _Toc25484986 \h </w:instrText>
            </w:r>
            <w:r>
              <w:rPr>
                <w:noProof/>
                <w:webHidden/>
              </w:rPr>
            </w:r>
            <w:r>
              <w:rPr>
                <w:noProof/>
                <w:webHidden/>
              </w:rPr>
              <w:fldChar w:fldCharType="separate"/>
            </w:r>
            <w:r w:rsidR="007C5E3A">
              <w:rPr>
                <w:noProof/>
                <w:webHidden/>
              </w:rPr>
              <w:t>13</w:t>
            </w:r>
            <w:r>
              <w:rPr>
                <w:noProof/>
                <w:webHidden/>
              </w:rPr>
              <w:fldChar w:fldCharType="end"/>
            </w:r>
          </w:hyperlink>
        </w:p>
        <w:p w14:paraId="7AA2E491" w14:textId="2AB9679D" w:rsidR="001232D6" w:rsidRDefault="001232D6" w:rsidP="001232D6">
          <w:pPr>
            <w:pStyle w:val="TOC1"/>
            <w:numPr>
              <w:ilvl w:val="0"/>
              <w:numId w:val="0"/>
            </w:numPr>
            <w:ind w:left="1440"/>
            <w:rPr>
              <w:rFonts w:asciiTheme="minorHAnsi" w:eastAsiaTheme="minorEastAsia" w:hAnsiTheme="minorHAnsi" w:cstheme="minorBidi"/>
              <w:b w:val="0"/>
              <w:sz w:val="24"/>
              <w:szCs w:val="24"/>
              <w:lang w:val="en-IN" w:eastAsia="en-GB"/>
            </w:rPr>
          </w:pPr>
          <w:hyperlink w:anchor="_Toc25484987" w:history="1">
            <w:r w:rsidRPr="00166E02">
              <w:rPr>
                <w:rStyle w:val="Hyperlink"/>
              </w:rPr>
              <w:t>3</w:t>
            </w:r>
            <w:r>
              <w:rPr>
                <w:rFonts w:asciiTheme="minorHAnsi" w:eastAsiaTheme="minorEastAsia" w:hAnsiTheme="minorHAnsi" w:cstheme="minorBidi"/>
                <w:b w:val="0"/>
                <w:sz w:val="24"/>
                <w:szCs w:val="24"/>
                <w:lang w:val="en-IN" w:eastAsia="en-GB"/>
              </w:rPr>
              <w:t xml:space="preserve"> </w:t>
            </w:r>
            <w:r w:rsidRPr="00166E02">
              <w:rPr>
                <w:rStyle w:val="Hyperlink"/>
              </w:rPr>
              <w:t>Analysis</w:t>
            </w:r>
            <w:r>
              <w:rPr>
                <w:webHidden/>
              </w:rPr>
              <w:tab/>
            </w:r>
            <w:r>
              <w:rPr>
                <w:webHidden/>
              </w:rPr>
              <w:fldChar w:fldCharType="begin"/>
            </w:r>
            <w:r>
              <w:rPr>
                <w:webHidden/>
              </w:rPr>
              <w:instrText xml:space="preserve"> PAGEREF _Toc25484987 \h </w:instrText>
            </w:r>
            <w:r>
              <w:rPr>
                <w:webHidden/>
              </w:rPr>
            </w:r>
            <w:r>
              <w:rPr>
                <w:webHidden/>
              </w:rPr>
              <w:fldChar w:fldCharType="separate"/>
            </w:r>
            <w:r w:rsidR="007C5E3A">
              <w:rPr>
                <w:webHidden/>
              </w:rPr>
              <w:t>15</w:t>
            </w:r>
            <w:r>
              <w:rPr>
                <w:webHidden/>
              </w:rPr>
              <w:fldChar w:fldCharType="end"/>
            </w:r>
          </w:hyperlink>
        </w:p>
        <w:p w14:paraId="56278C41" w14:textId="1F8D8CBA" w:rsidR="001232D6" w:rsidRDefault="001232D6">
          <w:pPr>
            <w:pStyle w:val="TOC3"/>
            <w:rPr>
              <w:rFonts w:asciiTheme="minorHAnsi" w:eastAsiaTheme="minorEastAsia" w:hAnsiTheme="minorHAnsi" w:cstheme="minorBidi"/>
              <w:noProof/>
              <w:sz w:val="24"/>
              <w:szCs w:val="24"/>
              <w:lang w:val="en-IN" w:eastAsia="en-GB"/>
            </w:rPr>
          </w:pPr>
          <w:hyperlink w:anchor="_Toc25484988" w:history="1">
            <w:r w:rsidRPr="00166E02">
              <w:rPr>
                <w:rStyle w:val="Hyperlink"/>
                <w:noProof/>
              </w:rPr>
              <w:t>Quality Checks</w:t>
            </w:r>
            <w:r>
              <w:rPr>
                <w:noProof/>
                <w:webHidden/>
              </w:rPr>
              <w:tab/>
            </w:r>
            <w:r>
              <w:rPr>
                <w:noProof/>
                <w:webHidden/>
              </w:rPr>
              <w:fldChar w:fldCharType="begin"/>
            </w:r>
            <w:r>
              <w:rPr>
                <w:noProof/>
                <w:webHidden/>
              </w:rPr>
              <w:instrText xml:space="preserve"> PAGEREF _Toc25484988 \h </w:instrText>
            </w:r>
            <w:r>
              <w:rPr>
                <w:noProof/>
                <w:webHidden/>
              </w:rPr>
            </w:r>
            <w:r>
              <w:rPr>
                <w:noProof/>
                <w:webHidden/>
              </w:rPr>
              <w:fldChar w:fldCharType="separate"/>
            </w:r>
            <w:r w:rsidR="007C5E3A">
              <w:rPr>
                <w:noProof/>
                <w:webHidden/>
              </w:rPr>
              <w:t>15</w:t>
            </w:r>
            <w:r>
              <w:rPr>
                <w:noProof/>
                <w:webHidden/>
              </w:rPr>
              <w:fldChar w:fldCharType="end"/>
            </w:r>
          </w:hyperlink>
        </w:p>
        <w:p w14:paraId="463C83F0" w14:textId="3BA0D410" w:rsidR="001232D6" w:rsidRDefault="001232D6">
          <w:pPr>
            <w:pStyle w:val="TOC3"/>
            <w:rPr>
              <w:rFonts w:asciiTheme="minorHAnsi" w:eastAsiaTheme="minorEastAsia" w:hAnsiTheme="minorHAnsi" w:cstheme="minorBidi"/>
              <w:noProof/>
              <w:sz w:val="24"/>
              <w:szCs w:val="24"/>
              <w:lang w:val="en-IN" w:eastAsia="en-GB"/>
            </w:rPr>
          </w:pPr>
          <w:hyperlink w:anchor="_Toc25484989" w:history="1">
            <w:r w:rsidRPr="00166E02">
              <w:rPr>
                <w:rStyle w:val="Hyperlink"/>
                <w:noProof/>
              </w:rPr>
              <w:t>Statistical Analyses</w:t>
            </w:r>
            <w:r>
              <w:rPr>
                <w:noProof/>
                <w:webHidden/>
              </w:rPr>
              <w:tab/>
            </w:r>
            <w:r>
              <w:rPr>
                <w:noProof/>
                <w:webHidden/>
              </w:rPr>
              <w:fldChar w:fldCharType="begin"/>
            </w:r>
            <w:r>
              <w:rPr>
                <w:noProof/>
                <w:webHidden/>
              </w:rPr>
              <w:instrText xml:space="preserve"> PAGEREF _Toc25484989 \h </w:instrText>
            </w:r>
            <w:r>
              <w:rPr>
                <w:noProof/>
                <w:webHidden/>
              </w:rPr>
            </w:r>
            <w:r>
              <w:rPr>
                <w:noProof/>
                <w:webHidden/>
              </w:rPr>
              <w:fldChar w:fldCharType="separate"/>
            </w:r>
            <w:r w:rsidR="007C5E3A">
              <w:rPr>
                <w:noProof/>
                <w:webHidden/>
              </w:rPr>
              <w:t>15</w:t>
            </w:r>
            <w:r>
              <w:rPr>
                <w:noProof/>
                <w:webHidden/>
              </w:rPr>
              <w:fldChar w:fldCharType="end"/>
            </w:r>
          </w:hyperlink>
        </w:p>
        <w:p w14:paraId="1A9E5E5D" w14:textId="6C66F440" w:rsidR="001232D6" w:rsidRDefault="001232D6">
          <w:pPr>
            <w:pStyle w:val="TOC3"/>
            <w:rPr>
              <w:rFonts w:asciiTheme="minorHAnsi" w:eastAsiaTheme="minorEastAsia" w:hAnsiTheme="minorHAnsi" w:cstheme="minorBidi"/>
              <w:noProof/>
              <w:sz w:val="24"/>
              <w:szCs w:val="24"/>
              <w:lang w:val="en-IN" w:eastAsia="en-GB"/>
            </w:rPr>
          </w:pPr>
          <w:hyperlink w:anchor="_Toc25484990" w:history="1">
            <w:r w:rsidRPr="00166E02">
              <w:rPr>
                <w:rStyle w:val="Hyperlink"/>
                <w:noProof/>
              </w:rPr>
              <w:t>Business rules and assumptions</w:t>
            </w:r>
            <w:r>
              <w:rPr>
                <w:noProof/>
                <w:webHidden/>
              </w:rPr>
              <w:tab/>
            </w:r>
            <w:r>
              <w:rPr>
                <w:noProof/>
                <w:webHidden/>
              </w:rPr>
              <w:fldChar w:fldCharType="begin"/>
            </w:r>
            <w:r>
              <w:rPr>
                <w:noProof/>
                <w:webHidden/>
              </w:rPr>
              <w:instrText xml:space="preserve"> PAGEREF _Toc25484990 \h </w:instrText>
            </w:r>
            <w:r>
              <w:rPr>
                <w:noProof/>
                <w:webHidden/>
              </w:rPr>
            </w:r>
            <w:r>
              <w:rPr>
                <w:noProof/>
                <w:webHidden/>
              </w:rPr>
              <w:fldChar w:fldCharType="separate"/>
            </w:r>
            <w:r w:rsidR="007C5E3A">
              <w:rPr>
                <w:noProof/>
                <w:webHidden/>
              </w:rPr>
              <w:t>16</w:t>
            </w:r>
            <w:r>
              <w:rPr>
                <w:noProof/>
                <w:webHidden/>
              </w:rPr>
              <w:fldChar w:fldCharType="end"/>
            </w:r>
          </w:hyperlink>
        </w:p>
        <w:p w14:paraId="4896D6E6" w14:textId="781E1E3B" w:rsidR="001232D6" w:rsidRDefault="001232D6" w:rsidP="001232D6">
          <w:pPr>
            <w:pStyle w:val="TOC1"/>
            <w:numPr>
              <w:ilvl w:val="0"/>
              <w:numId w:val="0"/>
            </w:numPr>
            <w:ind w:left="1440"/>
            <w:rPr>
              <w:rFonts w:asciiTheme="minorHAnsi" w:eastAsiaTheme="minorEastAsia" w:hAnsiTheme="minorHAnsi" w:cstheme="minorBidi"/>
              <w:b w:val="0"/>
              <w:sz w:val="24"/>
              <w:szCs w:val="24"/>
              <w:lang w:val="en-IN" w:eastAsia="en-GB"/>
            </w:rPr>
          </w:pPr>
          <w:hyperlink w:anchor="_Toc25484991" w:history="1">
            <w:r w:rsidRPr="00166E02">
              <w:rPr>
                <w:rStyle w:val="Hyperlink"/>
              </w:rPr>
              <w:t>4</w:t>
            </w:r>
            <w:r>
              <w:rPr>
                <w:rFonts w:asciiTheme="minorHAnsi" w:eastAsiaTheme="minorEastAsia" w:hAnsiTheme="minorHAnsi" w:cstheme="minorBidi"/>
                <w:b w:val="0"/>
                <w:sz w:val="24"/>
                <w:szCs w:val="24"/>
                <w:lang w:val="en-IN" w:eastAsia="en-GB"/>
              </w:rPr>
              <w:t xml:space="preserve"> </w:t>
            </w:r>
            <w:r w:rsidRPr="00166E02">
              <w:rPr>
                <w:rStyle w:val="Hyperlink"/>
              </w:rPr>
              <w:t>Post-Analysis</w:t>
            </w:r>
            <w:r>
              <w:rPr>
                <w:webHidden/>
              </w:rPr>
              <w:tab/>
            </w:r>
            <w:r>
              <w:rPr>
                <w:webHidden/>
              </w:rPr>
              <w:fldChar w:fldCharType="begin"/>
            </w:r>
            <w:r>
              <w:rPr>
                <w:webHidden/>
              </w:rPr>
              <w:instrText xml:space="preserve"> PAGEREF _Toc25484991 \h </w:instrText>
            </w:r>
            <w:r>
              <w:rPr>
                <w:webHidden/>
              </w:rPr>
            </w:r>
            <w:r>
              <w:rPr>
                <w:webHidden/>
              </w:rPr>
              <w:fldChar w:fldCharType="separate"/>
            </w:r>
            <w:r w:rsidR="007C5E3A">
              <w:rPr>
                <w:webHidden/>
              </w:rPr>
              <w:t>19</w:t>
            </w:r>
            <w:r>
              <w:rPr>
                <w:webHidden/>
              </w:rPr>
              <w:fldChar w:fldCharType="end"/>
            </w:r>
          </w:hyperlink>
        </w:p>
        <w:p w14:paraId="5DBF0979" w14:textId="19C7B635" w:rsidR="001232D6" w:rsidRDefault="001232D6">
          <w:pPr>
            <w:pStyle w:val="TOC3"/>
            <w:rPr>
              <w:rFonts w:asciiTheme="minorHAnsi" w:eastAsiaTheme="minorEastAsia" w:hAnsiTheme="minorHAnsi" w:cstheme="minorBidi"/>
              <w:noProof/>
              <w:sz w:val="24"/>
              <w:szCs w:val="24"/>
              <w:lang w:val="en-IN" w:eastAsia="en-GB"/>
            </w:rPr>
          </w:pPr>
          <w:hyperlink w:anchor="_Toc25484992" w:history="1">
            <w:r w:rsidRPr="00166E02">
              <w:rPr>
                <w:rStyle w:val="Hyperlink"/>
                <w:noProof/>
              </w:rPr>
              <w:t>Reporting</w:t>
            </w:r>
            <w:r>
              <w:rPr>
                <w:noProof/>
                <w:webHidden/>
              </w:rPr>
              <w:tab/>
            </w:r>
            <w:r>
              <w:rPr>
                <w:noProof/>
                <w:webHidden/>
              </w:rPr>
              <w:fldChar w:fldCharType="begin"/>
            </w:r>
            <w:r>
              <w:rPr>
                <w:noProof/>
                <w:webHidden/>
              </w:rPr>
              <w:instrText xml:space="preserve"> PAGEREF _Toc25484992 \h </w:instrText>
            </w:r>
            <w:r>
              <w:rPr>
                <w:noProof/>
                <w:webHidden/>
              </w:rPr>
            </w:r>
            <w:r>
              <w:rPr>
                <w:noProof/>
                <w:webHidden/>
              </w:rPr>
              <w:fldChar w:fldCharType="separate"/>
            </w:r>
            <w:r w:rsidR="007C5E3A">
              <w:rPr>
                <w:noProof/>
                <w:webHidden/>
              </w:rPr>
              <w:t>19</w:t>
            </w:r>
            <w:r>
              <w:rPr>
                <w:noProof/>
                <w:webHidden/>
              </w:rPr>
              <w:fldChar w:fldCharType="end"/>
            </w:r>
          </w:hyperlink>
        </w:p>
        <w:p w14:paraId="04DB5195" w14:textId="7F34432D" w:rsidR="001232D6" w:rsidRDefault="001232D6">
          <w:pPr>
            <w:pStyle w:val="TOC3"/>
            <w:rPr>
              <w:rFonts w:asciiTheme="minorHAnsi" w:eastAsiaTheme="minorEastAsia" w:hAnsiTheme="minorHAnsi" w:cstheme="minorBidi"/>
              <w:noProof/>
              <w:sz w:val="24"/>
              <w:szCs w:val="24"/>
              <w:lang w:val="en-IN" w:eastAsia="en-GB"/>
            </w:rPr>
          </w:pPr>
          <w:hyperlink w:anchor="_Toc25484993" w:history="1">
            <w:r w:rsidRPr="00166E02">
              <w:rPr>
                <w:rStyle w:val="Hyperlink"/>
                <w:noProof/>
              </w:rPr>
              <w:t>Internal and external validation</w:t>
            </w:r>
            <w:r>
              <w:rPr>
                <w:noProof/>
                <w:webHidden/>
              </w:rPr>
              <w:tab/>
            </w:r>
            <w:r>
              <w:rPr>
                <w:noProof/>
                <w:webHidden/>
              </w:rPr>
              <w:fldChar w:fldCharType="begin"/>
            </w:r>
            <w:r>
              <w:rPr>
                <w:noProof/>
                <w:webHidden/>
              </w:rPr>
              <w:instrText xml:space="preserve"> PAGEREF _Toc25484993 \h </w:instrText>
            </w:r>
            <w:r>
              <w:rPr>
                <w:noProof/>
                <w:webHidden/>
              </w:rPr>
            </w:r>
            <w:r>
              <w:rPr>
                <w:noProof/>
                <w:webHidden/>
              </w:rPr>
              <w:fldChar w:fldCharType="separate"/>
            </w:r>
            <w:r w:rsidR="007C5E3A">
              <w:rPr>
                <w:noProof/>
                <w:webHidden/>
              </w:rPr>
              <w:t>19</w:t>
            </w:r>
            <w:r>
              <w:rPr>
                <w:noProof/>
                <w:webHidden/>
              </w:rPr>
              <w:fldChar w:fldCharType="end"/>
            </w:r>
          </w:hyperlink>
        </w:p>
        <w:p w14:paraId="6CD586CF" w14:textId="4EB19A0C" w:rsidR="001232D6" w:rsidRDefault="001232D6">
          <w:pPr>
            <w:pStyle w:val="TOC3"/>
            <w:rPr>
              <w:rFonts w:asciiTheme="minorHAnsi" w:eastAsiaTheme="minorEastAsia" w:hAnsiTheme="minorHAnsi" w:cstheme="minorBidi"/>
              <w:noProof/>
              <w:sz w:val="24"/>
              <w:szCs w:val="24"/>
              <w:lang w:val="en-IN" w:eastAsia="en-GB"/>
            </w:rPr>
          </w:pPr>
          <w:hyperlink w:anchor="_Toc25484994" w:history="1">
            <w:r w:rsidRPr="00166E02">
              <w:rPr>
                <w:rStyle w:val="Hyperlink"/>
                <w:noProof/>
              </w:rPr>
              <w:t>Dataset</w:t>
            </w:r>
            <w:r>
              <w:rPr>
                <w:noProof/>
                <w:webHidden/>
              </w:rPr>
              <w:tab/>
            </w:r>
            <w:r>
              <w:rPr>
                <w:noProof/>
                <w:webHidden/>
              </w:rPr>
              <w:fldChar w:fldCharType="begin"/>
            </w:r>
            <w:r>
              <w:rPr>
                <w:noProof/>
                <w:webHidden/>
              </w:rPr>
              <w:instrText xml:space="preserve"> PAGEREF _Toc25484994 \h </w:instrText>
            </w:r>
            <w:r>
              <w:rPr>
                <w:noProof/>
                <w:webHidden/>
              </w:rPr>
            </w:r>
            <w:r>
              <w:rPr>
                <w:noProof/>
                <w:webHidden/>
              </w:rPr>
              <w:fldChar w:fldCharType="separate"/>
            </w:r>
            <w:r w:rsidR="007C5E3A">
              <w:rPr>
                <w:noProof/>
                <w:webHidden/>
              </w:rPr>
              <w:t>22</w:t>
            </w:r>
            <w:r>
              <w:rPr>
                <w:noProof/>
                <w:webHidden/>
              </w:rPr>
              <w:fldChar w:fldCharType="end"/>
            </w:r>
          </w:hyperlink>
        </w:p>
        <w:p w14:paraId="56A1B08E" w14:textId="68546389" w:rsidR="001232D6" w:rsidRDefault="001232D6" w:rsidP="001232D6">
          <w:pPr>
            <w:pStyle w:val="TOC1"/>
            <w:numPr>
              <w:ilvl w:val="0"/>
              <w:numId w:val="0"/>
            </w:numPr>
            <w:ind w:left="1440"/>
            <w:rPr>
              <w:rFonts w:asciiTheme="minorHAnsi" w:eastAsiaTheme="minorEastAsia" w:hAnsiTheme="minorHAnsi" w:cstheme="minorBidi"/>
              <w:b w:val="0"/>
              <w:sz w:val="24"/>
              <w:szCs w:val="24"/>
              <w:lang w:val="en-IN" w:eastAsia="en-GB"/>
            </w:rPr>
          </w:pPr>
          <w:hyperlink w:anchor="_Toc25484995" w:history="1">
            <w:r w:rsidRPr="00166E02">
              <w:rPr>
                <w:rStyle w:val="Hyperlink"/>
              </w:rPr>
              <w:t>5</w:t>
            </w:r>
            <w:r>
              <w:rPr>
                <w:rFonts w:asciiTheme="minorHAnsi" w:eastAsiaTheme="minorEastAsia" w:hAnsiTheme="minorHAnsi" w:cstheme="minorBidi"/>
                <w:b w:val="0"/>
                <w:sz w:val="24"/>
                <w:szCs w:val="24"/>
                <w:lang w:val="en-IN" w:eastAsia="en-GB"/>
              </w:rPr>
              <w:t xml:space="preserve"> </w:t>
            </w:r>
            <w:r w:rsidRPr="00166E02">
              <w:rPr>
                <w:rStyle w:val="Hyperlink"/>
              </w:rPr>
              <w:t>Limitations</w:t>
            </w:r>
            <w:r>
              <w:rPr>
                <w:webHidden/>
              </w:rPr>
              <w:tab/>
            </w:r>
            <w:r>
              <w:rPr>
                <w:webHidden/>
              </w:rPr>
              <w:fldChar w:fldCharType="begin"/>
            </w:r>
            <w:r>
              <w:rPr>
                <w:webHidden/>
              </w:rPr>
              <w:instrText xml:space="preserve"> PAGEREF _Toc25484995 \h </w:instrText>
            </w:r>
            <w:r>
              <w:rPr>
                <w:webHidden/>
              </w:rPr>
            </w:r>
            <w:r>
              <w:rPr>
                <w:webHidden/>
              </w:rPr>
              <w:fldChar w:fldCharType="separate"/>
            </w:r>
            <w:r w:rsidR="007C5E3A">
              <w:rPr>
                <w:webHidden/>
              </w:rPr>
              <w:t>23</w:t>
            </w:r>
            <w:r>
              <w:rPr>
                <w:webHidden/>
              </w:rPr>
              <w:fldChar w:fldCharType="end"/>
            </w:r>
          </w:hyperlink>
        </w:p>
        <w:p w14:paraId="13FF0D15" w14:textId="031C5B25" w:rsidR="001232D6" w:rsidRDefault="001232D6" w:rsidP="001232D6">
          <w:pPr>
            <w:pStyle w:val="TOC1"/>
            <w:numPr>
              <w:ilvl w:val="0"/>
              <w:numId w:val="0"/>
            </w:numPr>
            <w:ind w:left="1440"/>
            <w:rPr>
              <w:rFonts w:asciiTheme="minorHAnsi" w:eastAsiaTheme="minorEastAsia" w:hAnsiTheme="minorHAnsi" w:cstheme="minorBidi"/>
              <w:b w:val="0"/>
              <w:sz w:val="24"/>
              <w:szCs w:val="24"/>
              <w:lang w:val="en-IN" w:eastAsia="en-GB"/>
            </w:rPr>
          </w:pPr>
          <w:hyperlink w:anchor="_Toc25484996" w:history="1">
            <w:r w:rsidRPr="00166E02">
              <w:rPr>
                <w:rStyle w:val="Hyperlink"/>
              </w:rPr>
              <w:t>6</w:t>
            </w:r>
            <w:r>
              <w:rPr>
                <w:rFonts w:asciiTheme="minorHAnsi" w:eastAsiaTheme="minorEastAsia" w:hAnsiTheme="minorHAnsi" w:cstheme="minorBidi"/>
                <w:b w:val="0"/>
                <w:sz w:val="24"/>
                <w:szCs w:val="24"/>
                <w:lang w:val="en-IN" w:eastAsia="en-GB"/>
              </w:rPr>
              <w:t xml:space="preserve"> </w:t>
            </w:r>
            <w:r w:rsidRPr="00166E02">
              <w:rPr>
                <w:rStyle w:val="Hyperlink"/>
              </w:rPr>
              <w:t>Glossary of Terms</w:t>
            </w:r>
            <w:r>
              <w:rPr>
                <w:webHidden/>
              </w:rPr>
              <w:tab/>
            </w:r>
            <w:r>
              <w:rPr>
                <w:webHidden/>
              </w:rPr>
              <w:fldChar w:fldCharType="begin"/>
            </w:r>
            <w:r>
              <w:rPr>
                <w:webHidden/>
              </w:rPr>
              <w:instrText xml:space="preserve"> PAGEREF _Toc25484996 \h </w:instrText>
            </w:r>
            <w:r>
              <w:rPr>
                <w:webHidden/>
              </w:rPr>
            </w:r>
            <w:r>
              <w:rPr>
                <w:webHidden/>
              </w:rPr>
              <w:fldChar w:fldCharType="separate"/>
            </w:r>
            <w:r w:rsidR="007C5E3A">
              <w:rPr>
                <w:webHidden/>
              </w:rPr>
              <w:t>23</w:t>
            </w:r>
            <w:r>
              <w:rPr>
                <w:webHidden/>
              </w:rPr>
              <w:fldChar w:fldCharType="end"/>
            </w:r>
          </w:hyperlink>
        </w:p>
        <w:p w14:paraId="46C1048F" w14:textId="35311BDA" w:rsidR="00624319" w:rsidRPr="00A13B61" w:rsidRDefault="00624319" w:rsidP="00F511BC">
          <w:r w:rsidRPr="00A13B61">
            <w:rPr>
              <w:b/>
            </w:rPr>
            <w:fldChar w:fldCharType="end"/>
          </w:r>
        </w:p>
      </w:sdtContent>
    </w:sdt>
    <w:p w14:paraId="76CF5BF6" w14:textId="5A00E986" w:rsidR="00C258D5" w:rsidRPr="00A13B61" w:rsidRDefault="00C258D5" w:rsidP="00F511BC">
      <w:pPr>
        <w:rPr>
          <w:rFonts w:eastAsiaTheme="majorEastAsia" w:cs="Times New Roman (Headings CS)"/>
          <w:color w:val="018AAA" w:themeColor="accent2"/>
        </w:rPr>
      </w:pPr>
      <w:r w:rsidRPr="00A13B61">
        <w:br w:type="page"/>
      </w:r>
    </w:p>
    <w:p w14:paraId="6A1FFDC3" w14:textId="47F2E8C1" w:rsidR="00CF18B9" w:rsidRPr="00A13B61" w:rsidRDefault="00930138" w:rsidP="00930138">
      <w:pPr>
        <w:pStyle w:val="Heading1"/>
      </w:pPr>
      <w:bookmarkStart w:id="2" w:name="_Toc25452368"/>
      <w:bookmarkStart w:id="3" w:name="_Toc25484971"/>
      <w:bookmarkEnd w:id="2"/>
      <w:r>
        <w:lastRenderedPageBreak/>
        <w:t>Overview</w:t>
      </w:r>
      <w:bookmarkEnd w:id="3"/>
    </w:p>
    <w:p w14:paraId="4F9A730D" w14:textId="4CB8FEB2" w:rsidR="003A5CB9" w:rsidRPr="003A5CB9" w:rsidRDefault="003A5CB9" w:rsidP="00F511BC">
      <w:pPr>
        <w:rPr>
          <w:smallCaps/>
          <w:lang w:eastAsia="en-IN"/>
        </w:rPr>
      </w:pPr>
      <w:bookmarkStart w:id="4" w:name="_Toc24978622"/>
      <w:bookmarkStart w:id="5" w:name="_Toc24978846"/>
      <w:bookmarkStart w:id="6" w:name="_Toc24982806"/>
      <w:bookmarkStart w:id="7" w:name="_Toc24987985"/>
      <w:bookmarkStart w:id="8" w:name="_Toc24978623"/>
      <w:bookmarkStart w:id="9" w:name="_Toc24978847"/>
      <w:bookmarkStart w:id="10" w:name="_Toc24982807"/>
      <w:bookmarkStart w:id="11" w:name="_Toc24987986"/>
      <w:bookmarkStart w:id="12" w:name="_Toc24978630"/>
      <w:bookmarkStart w:id="13" w:name="_Toc24978854"/>
      <w:bookmarkStart w:id="14" w:name="_Toc24982814"/>
      <w:bookmarkStart w:id="15" w:name="_Toc24987993"/>
      <w:bookmarkStart w:id="16" w:name="_Toc24978636"/>
      <w:bookmarkStart w:id="17" w:name="_Toc24978860"/>
      <w:bookmarkStart w:id="18" w:name="_Toc24982820"/>
      <w:bookmarkStart w:id="19" w:name="_Toc24987999"/>
      <w:bookmarkStart w:id="20" w:name="_Toc24978637"/>
      <w:bookmarkStart w:id="21" w:name="_Toc24978861"/>
      <w:bookmarkStart w:id="22" w:name="_Toc24982821"/>
      <w:bookmarkStart w:id="23" w:name="_Toc24988000"/>
      <w:bookmarkStart w:id="24" w:name="_Toc24978807"/>
      <w:bookmarkStart w:id="25" w:name="_Toc24979031"/>
      <w:bookmarkStart w:id="26" w:name="_Toc24982991"/>
      <w:bookmarkStart w:id="27" w:name="_Toc24988170"/>
      <w:bookmarkStart w:id="28" w:name="_Toc16155663"/>
      <w:bookmarkEnd w:id="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A13B61">
        <w:rPr>
          <w:lang w:eastAsia="en-IN"/>
        </w:rPr>
        <w:t>This document outlines the research design, methodology, and analysis for the State of Aadhaar 2019 study. Most elements of the research design were developed in late 2018</w:t>
      </w:r>
      <w:r>
        <w:rPr>
          <w:lang w:eastAsia="en-IN"/>
        </w:rPr>
        <w:t xml:space="preserve"> and early 2019</w:t>
      </w:r>
      <w:r w:rsidRPr="00A13B61">
        <w:rPr>
          <w:lang w:eastAsia="en-IN"/>
        </w:rPr>
        <w:t>. Data collection occurred between May and September 2019. Data cleaning and analysis occurred between September and November 2019.</w:t>
      </w:r>
    </w:p>
    <w:p w14:paraId="4D241D46" w14:textId="484D1138" w:rsidR="006A3005" w:rsidRPr="00A13B61" w:rsidRDefault="006A3005" w:rsidP="00F511BC">
      <w:pPr>
        <w:rPr>
          <w:lang w:eastAsia="en-IN"/>
        </w:rPr>
      </w:pPr>
      <w:r w:rsidRPr="00A13B61">
        <w:rPr>
          <w:lang w:eastAsia="en-IN"/>
        </w:rPr>
        <w:t xml:space="preserve">The </w:t>
      </w:r>
      <w:r w:rsidRPr="00A13B61">
        <w:rPr>
          <w:i/>
          <w:iCs/>
          <w:lang w:eastAsia="en-IN"/>
        </w:rPr>
        <w:t xml:space="preserve">State of Aadhaar 2019 </w:t>
      </w:r>
      <w:r w:rsidRPr="00A13B61">
        <w:rPr>
          <w:lang w:eastAsia="en-IN"/>
        </w:rPr>
        <w:t xml:space="preserve">report is the third entry in the </w:t>
      </w:r>
      <w:r w:rsidRPr="00A13B61">
        <w:rPr>
          <w:i/>
          <w:iCs/>
          <w:lang w:eastAsia="en-IN"/>
        </w:rPr>
        <w:t xml:space="preserve">State of Aadhaar </w:t>
      </w:r>
      <w:r w:rsidRPr="00A13B61">
        <w:rPr>
          <w:lang w:eastAsia="en-IN"/>
        </w:rPr>
        <w:t>series that launched in 2016. The objective of the 2019 edition is to generate datasets on people’s experiences with Aadhaar across India and promote a data-driven discourse on Aadhaar.</w:t>
      </w:r>
    </w:p>
    <w:p w14:paraId="7D83D986" w14:textId="68361D99" w:rsidR="006A3005" w:rsidRPr="00A13B61" w:rsidRDefault="006A3005" w:rsidP="00F511BC">
      <w:pPr>
        <w:rPr>
          <w:lang w:eastAsia="en-IN"/>
        </w:rPr>
      </w:pPr>
      <w:r w:rsidRPr="00A13B61">
        <w:rPr>
          <w:lang w:eastAsia="en-IN"/>
        </w:rPr>
        <w:t>To that end, this edition followed a user journey framework to guide our enquiry</w:t>
      </w:r>
      <w:r w:rsidR="00AA3821" w:rsidRPr="00A13B61">
        <w:rPr>
          <w:lang w:eastAsia="en-IN"/>
        </w:rPr>
        <w:t xml:space="preserve"> </w:t>
      </w:r>
      <w:r w:rsidRPr="00A13B61">
        <w:rPr>
          <w:lang w:eastAsia="en-IN"/>
        </w:rPr>
        <w:t>on the following key research questions</w:t>
      </w:r>
      <w:r w:rsidR="00AA3821" w:rsidRPr="00A13B61">
        <w:rPr>
          <w:lang w:eastAsia="en-IN"/>
        </w:rPr>
        <w:t xml:space="preserve"> outlined in Figure 1.</w:t>
      </w:r>
    </w:p>
    <w:p w14:paraId="7F1A6699" w14:textId="1947B275" w:rsidR="00AA3821" w:rsidRPr="00A13B61" w:rsidRDefault="00AA3821" w:rsidP="003F3F98">
      <w:pPr>
        <w:pStyle w:val="Caption"/>
      </w:pPr>
      <w:r w:rsidRPr="00A13B61">
        <w:t xml:space="preserve">Figure </w:t>
      </w:r>
      <w:r w:rsidRPr="00A13B61">
        <w:fldChar w:fldCharType="begin"/>
      </w:r>
      <w:r w:rsidRPr="00A13B61">
        <w:instrText xml:space="preserve"> SEQ Table \* ARABIC </w:instrText>
      </w:r>
      <w:r w:rsidRPr="00A13B61">
        <w:fldChar w:fldCharType="separate"/>
      </w:r>
      <w:r w:rsidR="007C5E3A">
        <w:rPr>
          <w:noProof/>
        </w:rPr>
        <w:t>1</w:t>
      </w:r>
      <w:r w:rsidRPr="00A13B61">
        <w:fldChar w:fldCharType="end"/>
      </w:r>
      <w:r w:rsidRPr="00A13B61">
        <w:t>: User journey framework and key research questions</w:t>
      </w:r>
    </w:p>
    <w:p w14:paraId="463CD461" w14:textId="7B75D0EC" w:rsidR="006A3005" w:rsidRPr="00A13B61" w:rsidRDefault="006A3005" w:rsidP="00F511BC">
      <w:pPr>
        <w:rPr>
          <w:rFonts w:eastAsia="Times New Roman" w:cs="Times New Roman"/>
          <w:lang w:eastAsia="en-IN"/>
        </w:rPr>
      </w:pPr>
      <w:r w:rsidRPr="00A13B61">
        <w:rPr>
          <w:noProof/>
        </w:rPr>
        <w:drawing>
          <wp:inline distT="0" distB="0" distL="0" distR="0" wp14:anchorId="4EC44468" wp14:editId="5A813228">
            <wp:extent cx="6175815" cy="254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6314" cy="2546556"/>
                    </a:xfrm>
                    <a:prstGeom prst="rect">
                      <a:avLst/>
                    </a:prstGeom>
                    <a:noFill/>
                    <a:ln>
                      <a:noFill/>
                    </a:ln>
                  </pic:spPr>
                </pic:pic>
              </a:graphicData>
            </a:graphic>
          </wp:inline>
        </w:drawing>
      </w:r>
    </w:p>
    <w:p w14:paraId="26AC59E4" w14:textId="77777777" w:rsidR="006A3005" w:rsidRPr="00A13B61" w:rsidRDefault="006A3005" w:rsidP="00F511BC">
      <w:pPr>
        <w:rPr>
          <w:lang w:eastAsia="en-IN"/>
        </w:rPr>
      </w:pPr>
      <w:r w:rsidRPr="00A13B61">
        <w:rPr>
          <w:lang w:eastAsia="en-IN"/>
        </w:rPr>
        <w:t>Through our research, we aimed to present a nation-wide view on the use of Aadhaar by the residents of India and how it impacts their lives. For that purpose, the study also followed those who dropped off at various points along this journey for reasons including but not limited to lack of Aadhaar, failure to link Aadhaar to service IDs and authentication failure.</w:t>
      </w:r>
    </w:p>
    <w:p w14:paraId="3D0152B3" w14:textId="57DF8B63" w:rsidR="006A3005" w:rsidRPr="00A13B61" w:rsidRDefault="006A3005" w:rsidP="00F511BC">
      <w:pPr>
        <w:rPr>
          <w:lang w:eastAsia="en-IN"/>
        </w:rPr>
      </w:pPr>
      <w:r w:rsidRPr="00A13B61">
        <w:rPr>
          <w:lang w:eastAsia="en-IN"/>
        </w:rPr>
        <w:t>This report relies on two nationwide surveys conceptuali</w:t>
      </w:r>
      <w:r w:rsidR="00B67CBC" w:rsidRPr="00A13B61">
        <w:rPr>
          <w:lang w:eastAsia="en-IN"/>
        </w:rPr>
        <w:t>s</w:t>
      </w:r>
      <w:r w:rsidRPr="00A13B61">
        <w:rPr>
          <w:lang w:eastAsia="en-IN"/>
        </w:rPr>
        <w:t xml:space="preserve">ed, designed, managed, and </w:t>
      </w:r>
      <w:r w:rsidR="00801C40" w:rsidRPr="00A13B61">
        <w:rPr>
          <w:lang w:eastAsia="en-IN"/>
        </w:rPr>
        <w:t>analysed</w:t>
      </w:r>
      <w:r w:rsidRPr="00A13B61">
        <w:rPr>
          <w:lang w:eastAsia="en-IN"/>
        </w:rPr>
        <w:t xml:space="preserve"> by the Dalberg team with support for data collection from specialist organisations. These are:</w:t>
      </w:r>
    </w:p>
    <w:p w14:paraId="76CE72D1" w14:textId="77777777" w:rsidR="006A3005" w:rsidRPr="00A13B61" w:rsidRDefault="006A3005" w:rsidP="00F511BC">
      <w:pPr>
        <w:pStyle w:val="ListParagraph"/>
        <w:numPr>
          <w:ilvl w:val="0"/>
          <w:numId w:val="12"/>
        </w:numPr>
        <w:rPr>
          <w:lang w:eastAsia="en-IN"/>
        </w:rPr>
      </w:pPr>
      <w:r w:rsidRPr="00A13B61">
        <w:rPr>
          <w:lang w:eastAsia="en-IN"/>
        </w:rPr>
        <w:t>A pulse survey of a panel of 147,868 households in 28 states and union territories</w:t>
      </w:r>
    </w:p>
    <w:p w14:paraId="6917BB4D" w14:textId="77777777" w:rsidR="006A3005" w:rsidRPr="00A13B61" w:rsidRDefault="006A3005" w:rsidP="00F511BC">
      <w:pPr>
        <w:pStyle w:val="ListParagraph"/>
        <w:rPr>
          <w:b/>
          <w:bCs/>
          <w:lang w:eastAsia="en-IN"/>
        </w:rPr>
      </w:pPr>
      <w:r w:rsidRPr="00A13B61">
        <w:rPr>
          <w:i/>
          <w:iCs/>
          <w:lang w:eastAsia="en-IN"/>
        </w:rPr>
        <w:t>State of Aadhaar</w:t>
      </w:r>
      <w:r w:rsidRPr="00A13B61">
        <w:rPr>
          <w:lang w:eastAsia="en-IN"/>
        </w:rPr>
        <w:t xml:space="preserve"> added a 10-minute questionnaire to the triannual CHPS household panel survey conducted by the Centre for Monitoring Indian Economy (CMIE). These questions captured critical metrics on the adoption of Aadhaar and people’s experience around it. For part of this questionnaire (Aadhaar enrolment status, errors and some usage questions), we captured data for all household members, a total of 575,127 people. This survey was conducted between May and August 2019.</w:t>
      </w:r>
    </w:p>
    <w:p w14:paraId="4E797115" w14:textId="77777777" w:rsidR="006A3005" w:rsidRPr="00A13B61" w:rsidRDefault="006A3005" w:rsidP="00F511BC">
      <w:pPr>
        <w:pStyle w:val="ListParagraph"/>
        <w:rPr>
          <w:lang w:eastAsia="en-IN"/>
        </w:rPr>
      </w:pPr>
    </w:p>
    <w:p w14:paraId="23F412FD" w14:textId="77777777" w:rsidR="006A3005" w:rsidRPr="00A13B61" w:rsidRDefault="006A3005" w:rsidP="00F511BC">
      <w:pPr>
        <w:pStyle w:val="ListParagraph"/>
        <w:numPr>
          <w:ilvl w:val="0"/>
          <w:numId w:val="12"/>
        </w:numPr>
        <w:rPr>
          <w:lang w:eastAsia="en-IN"/>
        </w:rPr>
      </w:pPr>
      <w:r w:rsidRPr="00A13B61">
        <w:rPr>
          <w:lang w:eastAsia="en-IN"/>
        </w:rPr>
        <w:t>An in-depth 45-minute survey of 19,209 households across 16 states and 1 union territory</w:t>
      </w:r>
    </w:p>
    <w:p w14:paraId="65893E03" w14:textId="77777777" w:rsidR="006A3005" w:rsidRPr="00A13B61" w:rsidRDefault="006A3005" w:rsidP="00F511BC">
      <w:pPr>
        <w:pStyle w:val="ListParagraph"/>
        <w:rPr>
          <w:lang w:eastAsia="en-IN"/>
        </w:rPr>
      </w:pPr>
      <w:r w:rsidRPr="00A13B61">
        <w:rPr>
          <w:lang w:eastAsia="en-IN"/>
        </w:rPr>
        <w:t>State of Aadhaar conducted a separate deep-dive survey to uncover the nuances of people’s experience with Aadhaar. It included a wide range of questions on enrolment, updates and use of Aadhaar for services—particularly three welfare services (PDS, MGNREGS and social pensions) and two non-welfare services (telecom and banking). Considering the Supreme Court ruling of 2018, the survey also included some questions on schools to test on-ground implementation of the court’s orders. This survey employed stratified random sampling across the country and oversampled populations who are typically not covered by household surveys.</w:t>
      </w:r>
    </w:p>
    <w:p w14:paraId="5D1CEB94" w14:textId="77777777" w:rsidR="006A3005" w:rsidRPr="00A13B61" w:rsidRDefault="006A3005" w:rsidP="00F511BC">
      <w:pPr>
        <w:pStyle w:val="ListParagraph"/>
        <w:rPr>
          <w:lang w:eastAsia="en-IN"/>
        </w:rPr>
      </w:pPr>
    </w:p>
    <w:p w14:paraId="39867B96" w14:textId="77777777" w:rsidR="006A3005" w:rsidRPr="00A13B61" w:rsidRDefault="006A3005" w:rsidP="00F511BC">
      <w:pPr>
        <w:pStyle w:val="ListParagraph"/>
        <w:rPr>
          <w:lang w:eastAsia="en-IN"/>
        </w:rPr>
      </w:pPr>
      <w:r w:rsidRPr="00A13B61">
        <w:rPr>
          <w:lang w:eastAsia="en-IN"/>
        </w:rPr>
        <w:t>Dalberg created the research design and questionnaire. Kantar Public conducted the survey between July and September 2019, with close day-to-day oversight from Dalberg. The raw data were exclusively accessed and analysed by Dalberg.</w:t>
      </w:r>
    </w:p>
    <w:p w14:paraId="773FF5C4" w14:textId="77777777" w:rsidR="006A3005" w:rsidRPr="00A13B61" w:rsidRDefault="006A3005" w:rsidP="00F511BC">
      <w:pPr>
        <w:pStyle w:val="ListParagraph"/>
        <w:rPr>
          <w:lang w:eastAsia="en-IN"/>
        </w:rPr>
      </w:pPr>
    </w:p>
    <w:p w14:paraId="7483E8D3" w14:textId="77777777" w:rsidR="003029E6" w:rsidRPr="00A13B61" w:rsidRDefault="003029E6" w:rsidP="00F511BC">
      <w:pPr>
        <w:rPr>
          <w:lang w:eastAsia="en-IN"/>
        </w:rPr>
      </w:pPr>
      <w:r w:rsidRPr="00A13B61">
        <w:rPr>
          <w:lang w:eastAsia="en-IN"/>
        </w:rPr>
        <w:t>After completing data collection and preliminary analyses for the surveys, we followed up with Human Centred Design (HCD) research.</w:t>
      </w:r>
    </w:p>
    <w:p w14:paraId="30D84961" w14:textId="0D68AB7D" w:rsidR="003029E6" w:rsidRPr="00A13B61" w:rsidRDefault="003029E6" w:rsidP="00F511BC">
      <w:pPr>
        <w:rPr>
          <w:lang w:eastAsia="en-IN"/>
        </w:rPr>
      </w:pPr>
      <w:r w:rsidRPr="00A13B61">
        <w:rPr>
          <w:lang w:eastAsia="en-IN"/>
        </w:rPr>
        <w:lastRenderedPageBreak/>
        <w:t xml:space="preserve">This helped us probe deeper into the survey findings and uncover the </w:t>
      </w:r>
      <w:r w:rsidRPr="00A13B61">
        <w:rPr>
          <w:i/>
          <w:iCs/>
          <w:lang w:eastAsia="en-IN"/>
        </w:rPr>
        <w:t xml:space="preserve">why </w:t>
      </w:r>
      <w:r w:rsidRPr="00A13B61">
        <w:rPr>
          <w:lang w:eastAsia="en-IN"/>
        </w:rPr>
        <w:t xml:space="preserve">and </w:t>
      </w:r>
      <w:r w:rsidRPr="00A13B61">
        <w:rPr>
          <w:i/>
          <w:iCs/>
          <w:lang w:eastAsia="en-IN"/>
        </w:rPr>
        <w:t xml:space="preserve">how </w:t>
      </w:r>
      <w:r w:rsidRPr="00A13B61">
        <w:rPr>
          <w:lang w:eastAsia="en-IN"/>
        </w:rPr>
        <w:t>behind some of the most interesting trends displayed by the data. We interviewed over 100 people in their homes, communities and workplaces using a range of HCD research methods, such as 1:1 in-depth interviews, intercepts, small-group discussions, activity-led sessions, and observational walk-throughs. This research took place in the states of Maharashtra, Karnataka, Assam and Bihar. These efforts enabled us to better understand the human stories behind the data and uncover further areas for research.</w:t>
      </w:r>
    </w:p>
    <w:p w14:paraId="089F3E12" w14:textId="19C4E029" w:rsidR="006A3005" w:rsidRPr="00A13B61" w:rsidRDefault="006A3005" w:rsidP="00F511BC">
      <w:pPr>
        <w:rPr>
          <w:lang w:eastAsia="en-IN"/>
        </w:rPr>
      </w:pPr>
      <w:r w:rsidRPr="00A13B61">
        <w:rPr>
          <w:lang w:eastAsia="en-IN"/>
        </w:rPr>
        <w:t>The surveys and report leaned on guidance and inputs from subject matter experts as well as the general public.</w:t>
      </w:r>
    </w:p>
    <w:p w14:paraId="601CE2B9" w14:textId="2E146DA1" w:rsidR="006A3005" w:rsidRPr="00A13B61" w:rsidRDefault="006A3005" w:rsidP="00F511BC">
      <w:pPr>
        <w:rPr>
          <w:lang w:eastAsia="en-IN"/>
        </w:rPr>
      </w:pPr>
      <w:r w:rsidRPr="00A13B61">
        <w:rPr>
          <w:bCs/>
          <w:lang w:eastAsia="en-IN"/>
        </w:rPr>
        <w:t>W</w:t>
      </w:r>
      <w:r w:rsidRPr="00A13B61">
        <w:rPr>
          <w:lang w:eastAsia="en-IN"/>
        </w:rPr>
        <w:t xml:space="preserve">e </w:t>
      </w:r>
      <w:r w:rsidR="003029E6" w:rsidRPr="00A13B61">
        <w:rPr>
          <w:lang w:eastAsia="en-IN"/>
        </w:rPr>
        <w:t>were guided by</w:t>
      </w:r>
      <w:r w:rsidRPr="00A13B61">
        <w:rPr>
          <w:lang w:eastAsia="en-IN"/>
        </w:rPr>
        <w:t xml:space="preserve"> two panels</w:t>
      </w:r>
      <w:r w:rsidR="003029E6" w:rsidRPr="00A13B61">
        <w:rPr>
          <w:lang w:eastAsia="en-IN"/>
        </w:rPr>
        <w:t xml:space="preserve"> of independent experts</w:t>
      </w:r>
      <w:r w:rsidRPr="00A13B61">
        <w:rPr>
          <w:lang w:eastAsia="en-IN"/>
        </w:rPr>
        <w:t xml:space="preserve"> as the study evolved:</w:t>
      </w:r>
    </w:p>
    <w:p w14:paraId="6549B8E8" w14:textId="77777777" w:rsidR="00662F0F" w:rsidRPr="00A13B61" w:rsidRDefault="006A3005" w:rsidP="00F511BC">
      <w:pPr>
        <w:pStyle w:val="ListParagraph"/>
        <w:numPr>
          <w:ilvl w:val="0"/>
          <w:numId w:val="30"/>
        </w:numPr>
        <w:rPr>
          <w:lang w:eastAsia="en-IN"/>
        </w:rPr>
      </w:pPr>
      <w:r w:rsidRPr="00A13B61">
        <w:rPr>
          <w:lang w:eastAsia="en-IN"/>
        </w:rPr>
        <w:t>The Technical Panel provided content and technical guidance through extensive reviews of our research design, questionnaire, analyses and report drafts. This Panel consisted of:</w:t>
      </w:r>
    </w:p>
    <w:p w14:paraId="3A0ACC66" w14:textId="77777777" w:rsidR="00662F0F" w:rsidRPr="00A13B61" w:rsidRDefault="006A3005" w:rsidP="00F511BC">
      <w:pPr>
        <w:pStyle w:val="ListParagraph"/>
        <w:numPr>
          <w:ilvl w:val="1"/>
          <w:numId w:val="31"/>
        </w:numPr>
        <w:rPr>
          <w:lang w:eastAsia="en-IN"/>
        </w:rPr>
      </w:pPr>
      <w:r w:rsidRPr="00A13B61">
        <w:rPr>
          <w:lang w:eastAsia="en-IN"/>
        </w:rPr>
        <w:t xml:space="preserve">Dr </w:t>
      </w:r>
      <w:proofErr w:type="spellStart"/>
      <w:r w:rsidRPr="00A13B61">
        <w:rPr>
          <w:lang w:eastAsia="en-IN"/>
        </w:rPr>
        <w:t>Sonalde</w:t>
      </w:r>
      <w:proofErr w:type="spellEnd"/>
      <w:r w:rsidRPr="00A13B61">
        <w:rPr>
          <w:lang w:eastAsia="en-IN"/>
        </w:rPr>
        <w:t xml:space="preserve"> Desai</w:t>
      </w:r>
    </w:p>
    <w:p w14:paraId="2114A6BA" w14:textId="77777777" w:rsidR="00662F0F" w:rsidRPr="00A13B61" w:rsidRDefault="006A3005" w:rsidP="00F511BC">
      <w:pPr>
        <w:pStyle w:val="ListParagraph"/>
        <w:numPr>
          <w:ilvl w:val="1"/>
          <w:numId w:val="31"/>
        </w:numPr>
        <w:rPr>
          <w:lang w:eastAsia="en-IN"/>
        </w:rPr>
      </w:pPr>
      <w:r w:rsidRPr="00A13B61">
        <w:rPr>
          <w:lang w:eastAsia="en-IN"/>
        </w:rPr>
        <w:t xml:space="preserve">Dr Rinku </w:t>
      </w:r>
      <w:proofErr w:type="spellStart"/>
      <w:r w:rsidRPr="00A13B61">
        <w:rPr>
          <w:lang w:eastAsia="en-IN"/>
        </w:rPr>
        <w:t>Murgai</w:t>
      </w:r>
      <w:proofErr w:type="spellEnd"/>
    </w:p>
    <w:p w14:paraId="388CB315" w14:textId="77777777" w:rsidR="00662F0F" w:rsidRPr="00A13B61" w:rsidRDefault="006A3005" w:rsidP="00F511BC">
      <w:pPr>
        <w:pStyle w:val="ListParagraph"/>
        <w:numPr>
          <w:ilvl w:val="1"/>
          <w:numId w:val="31"/>
        </w:numPr>
        <w:rPr>
          <w:lang w:eastAsia="en-IN"/>
        </w:rPr>
      </w:pPr>
      <w:r w:rsidRPr="00A13B61">
        <w:rPr>
          <w:lang w:eastAsia="en-IN"/>
        </w:rPr>
        <w:t>Dr Shamika Ravi</w:t>
      </w:r>
    </w:p>
    <w:p w14:paraId="4908E3CD" w14:textId="75181226" w:rsidR="00662F0F" w:rsidRPr="00A13B61" w:rsidRDefault="006A3005" w:rsidP="00F511BC">
      <w:pPr>
        <w:pStyle w:val="ListParagraph"/>
        <w:numPr>
          <w:ilvl w:val="1"/>
          <w:numId w:val="31"/>
        </w:numPr>
        <w:rPr>
          <w:lang w:eastAsia="en-IN"/>
        </w:rPr>
      </w:pPr>
      <w:r w:rsidRPr="00A13B61">
        <w:rPr>
          <w:lang w:eastAsia="en-IN"/>
        </w:rPr>
        <w:t xml:space="preserve">Dr </w:t>
      </w:r>
      <w:proofErr w:type="spellStart"/>
      <w:r w:rsidRPr="00A13B61">
        <w:rPr>
          <w:lang w:eastAsia="en-IN"/>
        </w:rPr>
        <w:t>Pronab</w:t>
      </w:r>
      <w:proofErr w:type="spellEnd"/>
      <w:r w:rsidRPr="00A13B61">
        <w:rPr>
          <w:lang w:eastAsia="en-IN"/>
        </w:rPr>
        <w:t xml:space="preserve"> Sen</w:t>
      </w:r>
    </w:p>
    <w:p w14:paraId="377D447A" w14:textId="77777777" w:rsidR="00662F0F" w:rsidRPr="00A13B61" w:rsidRDefault="00662F0F" w:rsidP="00F511BC">
      <w:pPr>
        <w:pStyle w:val="ListParagraph"/>
        <w:rPr>
          <w:lang w:eastAsia="en-IN"/>
        </w:rPr>
      </w:pPr>
    </w:p>
    <w:p w14:paraId="3E73215B" w14:textId="48358A56" w:rsidR="006A3005" w:rsidRPr="00A13B61" w:rsidRDefault="006A3005" w:rsidP="00F511BC">
      <w:pPr>
        <w:pStyle w:val="ListParagraph"/>
        <w:numPr>
          <w:ilvl w:val="0"/>
          <w:numId w:val="31"/>
        </w:numPr>
        <w:rPr>
          <w:lang w:eastAsia="en-IN"/>
        </w:rPr>
      </w:pPr>
      <w:r w:rsidRPr="00A13B61">
        <w:rPr>
          <w:lang w:eastAsia="en-IN"/>
        </w:rPr>
        <w:t>The Advisory Panel helped us frame the report, identify the research questions and review report drafts. This Panel consisted of:</w:t>
      </w:r>
    </w:p>
    <w:p w14:paraId="61D36D4F" w14:textId="77777777" w:rsidR="006A3005" w:rsidRPr="00A13B61" w:rsidRDefault="006A3005" w:rsidP="00F511BC">
      <w:pPr>
        <w:pStyle w:val="ListParagraph"/>
        <w:numPr>
          <w:ilvl w:val="0"/>
          <w:numId w:val="29"/>
        </w:numPr>
        <w:rPr>
          <w:lang w:eastAsia="en-IN"/>
        </w:rPr>
      </w:pPr>
      <w:r w:rsidRPr="00A13B61">
        <w:rPr>
          <w:lang w:eastAsia="en-IN"/>
        </w:rPr>
        <w:t>Yamini Aiyar</w:t>
      </w:r>
    </w:p>
    <w:p w14:paraId="071553F5" w14:textId="77777777" w:rsidR="006A3005" w:rsidRPr="00A13B61" w:rsidRDefault="006A3005" w:rsidP="00F511BC">
      <w:pPr>
        <w:pStyle w:val="ListParagraph"/>
        <w:numPr>
          <w:ilvl w:val="0"/>
          <w:numId w:val="29"/>
        </w:numPr>
        <w:rPr>
          <w:lang w:eastAsia="en-IN"/>
        </w:rPr>
      </w:pPr>
      <w:r w:rsidRPr="00A13B61">
        <w:rPr>
          <w:lang w:eastAsia="en-IN"/>
        </w:rPr>
        <w:t xml:space="preserve">Dr </w:t>
      </w:r>
      <w:proofErr w:type="spellStart"/>
      <w:r w:rsidRPr="00A13B61">
        <w:rPr>
          <w:lang w:eastAsia="en-IN"/>
        </w:rPr>
        <w:t>Subhasis</w:t>
      </w:r>
      <w:proofErr w:type="spellEnd"/>
      <w:r w:rsidRPr="00A13B61">
        <w:rPr>
          <w:lang w:eastAsia="en-IN"/>
        </w:rPr>
        <w:t xml:space="preserve"> Banerjee</w:t>
      </w:r>
    </w:p>
    <w:p w14:paraId="584292D4" w14:textId="77777777" w:rsidR="006A3005" w:rsidRPr="00A13B61" w:rsidRDefault="006A3005" w:rsidP="00F511BC">
      <w:pPr>
        <w:pStyle w:val="ListParagraph"/>
        <w:numPr>
          <w:ilvl w:val="0"/>
          <w:numId w:val="29"/>
        </w:numPr>
        <w:rPr>
          <w:lang w:eastAsia="en-IN"/>
        </w:rPr>
      </w:pPr>
      <w:r w:rsidRPr="00A13B61">
        <w:rPr>
          <w:lang w:eastAsia="en-IN"/>
        </w:rPr>
        <w:t xml:space="preserve">Rahul </w:t>
      </w:r>
      <w:proofErr w:type="spellStart"/>
      <w:r w:rsidRPr="00A13B61">
        <w:rPr>
          <w:lang w:eastAsia="en-IN"/>
        </w:rPr>
        <w:t>Matthan</w:t>
      </w:r>
      <w:proofErr w:type="spellEnd"/>
    </w:p>
    <w:p w14:paraId="0D07AB08" w14:textId="77777777" w:rsidR="006A3005" w:rsidRPr="00A13B61" w:rsidRDefault="006A3005" w:rsidP="00F511BC">
      <w:pPr>
        <w:pStyle w:val="ListParagraph"/>
        <w:numPr>
          <w:ilvl w:val="0"/>
          <w:numId w:val="29"/>
        </w:numPr>
        <w:rPr>
          <w:lang w:eastAsia="en-IN"/>
        </w:rPr>
      </w:pPr>
      <w:r w:rsidRPr="00A13B61">
        <w:rPr>
          <w:lang w:eastAsia="en-IN"/>
        </w:rPr>
        <w:t xml:space="preserve">Dr </w:t>
      </w:r>
      <w:proofErr w:type="spellStart"/>
      <w:r w:rsidRPr="00A13B61">
        <w:rPr>
          <w:lang w:eastAsia="en-IN"/>
        </w:rPr>
        <w:t>Anit</w:t>
      </w:r>
      <w:proofErr w:type="spellEnd"/>
      <w:r w:rsidRPr="00A13B61">
        <w:rPr>
          <w:lang w:eastAsia="en-IN"/>
        </w:rPr>
        <w:t xml:space="preserve"> N Mukherjee</w:t>
      </w:r>
    </w:p>
    <w:p w14:paraId="7A39077A" w14:textId="77777777" w:rsidR="006A3005" w:rsidRPr="00A13B61" w:rsidRDefault="006A3005" w:rsidP="00F511BC">
      <w:pPr>
        <w:pStyle w:val="ListParagraph"/>
        <w:numPr>
          <w:ilvl w:val="0"/>
          <w:numId w:val="29"/>
        </w:numPr>
        <w:rPr>
          <w:lang w:eastAsia="en-IN"/>
        </w:rPr>
      </w:pPr>
      <w:r w:rsidRPr="00A13B61">
        <w:rPr>
          <w:lang w:eastAsia="en-IN"/>
        </w:rPr>
        <w:t>Ananth Padmanabhan</w:t>
      </w:r>
    </w:p>
    <w:p w14:paraId="78E0CEA6" w14:textId="49FD2FBE" w:rsidR="006A3005" w:rsidRPr="00A13B61" w:rsidRDefault="006A3005" w:rsidP="00F511BC">
      <w:pPr>
        <w:rPr>
          <w:lang w:eastAsia="en-IN"/>
        </w:rPr>
      </w:pPr>
      <w:r w:rsidRPr="00A13B61">
        <w:rPr>
          <w:lang w:eastAsia="en-IN"/>
        </w:rPr>
        <w:t>Additionally, we incorporated inputs from more than 30 experts including government officials and policymakers, legal advisors, technologists, researchers</w:t>
      </w:r>
      <w:r w:rsidR="00401608" w:rsidRPr="00A13B61">
        <w:rPr>
          <w:lang w:eastAsia="en-IN"/>
        </w:rPr>
        <w:t>,</w:t>
      </w:r>
      <w:r w:rsidRPr="00A13B61">
        <w:rPr>
          <w:lang w:eastAsia="en-IN"/>
        </w:rPr>
        <w:t xml:space="preserve"> and others.</w:t>
      </w:r>
    </w:p>
    <w:p w14:paraId="111D5F32" w14:textId="1B67A059" w:rsidR="003029E6" w:rsidRPr="00A13B61" w:rsidRDefault="003029E6" w:rsidP="00F511BC">
      <w:pPr>
        <w:rPr>
          <w:lang w:eastAsia="en-IN"/>
        </w:rPr>
      </w:pPr>
      <w:r w:rsidRPr="00A13B61">
        <w:rPr>
          <w:lang w:eastAsia="en-IN"/>
        </w:rPr>
        <w:t xml:space="preserve">Dozens of </w:t>
      </w:r>
      <w:r w:rsidR="003A5CB9">
        <w:rPr>
          <w:lang w:eastAsia="en-IN"/>
        </w:rPr>
        <w:t>residents shared their experiences and perspectives during our exploratory research and survey pilots, contributing greatly to our understanding of Aadhaar and its role in people’s lives.</w:t>
      </w:r>
    </w:p>
    <w:p w14:paraId="09E79209" w14:textId="172067FF" w:rsidR="003029E6" w:rsidRPr="00A13B61" w:rsidRDefault="003029E6" w:rsidP="00F511BC">
      <w:pPr>
        <w:rPr>
          <w:lang w:eastAsia="en-IN"/>
        </w:rPr>
      </w:pPr>
      <w:r w:rsidRPr="00A13B61">
        <w:rPr>
          <w:lang w:eastAsia="en-IN"/>
        </w:rPr>
        <w:t>We thank all the panel members</w:t>
      </w:r>
      <w:r w:rsidR="003A5CB9">
        <w:rPr>
          <w:lang w:eastAsia="en-IN"/>
        </w:rPr>
        <w:t>,</w:t>
      </w:r>
      <w:r w:rsidRPr="00A13B61">
        <w:rPr>
          <w:lang w:eastAsia="en-IN"/>
        </w:rPr>
        <w:t xml:space="preserve"> experts</w:t>
      </w:r>
      <w:r w:rsidR="003A5CB9">
        <w:rPr>
          <w:lang w:eastAsia="en-IN"/>
        </w:rPr>
        <w:t xml:space="preserve"> and residents</w:t>
      </w:r>
      <w:r w:rsidRPr="00A13B61">
        <w:rPr>
          <w:lang w:eastAsia="en-IN"/>
        </w:rPr>
        <w:t xml:space="preserve"> who engaged with us throughout the study, for their insights and perspectives. Any errors remain our own</w:t>
      </w:r>
      <w:r w:rsidR="003A5CB9">
        <w:rPr>
          <w:lang w:eastAsia="en-IN"/>
        </w:rPr>
        <w:t>. We particularly thank the respondents of our surveys and HCD research.</w:t>
      </w:r>
    </w:p>
    <w:p w14:paraId="7D7363B0" w14:textId="7CAD7E54" w:rsidR="006A3005" w:rsidRPr="00A13B61" w:rsidRDefault="006A3005" w:rsidP="00F511BC">
      <w:pPr>
        <w:rPr>
          <w:b/>
        </w:rPr>
      </w:pPr>
      <w:r w:rsidRPr="00A13B61">
        <w:rPr>
          <w:lang w:eastAsia="en-IN"/>
        </w:rPr>
        <w:t xml:space="preserve">This methodology note covers </w:t>
      </w:r>
      <w:r w:rsidR="004568ED" w:rsidRPr="00A13B61">
        <w:rPr>
          <w:lang w:eastAsia="en-IN"/>
        </w:rPr>
        <w:t>the</w:t>
      </w:r>
      <w:r w:rsidRPr="00A13B61">
        <w:rPr>
          <w:lang w:eastAsia="en-IN"/>
        </w:rPr>
        <w:t xml:space="preserve"> pulse survey</w:t>
      </w:r>
      <w:r w:rsidR="004568ED" w:rsidRPr="00A13B61">
        <w:rPr>
          <w:lang w:eastAsia="en-IN"/>
        </w:rPr>
        <w:t>,</w:t>
      </w:r>
      <w:r w:rsidRPr="00A13B61">
        <w:rPr>
          <w:lang w:eastAsia="en-IN"/>
        </w:rPr>
        <w:t xml:space="preserve"> the in-depth survey</w:t>
      </w:r>
      <w:r w:rsidR="004568ED" w:rsidRPr="00A13B61">
        <w:rPr>
          <w:lang w:eastAsia="en-IN"/>
        </w:rPr>
        <w:t>, and the HCD research,</w:t>
      </w:r>
      <w:r w:rsidRPr="00A13B61">
        <w:rPr>
          <w:lang w:eastAsia="en-IN"/>
        </w:rPr>
        <w:t xml:space="preserve"> but focuses </w:t>
      </w:r>
      <w:r w:rsidR="004568ED" w:rsidRPr="00A13B61">
        <w:rPr>
          <w:lang w:eastAsia="en-IN"/>
        </w:rPr>
        <w:t>most</w:t>
      </w:r>
      <w:r w:rsidRPr="00A13B61">
        <w:rPr>
          <w:lang w:eastAsia="en-IN"/>
        </w:rPr>
        <w:t xml:space="preserve"> on the </w:t>
      </w:r>
      <w:r w:rsidR="004568ED" w:rsidRPr="00A13B61">
        <w:rPr>
          <w:lang w:eastAsia="en-IN"/>
        </w:rPr>
        <w:t>in-depth survey</w:t>
      </w:r>
      <w:r w:rsidRPr="00A13B61">
        <w:rPr>
          <w:lang w:eastAsia="en-IN"/>
        </w:rPr>
        <w:t>.</w:t>
      </w:r>
    </w:p>
    <w:p w14:paraId="540693D3" w14:textId="63263DF7" w:rsidR="00844901" w:rsidRPr="00A13B61" w:rsidRDefault="00844901" w:rsidP="00F511BC">
      <w:pPr>
        <w:pStyle w:val="Bullet1"/>
      </w:pPr>
      <w:r w:rsidRPr="00A13B61">
        <w:br w:type="page"/>
      </w:r>
    </w:p>
    <w:p w14:paraId="5D6B981A" w14:textId="5C195CB6" w:rsidR="00086D25" w:rsidRPr="00A13B61" w:rsidRDefault="00086D25" w:rsidP="00F511BC">
      <w:pPr>
        <w:pStyle w:val="Heading1"/>
      </w:pPr>
      <w:bookmarkStart w:id="29" w:name="_Toc25484972"/>
      <w:r w:rsidRPr="00A13B61">
        <w:lastRenderedPageBreak/>
        <w:t>Pre-Analysis</w:t>
      </w:r>
      <w:bookmarkEnd w:id="29"/>
    </w:p>
    <w:p w14:paraId="7C3F1A12" w14:textId="36B77998" w:rsidR="0023070A" w:rsidRPr="00930138" w:rsidRDefault="000065E0" w:rsidP="00930138">
      <w:pPr>
        <w:pStyle w:val="Heading2"/>
      </w:pPr>
      <w:bookmarkStart w:id="30" w:name="_Toc25484973"/>
      <w:r w:rsidRPr="00930138">
        <w:t>2</w:t>
      </w:r>
      <w:r w:rsidR="00D70CB0" w:rsidRPr="00930138">
        <w:t xml:space="preserve">.1 </w:t>
      </w:r>
      <w:r w:rsidR="008212AE" w:rsidRPr="00930138">
        <w:t>In-Depth</w:t>
      </w:r>
      <w:r w:rsidR="0023070A" w:rsidRPr="00930138">
        <w:t xml:space="preserve"> Survey</w:t>
      </w:r>
      <w:bookmarkEnd w:id="30"/>
    </w:p>
    <w:p w14:paraId="24E48EED" w14:textId="57DC091D" w:rsidR="00ED6162" w:rsidRPr="00A13B61" w:rsidRDefault="0023070A" w:rsidP="00F511BC">
      <w:pPr>
        <w:pStyle w:val="Heading3"/>
      </w:pPr>
      <w:bookmarkStart w:id="31" w:name="_Toc25484974"/>
      <w:r w:rsidRPr="00A13B61">
        <w:t>Questionnaire design</w:t>
      </w:r>
      <w:bookmarkEnd w:id="31"/>
    </w:p>
    <w:p w14:paraId="7E90B5B0" w14:textId="6934698C" w:rsidR="00AC64D1" w:rsidRPr="00A13B61" w:rsidRDefault="00AC64D1" w:rsidP="00F511BC">
      <w:r w:rsidRPr="00A13B61">
        <w:t>In the in-depth survey, we focussed on the following themes</w:t>
      </w:r>
      <w:r w:rsidR="007A22CD" w:rsidRPr="00A13B61">
        <w:t>, with selected indicators highlighted below</w:t>
      </w:r>
    </w:p>
    <w:p w14:paraId="4B33FC6E" w14:textId="27459B60" w:rsidR="00AC64D1" w:rsidRPr="00A13B61" w:rsidRDefault="00D42988" w:rsidP="00F511BC">
      <w:pPr>
        <w:pStyle w:val="ListParagraph"/>
        <w:numPr>
          <w:ilvl w:val="0"/>
          <w:numId w:val="23"/>
        </w:numPr>
      </w:pPr>
      <w:r w:rsidRPr="00A13B61">
        <w:t>Getting Aadhaar</w:t>
      </w:r>
      <w:r w:rsidR="004568ED" w:rsidRPr="00A13B61">
        <w:t xml:space="preserve"> (enrolment and updates)</w:t>
      </w:r>
    </w:p>
    <w:p w14:paraId="6D9910CE" w14:textId="74BCD41F" w:rsidR="00D42988" w:rsidRPr="00A13B61" w:rsidRDefault="00D42988" w:rsidP="00F511BC">
      <w:pPr>
        <w:pStyle w:val="ListParagraph"/>
        <w:numPr>
          <w:ilvl w:val="1"/>
          <w:numId w:val="23"/>
        </w:numPr>
      </w:pPr>
      <w:r w:rsidRPr="00A13B61">
        <w:t>Aadhaar enrolment</w:t>
      </w:r>
    </w:p>
    <w:p w14:paraId="002DA135" w14:textId="0DAC6509" w:rsidR="007A22CD" w:rsidRPr="00A13B61" w:rsidRDefault="007A22CD" w:rsidP="00F511BC">
      <w:pPr>
        <w:pStyle w:val="ListParagraph"/>
        <w:numPr>
          <w:ilvl w:val="1"/>
          <w:numId w:val="23"/>
        </w:numPr>
      </w:pPr>
      <w:r w:rsidRPr="00A13B61">
        <w:t>Reasons why residents have not enrolled in Aadhaar</w:t>
      </w:r>
    </w:p>
    <w:p w14:paraId="4C6D04BC" w14:textId="62166364" w:rsidR="00D42988" w:rsidRPr="00A13B61" w:rsidRDefault="007A22CD" w:rsidP="00F511BC">
      <w:pPr>
        <w:pStyle w:val="ListParagraph"/>
        <w:numPr>
          <w:ilvl w:val="1"/>
          <w:numId w:val="23"/>
        </w:numPr>
      </w:pPr>
      <w:r w:rsidRPr="00A13B61">
        <w:t>Number of trips to enrolment centre</w:t>
      </w:r>
    </w:p>
    <w:p w14:paraId="0FEFD2F1" w14:textId="4ADCF817" w:rsidR="00F56044" w:rsidRPr="00A13B61" w:rsidRDefault="00F56044" w:rsidP="00F511BC">
      <w:pPr>
        <w:pStyle w:val="ListParagraph"/>
        <w:numPr>
          <w:ilvl w:val="1"/>
          <w:numId w:val="23"/>
        </w:numPr>
      </w:pPr>
      <w:r w:rsidRPr="00A13B61">
        <w:t>Number of trips to update centre</w:t>
      </w:r>
    </w:p>
    <w:p w14:paraId="1DC78EC8" w14:textId="5BEAB270" w:rsidR="007A22CD" w:rsidRPr="00A13B61" w:rsidRDefault="007A22CD" w:rsidP="00F511BC">
      <w:pPr>
        <w:pStyle w:val="ListParagraph"/>
        <w:numPr>
          <w:ilvl w:val="1"/>
          <w:numId w:val="23"/>
        </w:numPr>
      </w:pPr>
      <w:r w:rsidRPr="00A13B61">
        <w:t>Aadhaar error rate</w:t>
      </w:r>
      <w:r w:rsidR="00D14991" w:rsidRPr="00A13B61">
        <w:t xml:space="preserve"> (name, date of birth, gender, address, photograph, mobile number, biometric)</w:t>
      </w:r>
    </w:p>
    <w:p w14:paraId="55CC694C" w14:textId="0DB9EEC4" w:rsidR="00D14991" w:rsidRPr="00A13B61" w:rsidRDefault="00D14991" w:rsidP="00F511BC">
      <w:pPr>
        <w:pStyle w:val="ListParagraph"/>
        <w:numPr>
          <w:ilvl w:val="1"/>
          <w:numId w:val="23"/>
        </w:numPr>
      </w:pPr>
      <w:r w:rsidRPr="00A13B61">
        <w:t>Whether it is easy or difficult to enrol in Aadhaar, update Aadhaar, link Aadhaar to social services (e.g., MGNREGS, social pensions), link Aadhaar to private services (e.g., DBT and bank account)</w:t>
      </w:r>
    </w:p>
    <w:p w14:paraId="789B1F6D" w14:textId="31099FE8" w:rsidR="00D42988" w:rsidRPr="00A13B61" w:rsidRDefault="00D42988" w:rsidP="00F511BC">
      <w:pPr>
        <w:pStyle w:val="ListParagraph"/>
        <w:numPr>
          <w:ilvl w:val="0"/>
          <w:numId w:val="23"/>
        </w:numPr>
      </w:pPr>
      <w:r w:rsidRPr="00A13B61">
        <w:t>Using Aadhaar</w:t>
      </w:r>
    </w:p>
    <w:p w14:paraId="1BDCF6F2" w14:textId="2EEF97E7" w:rsidR="00C722B3" w:rsidRPr="00A13B61" w:rsidRDefault="00C722B3" w:rsidP="00F511BC">
      <w:pPr>
        <w:pStyle w:val="ListParagraph"/>
        <w:numPr>
          <w:ilvl w:val="1"/>
          <w:numId w:val="23"/>
        </w:numPr>
      </w:pPr>
      <w:r w:rsidRPr="00A13B61">
        <w:t>Aadhaar usage (e.g., MGNREGS, PDS, Social Security and Pensions, loans, insurance, applying for another ID, age proof)</w:t>
      </w:r>
    </w:p>
    <w:p w14:paraId="3BD2D38D" w14:textId="5EBFF25F" w:rsidR="00C722B3" w:rsidRPr="00A13B61" w:rsidRDefault="00C722B3" w:rsidP="00F511BC">
      <w:pPr>
        <w:pStyle w:val="ListParagraph"/>
        <w:numPr>
          <w:ilvl w:val="1"/>
          <w:numId w:val="23"/>
        </w:numPr>
      </w:pPr>
      <w:r w:rsidRPr="00A13B61">
        <w:t>Uses of different forms and features of Aadhaar (e.g., card, photocopy, fingerprint, QR code, OTP)</w:t>
      </w:r>
    </w:p>
    <w:p w14:paraId="04C21DA7" w14:textId="25F3684A" w:rsidR="0033650B" w:rsidRPr="00A13B61" w:rsidRDefault="0033650B" w:rsidP="00F511BC">
      <w:pPr>
        <w:pStyle w:val="ListParagraph"/>
        <w:numPr>
          <w:ilvl w:val="1"/>
          <w:numId w:val="23"/>
        </w:numPr>
      </w:pPr>
      <w:r w:rsidRPr="00A13B61">
        <w:t>Number of authentication attempts for various services (e.g., MGNREGS, PDS, SIM card)</w:t>
      </w:r>
    </w:p>
    <w:p w14:paraId="643285BE" w14:textId="58C5C83B" w:rsidR="00C722B3" w:rsidRPr="00A13B61" w:rsidRDefault="00C722B3" w:rsidP="00F511BC">
      <w:pPr>
        <w:pStyle w:val="ListParagraph"/>
        <w:numPr>
          <w:ilvl w:val="1"/>
          <w:numId w:val="23"/>
        </w:numPr>
      </w:pPr>
      <w:r w:rsidRPr="00A13B61">
        <w:t>Reasons why residents are not receiving services (e.g.</w:t>
      </w:r>
      <w:r w:rsidR="0033650B" w:rsidRPr="00A13B61">
        <w:t>,</w:t>
      </w:r>
      <w:r w:rsidRPr="00A13B61">
        <w:t xml:space="preserve"> MGNREGS, PDS, school enrolment), categorized into Aadhaar and non-Aadhaar related reasons</w:t>
      </w:r>
    </w:p>
    <w:p w14:paraId="076F5D42" w14:textId="19F0CBBE" w:rsidR="0033650B" w:rsidRPr="00A13B61" w:rsidRDefault="00F00282" w:rsidP="00F511BC">
      <w:pPr>
        <w:pStyle w:val="ListParagraph"/>
        <w:numPr>
          <w:ilvl w:val="1"/>
          <w:numId w:val="23"/>
        </w:numPr>
      </w:pPr>
      <w:r w:rsidRPr="00A13B61">
        <w:t>Whether it is easier or more difficult to access welfare services (</w:t>
      </w:r>
      <w:r w:rsidR="0033650B" w:rsidRPr="00A13B61">
        <w:t xml:space="preserve">e.g., </w:t>
      </w:r>
      <w:r w:rsidRPr="00A13B61">
        <w:t xml:space="preserve">MGNREGS, PDS) </w:t>
      </w:r>
      <w:r w:rsidR="0033650B" w:rsidRPr="00A13B61">
        <w:t xml:space="preserve">and private services (e.g., DBT and bank account, SIM card) </w:t>
      </w:r>
      <w:r w:rsidR="004568ED" w:rsidRPr="00A13B61">
        <w:t>with</w:t>
      </w:r>
      <w:r w:rsidRPr="00A13B61">
        <w:t xml:space="preserve"> Aadhaar </w:t>
      </w:r>
    </w:p>
    <w:p w14:paraId="322C02DC" w14:textId="48834C1E" w:rsidR="00D42988" w:rsidRPr="00A13B61" w:rsidRDefault="00D42988" w:rsidP="00F511BC">
      <w:pPr>
        <w:pStyle w:val="ListParagraph"/>
        <w:numPr>
          <w:ilvl w:val="0"/>
          <w:numId w:val="23"/>
        </w:numPr>
      </w:pPr>
      <w:r w:rsidRPr="00A13B61">
        <w:t>Perceptions, satisfaction, and trust</w:t>
      </w:r>
    </w:p>
    <w:p w14:paraId="700BE42D" w14:textId="78C4C450" w:rsidR="0033650B" w:rsidRPr="00A13B61" w:rsidRDefault="0033650B" w:rsidP="00F511BC">
      <w:pPr>
        <w:pStyle w:val="ListParagraph"/>
        <w:numPr>
          <w:ilvl w:val="1"/>
          <w:numId w:val="23"/>
        </w:numPr>
      </w:pPr>
      <w:r w:rsidRPr="00A13B61">
        <w:t xml:space="preserve">Benefits and challenges of Aadhaar that are perceived as most important </w:t>
      </w:r>
    </w:p>
    <w:p w14:paraId="2C6175FA" w14:textId="4F65A23D" w:rsidR="0033650B" w:rsidRPr="00A13B61" w:rsidRDefault="0033650B" w:rsidP="00F511BC">
      <w:pPr>
        <w:pStyle w:val="ListParagraph"/>
        <w:numPr>
          <w:ilvl w:val="1"/>
          <w:numId w:val="23"/>
        </w:numPr>
      </w:pPr>
      <w:r w:rsidRPr="00A13B61">
        <w:t xml:space="preserve">Whether Aadhaar </w:t>
      </w:r>
      <w:r w:rsidR="004568ED" w:rsidRPr="00A13B61">
        <w:t>was used</w:t>
      </w:r>
      <w:r w:rsidRPr="00A13B61">
        <w:t xml:space="preserve"> to gain access to services (e.g., bank account, SIM card, PDS) for the first time</w:t>
      </w:r>
    </w:p>
    <w:p w14:paraId="39C1D4A4" w14:textId="3F810278" w:rsidR="0033650B" w:rsidRPr="00A13B61" w:rsidRDefault="0033650B" w:rsidP="00F511BC">
      <w:pPr>
        <w:pStyle w:val="ListParagraph"/>
        <w:numPr>
          <w:ilvl w:val="1"/>
          <w:numId w:val="23"/>
        </w:numPr>
      </w:pPr>
      <w:r w:rsidRPr="00A13B61">
        <w:t>Aadhaar trust rate</w:t>
      </w:r>
    </w:p>
    <w:p w14:paraId="5ED1C898" w14:textId="534896A0" w:rsidR="0033650B" w:rsidRPr="00A13B61" w:rsidRDefault="0033650B" w:rsidP="00F511BC">
      <w:pPr>
        <w:pStyle w:val="ListParagraph"/>
        <w:numPr>
          <w:ilvl w:val="1"/>
          <w:numId w:val="23"/>
        </w:numPr>
      </w:pPr>
      <w:r w:rsidRPr="00A13B61">
        <w:t>Aadhaar satisfaction rate</w:t>
      </w:r>
    </w:p>
    <w:p w14:paraId="22C75A95" w14:textId="484EE670" w:rsidR="0033650B" w:rsidRPr="00A13B61" w:rsidRDefault="0033650B" w:rsidP="00F511BC">
      <w:pPr>
        <w:pStyle w:val="ListParagraph"/>
        <w:numPr>
          <w:ilvl w:val="1"/>
          <w:numId w:val="23"/>
        </w:numPr>
      </w:pPr>
      <w:r w:rsidRPr="00A13B61">
        <w:t>Whether residents prefer Aadhaar if given a choice of which ID to provide</w:t>
      </w:r>
    </w:p>
    <w:p w14:paraId="22E475CC" w14:textId="15EB4044" w:rsidR="00D42988" w:rsidRPr="00A13B61" w:rsidRDefault="00D42988" w:rsidP="00F511BC">
      <w:pPr>
        <w:pStyle w:val="ListParagraph"/>
        <w:numPr>
          <w:ilvl w:val="0"/>
          <w:numId w:val="23"/>
        </w:numPr>
      </w:pPr>
      <w:r w:rsidRPr="00A13B61">
        <w:t>Awareness</w:t>
      </w:r>
    </w:p>
    <w:p w14:paraId="7D0D218E" w14:textId="5AF7108E" w:rsidR="0033650B" w:rsidRPr="00A13B61" w:rsidRDefault="0033650B" w:rsidP="00F511BC">
      <w:pPr>
        <w:pStyle w:val="ListParagraph"/>
        <w:numPr>
          <w:ilvl w:val="1"/>
          <w:numId w:val="23"/>
        </w:numPr>
      </w:pPr>
      <w:r w:rsidRPr="00A13B61">
        <w:t xml:space="preserve">Whether </w:t>
      </w:r>
      <w:r w:rsidR="001C14C1" w:rsidRPr="00A13B61">
        <w:t xml:space="preserve">residents </w:t>
      </w:r>
      <w:r w:rsidR="004568ED" w:rsidRPr="00A13B61">
        <w:t xml:space="preserve">felt they </w:t>
      </w:r>
      <w:r w:rsidR="001C14C1" w:rsidRPr="00A13B61">
        <w:t>understood processes around enrolment and update</w:t>
      </w:r>
    </w:p>
    <w:p w14:paraId="0546E93F" w14:textId="18EF05A4" w:rsidR="001C14C1" w:rsidRPr="00A13B61" w:rsidRDefault="001C14C1" w:rsidP="00F511BC">
      <w:pPr>
        <w:pStyle w:val="ListParagraph"/>
        <w:numPr>
          <w:ilvl w:val="1"/>
          <w:numId w:val="23"/>
        </w:numPr>
      </w:pPr>
      <w:r w:rsidRPr="00A13B61">
        <w:t>Whether residents understood when Aadhaar is legally mandated (e.g., bank account, SIM card, PDS)</w:t>
      </w:r>
    </w:p>
    <w:p w14:paraId="24B8338E" w14:textId="5343013C" w:rsidR="001C14C1" w:rsidRPr="00A13B61" w:rsidRDefault="00B650E9" w:rsidP="00F511BC">
      <w:pPr>
        <w:pStyle w:val="ListParagraph"/>
        <w:numPr>
          <w:ilvl w:val="1"/>
          <w:numId w:val="23"/>
        </w:numPr>
      </w:pPr>
      <w:r w:rsidRPr="00A13B61">
        <w:t>Reasons why residents provide Aadhaar for private services (e.g., the government made Aadhaar mandatory, the service provider only accepted Aadhaar, Aadhaar is my only ID or address proof)</w:t>
      </w:r>
    </w:p>
    <w:p w14:paraId="645FAD34" w14:textId="5822E17D" w:rsidR="00B650E9" w:rsidRPr="00A13B61" w:rsidRDefault="00B650E9" w:rsidP="00F511BC">
      <w:pPr>
        <w:pStyle w:val="ListParagraph"/>
        <w:numPr>
          <w:ilvl w:val="1"/>
          <w:numId w:val="23"/>
        </w:numPr>
      </w:pPr>
      <w:r w:rsidRPr="00A13B61">
        <w:t xml:space="preserve">Whether residents </w:t>
      </w:r>
      <w:r w:rsidR="004568ED" w:rsidRPr="00A13B61">
        <w:t xml:space="preserve">who encountered problems </w:t>
      </w:r>
      <w:r w:rsidRPr="00A13B61">
        <w:t>were aware of Aadhaar helplines and if they used them</w:t>
      </w:r>
    </w:p>
    <w:p w14:paraId="042EE07A" w14:textId="5D3DEF38" w:rsidR="00D42988" w:rsidRPr="00A13B61" w:rsidRDefault="00D42988" w:rsidP="00F511BC">
      <w:pPr>
        <w:pStyle w:val="ListParagraph"/>
        <w:numPr>
          <w:ilvl w:val="0"/>
          <w:numId w:val="23"/>
        </w:numPr>
      </w:pPr>
      <w:r w:rsidRPr="00A13B61">
        <w:t>Children’s access to education and welfare</w:t>
      </w:r>
    </w:p>
    <w:p w14:paraId="2C0F2FC1" w14:textId="61D15DBD" w:rsidR="00B650E9" w:rsidRPr="00A13B61" w:rsidRDefault="00B650E9" w:rsidP="00F511BC">
      <w:pPr>
        <w:pStyle w:val="ListParagraph"/>
        <w:numPr>
          <w:ilvl w:val="1"/>
          <w:numId w:val="23"/>
        </w:numPr>
      </w:pPr>
      <w:r w:rsidRPr="00A13B61">
        <w:t xml:space="preserve">Whether children experienced a delay in school enrolment </w:t>
      </w:r>
      <w:r w:rsidR="00E4333E" w:rsidRPr="00A13B61">
        <w:t>due to Aadhaar-related reasons</w:t>
      </w:r>
    </w:p>
    <w:p w14:paraId="3869EE70" w14:textId="4C8D3FB2" w:rsidR="00B650E9" w:rsidRPr="00A13B61" w:rsidRDefault="00B650E9" w:rsidP="00F511BC">
      <w:pPr>
        <w:pStyle w:val="ListParagraph"/>
        <w:numPr>
          <w:ilvl w:val="1"/>
          <w:numId w:val="23"/>
        </w:numPr>
      </w:pPr>
      <w:r w:rsidRPr="00A13B61">
        <w:t>Whether children were out of school due to Aadhaar-related reasons</w:t>
      </w:r>
    </w:p>
    <w:p w14:paraId="05C07396" w14:textId="22135A05" w:rsidR="009A1801" w:rsidRPr="00A13B61" w:rsidRDefault="009A1801" w:rsidP="00F511BC">
      <w:pPr>
        <w:pStyle w:val="ListParagraph"/>
        <w:numPr>
          <w:ilvl w:val="1"/>
          <w:numId w:val="23"/>
        </w:numPr>
      </w:pPr>
      <w:r w:rsidRPr="00A13B61">
        <w:t>Whether children missed out on mid-day meals due to difficulties with Aadhaar</w:t>
      </w:r>
    </w:p>
    <w:p w14:paraId="0AB8A7F5" w14:textId="6E4DBEE2" w:rsidR="00AC64D1" w:rsidRPr="00A13B61" w:rsidRDefault="00AC64D1" w:rsidP="00F511BC">
      <w:r w:rsidRPr="00A13B61">
        <w:t xml:space="preserve">Furthermore, </w:t>
      </w:r>
      <w:r w:rsidR="0093024B" w:rsidRPr="00A13B61">
        <w:t xml:space="preserve">we captured the following key </w:t>
      </w:r>
      <w:r w:rsidR="00816C7E" w:rsidRPr="00A13B61">
        <w:t xml:space="preserve">descriptive </w:t>
      </w:r>
      <w:r w:rsidR="0093024B" w:rsidRPr="00A13B61">
        <w:t>variables</w:t>
      </w:r>
      <w:r w:rsidR="00816C7E" w:rsidRPr="00A13B61">
        <w:t xml:space="preserve"> of residents</w:t>
      </w:r>
    </w:p>
    <w:p w14:paraId="3B57BCE7" w14:textId="6BA5F5EE" w:rsidR="00D17D64" w:rsidRPr="00A13B61" w:rsidRDefault="007E0671" w:rsidP="00F511BC">
      <w:pPr>
        <w:pStyle w:val="ListParagraph"/>
        <w:numPr>
          <w:ilvl w:val="0"/>
          <w:numId w:val="23"/>
        </w:numPr>
      </w:pPr>
      <w:r w:rsidRPr="00A13B61">
        <w:t>State</w:t>
      </w:r>
      <w:r w:rsidR="004568ED" w:rsidRPr="00A13B61">
        <w:t xml:space="preserve"> and district</w:t>
      </w:r>
    </w:p>
    <w:p w14:paraId="5F017E1C" w14:textId="1BD4AEAA" w:rsidR="00816C7E" w:rsidRPr="00A13B61" w:rsidRDefault="007E0671" w:rsidP="00F511BC">
      <w:pPr>
        <w:pStyle w:val="ListParagraph"/>
        <w:numPr>
          <w:ilvl w:val="0"/>
          <w:numId w:val="23"/>
        </w:numPr>
      </w:pPr>
      <w:r w:rsidRPr="00A13B61">
        <w:t>Age</w:t>
      </w:r>
    </w:p>
    <w:p w14:paraId="4C672145" w14:textId="3AF0964A" w:rsidR="00816C7E" w:rsidRPr="00A13B61" w:rsidRDefault="007E0671" w:rsidP="00F511BC">
      <w:pPr>
        <w:pStyle w:val="ListParagraph"/>
        <w:numPr>
          <w:ilvl w:val="0"/>
          <w:numId w:val="23"/>
        </w:numPr>
      </w:pPr>
      <w:r w:rsidRPr="00A13B61">
        <w:t>Rural</w:t>
      </w:r>
      <w:r w:rsidR="00816C7E" w:rsidRPr="00A13B61">
        <w:t xml:space="preserve"> or u</w:t>
      </w:r>
      <w:r w:rsidRPr="00A13B61">
        <w:t>rban</w:t>
      </w:r>
    </w:p>
    <w:p w14:paraId="4872C40A" w14:textId="77777777" w:rsidR="00816C7E" w:rsidRPr="00A13B61" w:rsidRDefault="007E0671" w:rsidP="00F511BC">
      <w:pPr>
        <w:pStyle w:val="ListParagraph"/>
        <w:numPr>
          <w:ilvl w:val="0"/>
          <w:numId w:val="23"/>
        </w:numPr>
      </w:pPr>
      <w:r w:rsidRPr="00A13B61">
        <w:t xml:space="preserve">Gender, including </w:t>
      </w:r>
      <w:proofErr w:type="gramStart"/>
      <w:r w:rsidRPr="00A13B61">
        <w:t>third-gender</w:t>
      </w:r>
      <w:proofErr w:type="gramEnd"/>
    </w:p>
    <w:p w14:paraId="6B93BCE8" w14:textId="77777777" w:rsidR="00816C7E" w:rsidRPr="00A13B61" w:rsidRDefault="007E0671" w:rsidP="00F511BC">
      <w:pPr>
        <w:pStyle w:val="ListParagraph"/>
        <w:numPr>
          <w:ilvl w:val="0"/>
          <w:numId w:val="23"/>
        </w:numPr>
      </w:pPr>
      <w:r w:rsidRPr="00A13B61">
        <w:t>Religion</w:t>
      </w:r>
    </w:p>
    <w:p w14:paraId="1431EC9D" w14:textId="3AC2588B" w:rsidR="007E0671" w:rsidRPr="00A13B61" w:rsidRDefault="007E0671" w:rsidP="00F511BC">
      <w:pPr>
        <w:pStyle w:val="ListParagraph"/>
        <w:numPr>
          <w:ilvl w:val="0"/>
          <w:numId w:val="23"/>
        </w:numPr>
      </w:pPr>
      <w:r w:rsidRPr="00A13B61">
        <w:t>Caste</w:t>
      </w:r>
    </w:p>
    <w:p w14:paraId="4CCBA729" w14:textId="2579152E" w:rsidR="00816C7E" w:rsidRPr="00A13B61" w:rsidRDefault="00816C7E" w:rsidP="00F511BC">
      <w:pPr>
        <w:pStyle w:val="ListParagraph"/>
        <w:numPr>
          <w:ilvl w:val="0"/>
          <w:numId w:val="23"/>
        </w:numPr>
      </w:pPr>
      <w:r w:rsidRPr="00A13B61">
        <w:t>Homelessness</w:t>
      </w:r>
    </w:p>
    <w:p w14:paraId="312E3CB6" w14:textId="3800B12C" w:rsidR="00816C7E" w:rsidRPr="00A13B61" w:rsidRDefault="004568ED" w:rsidP="00F511BC">
      <w:pPr>
        <w:pStyle w:val="ListParagraph"/>
        <w:numPr>
          <w:ilvl w:val="0"/>
          <w:numId w:val="23"/>
        </w:numPr>
      </w:pPr>
      <w:r w:rsidRPr="00A13B61">
        <w:t>E</w:t>
      </w:r>
      <w:r w:rsidR="00816C7E" w:rsidRPr="00A13B61">
        <w:t>ducation level</w:t>
      </w:r>
    </w:p>
    <w:p w14:paraId="56C3A6A3" w14:textId="180BE72E" w:rsidR="00816C7E" w:rsidRPr="00A13B61" w:rsidRDefault="00816C7E" w:rsidP="00F511BC">
      <w:pPr>
        <w:pStyle w:val="ListParagraph"/>
        <w:numPr>
          <w:ilvl w:val="0"/>
          <w:numId w:val="23"/>
        </w:numPr>
      </w:pPr>
      <w:r w:rsidRPr="00A13B61">
        <w:t>Occupation</w:t>
      </w:r>
      <w:r w:rsidR="004568ED" w:rsidRPr="00A13B61">
        <w:t xml:space="preserve"> </w:t>
      </w:r>
    </w:p>
    <w:p w14:paraId="44BD94C5" w14:textId="77777777" w:rsidR="00E72B85" w:rsidRPr="00A13B61" w:rsidRDefault="00E72B85" w:rsidP="00F511BC">
      <w:pPr>
        <w:pStyle w:val="ListParagraph"/>
      </w:pPr>
    </w:p>
    <w:p w14:paraId="2F568FCD" w14:textId="58D8AC30" w:rsidR="0023070A" w:rsidRPr="00A13B61" w:rsidRDefault="004568ED" w:rsidP="00F511BC">
      <w:r w:rsidRPr="00A13B61">
        <w:t xml:space="preserve">The questionnaire was translated into 10 languages: Assamese, Bengali, Gujarati, Hindi, Kannada, Malayalam, Marathi, </w:t>
      </w:r>
      <w:proofErr w:type="spellStart"/>
      <w:r w:rsidRPr="00A13B61">
        <w:t>Odiya</w:t>
      </w:r>
      <w:proofErr w:type="spellEnd"/>
      <w:r w:rsidRPr="00A13B61">
        <w:t>, Telugu, and Tamil.</w:t>
      </w:r>
    </w:p>
    <w:p w14:paraId="672B2EDD" w14:textId="1CBFEC8F" w:rsidR="00225D04" w:rsidRPr="00A13B61" w:rsidRDefault="00DA58BE" w:rsidP="00F511BC">
      <w:pPr>
        <w:pStyle w:val="Heading3"/>
      </w:pPr>
      <w:bookmarkStart w:id="32" w:name="_Hlk25057088"/>
      <w:bookmarkStart w:id="33" w:name="_Toc25484975"/>
      <w:r w:rsidRPr="00A13B61">
        <w:lastRenderedPageBreak/>
        <w:t>Sampling design</w:t>
      </w:r>
      <w:bookmarkEnd w:id="33"/>
    </w:p>
    <w:p w14:paraId="0F71F869" w14:textId="70C4D4DB" w:rsidR="00225D04" w:rsidRPr="00A13B61" w:rsidRDefault="00025999" w:rsidP="001E6177">
      <w:pPr>
        <w:pStyle w:val="Heading4"/>
      </w:pPr>
      <w:r w:rsidRPr="00A13B61">
        <w:t>Stratified r</w:t>
      </w:r>
      <w:r w:rsidR="00225D04" w:rsidRPr="00A13B61">
        <w:t xml:space="preserve">andom </w:t>
      </w:r>
      <w:r w:rsidR="00EE2DB1" w:rsidRPr="00A13B61">
        <w:t>sample</w:t>
      </w:r>
    </w:p>
    <w:p w14:paraId="4D6E6849" w14:textId="2CD88E8E" w:rsidR="00CB3F57" w:rsidRPr="00A13B61" w:rsidRDefault="00CB3F57" w:rsidP="00F511BC">
      <w:r w:rsidRPr="00A13B61">
        <w:t xml:space="preserve">We conducted the survey across 16 states and one union territory, namely Andhra Pradesh, Assam, Bihar, Chhattisgarh, Delhi, Gujarat, Jharkhand, Karnataka, Kerala, Madhya Pradesh, Maharashtra, Odisha, Punjab, Rajasthan, Tamil Nadu, Uttar Pradesh, and West Bengal. We selected these states to achieve regional representativeness, whilst maintaining a high degree of operational feasibility. </w:t>
      </w:r>
      <w:r w:rsidR="004568ED" w:rsidRPr="00A13B61">
        <w:t>Data collection</w:t>
      </w:r>
      <w:r w:rsidRPr="00A13B61">
        <w:t xml:space="preserve"> was conducted between July and September 2019.</w:t>
      </w:r>
    </w:p>
    <w:p w14:paraId="445FFC12" w14:textId="75309C27" w:rsidR="00F511BC" w:rsidRPr="00A13B61" w:rsidRDefault="00A93864" w:rsidP="00285992">
      <w:r w:rsidRPr="00A13B61">
        <w:t>We first split the country into states, then NSSO regions, then districts, and further into urban wards and rural villages, based on the 2011 Census.</w:t>
      </w:r>
    </w:p>
    <w:p w14:paraId="6408F05D" w14:textId="77777777" w:rsidR="002C7ED6" w:rsidRPr="00A13B61" w:rsidRDefault="002C7ED6" w:rsidP="002C7ED6">
      <w:r w:rsidRPr="00A13B61">
        <w:t>We selected the states for this study to cover all regions of India, a high share of the population of the country, and to ensure that we covered specific states of interest for our research question (e.g. Jharkhand where a substantial amount of research on Aadhaar has already been conducted).</w:t>
      </w:r>
    </w:p>
    <w:p w14:paraId="64E385B8" w14:textId="77777777" w:rsidR="002C7ED6" w:rsidRPr="00A13B61" w:rsidRDefault="002C7ED6" w:rsidP="00285992"/>
    <w:p w14:paraId="2EBB5FB3" w14:textId="34E044A3" w:rsidR="00285992" w:rsidRPr="00A13B61" w:rsidRDefault="00285992" w:rsidP="003F3F98">
      <w:pPr>
        <w:pStyle w:val="Caption"/>
      </w:pPr>
      <w:r w:rsidRPr="00A13B61">
        <w:t xml:space="preserve">Figure </w:t>
      </w:r>
      <w:r w:rsidRPr="00A13B61">
        <w:fldChar w:fldCharType="begin"/>
      </w:r>
      <w:r w:rsidRPr="00A13B61">
        <w:instrText xml:space="preserve"> SEQ Figure \* ARABIC </w:instrText>
      </w:r>
      <w:r w:rsidRPr="00A13B61">
        <w:fldChar w:fldCharType="separate"/>
      </w:r>
      <w:r w:rsidR="007C5E3A">
        <w:rPr>
          <w:noProof/>
        </w:rPr>
        <w:t>1</w:t>
      </w:r>
      <w:r w:rsidRPr="00A13B61">
        <w:fldChar w:fldCharType="end"/>
      </w:r>
      <w:r w:rsidRPr="00A13B61">
        <w:t>: Sample Size formula considered for state level</w:t>
      </w:r>
    </w:p>
    <w:tbl>
      <w:tblPr>
        <w:tblW w:w="3720" w:type="dxa"/>
        <w:jc w:val="center"/>
        <w:tblLook w:val="04A0" w:firstRow="1" w:lastRow="0" w:firstColumn="1" w:lastColumn="0" w:noHBand="0" w:noVBand="1"/>
      </w:tblPr>
      <w:tblGrid>
        <w:gridCol w:w="1276"/>
        <w:gridCol w:w="2444"/>
      </w:tblGrid>
      <w:tr w:rsidR="00F511BC" w:rsidRPr="00A13B61" w14:paraId="3A10896B" w14:textId="77777777" w:rsidTr="00285992">
        <w:trPr>
          <w:trHeight w:val="411"/>
          <w:jc w:val="center"/>
        </w:trPr>
        <w:tc>
          <w:tcPr>
            <w:tcW w:w="1276" w:type="dxa"/>
            <w:vMerge w:val="restart"/>
            <w:shd w:val="clear" w:color="auto" w:fill="auto"/>
            <w:vAlign w:val="center"/>
            <w:hideMark/>
          </w:tcPr>
          <w:p w14:paraId="31560C77" w14:textId="544676CD" w:rsidR="00F511BC" w:rsidRPr="00A13B61" w:rsidRDefault="00F511BC" w:rsidP="00F511BC">
            <w:r w:rsidRPr="00A13B61">
              <w:t xml:space="preserve">N = </w:t>
            </w:r>
            <w:proofErr w:type="spellStart"/>
            <w:proofErr w:type="gramStart"/>
            <w:r w:rsidRPr="00A13B61">
              <w:t>Deff</w:t>
            </w:r>
            <w:proofErr w:type="spellEnd"/>
            <w:r w:rsidRPr="00A13B61">
              <w:t xml:space="preserve"> </w:t>
            </w:r>
            <w:r w:rsidR="00285992" w:rsidRPr="00A13B61">
              <w:t xml:space="preserve"> </w:t>
            </w:r>
            <w:r w:rsidRPr="00A13B61">
              <w:t>X</w:t>
            </w:r>
            <w:proofErr w:type="gramEnd"/>
          </w:p>
        </w:tc>
        <w:tc>
          <w:tcPr>
            <w:tcW w:w="2444" w:type="dxa"/>
            <w:tcBorders>
              <w:bottom w:val="single" w:sz="4" w:space="0" w:color="auto"/>
            </w:tcBorders>
            <w:shd w:val="clear" w:color="auto" w:fill="auto"/>
            <w:vAlign w:val="center"/>
            <w:hideMark/>
          </w:tcPr>
          <w:p w14:paraId="4D290779" w14:textId="77777777" w:rsidR="00F511BC" w:rsidRPr="00A13B61" w:rsidRDefault="00F511BC" w:rsidP="00285992">
            <w:pPr>
              <w:jc w:val="center"/>
            </w:pPr>
            <w:r w:rsidRPr="00A13B61">
              <w:t xml:space="preserve">Z </w:t>
            </w:r>
            <w:r w:rsidRPr="00A13B61">
              <w:rPr>
                <w:vertAlign w:val="superscript"/>
              </w:rPr>
              <w:t xml:space="preserve">2 </w:t>
            </w:r>
            <w:r w:rsidRPr="00A13B61">
              <w:t>* (p) * (1-p)</w:t>
            </w:r>
          </w:p>
        </w:tc>
      </w:tr>
      <w:tr w:rsidR="00F511BC" w:rsidRPr="00A13B61" w14:paraId="7F6234AE" w14:textId="77777777" w:rsidTr="00285992">
        <w:trPr>
          <w:trHeight w:val="315"/>
          <w:jc w:val="center"/>
        </w:trPr>
        <w:tc>
          <w:tcPr>
            <w:tcW w:w="1276" w:type="dxa"/>
            <w:vMerge/>
            <w:vAlign w:val="center"/>
            <w:hideMark/>
          </w:tcPr>
          <w:p w14:paraId="2774AD42" w14:textId="77777777" w:rsidR="00F511BC" w:rsidRPr="00A13B61" w:rsidRDefault="00F511BC" w:rsidP="00F511BC"/>
        </w:tc>
        <w:tc>
          <w:tcPr>
            <w:tcW w:w="2444" w:type="dxa"/>
            <w:tcBorders>
              <w:top w:val="single" w:sz="4" w:space="0" w:color="auto"/>
            </w:tcBorders>
            <w:shd w:val="clear" w:color="auto" w:fill="auto"/>
            <w:vAlign w:val="bottom"/>
            <w:hideMark/>
          </w:tcPr>
          <w:p w14:paraId="42277938" w14:textId="19ABDBF9" w:rsidR="00F511BC" w:rsidRPr="00A13B61" w:rsidRDefault="00F511BC" w:rsidP="00285992">
            <w:pPr>
              <w:jc w:val="center"/>
            </w:pPr>
            <w:r w:rsidRPr="00A13B61">
              <w:t xml:space="preserve">c </w:t>
            </w:r>
            <w:r w:rsidRPr="00A13B61">
              <w:rPr>
                <w:vertAlign w:val="superscript"/>
              </w:rPr>
              <w:t>2</w:t>
            </w:r>
          </w:p>
        </w:tc>
      </w:tr>
    </w:tbl>
    <w:p w14:paraId="19CE47F9" w14:textId="77777777" w:rsidR="00285992" w:rsidRPr="00A13B61" w:rsidRDefault="00285992" w:rsidP="00A93864">
      <w:pPr>
        <w:ind w:left="1008"/>
        <w:rPr>
          <w:lang w:bidi="en-US"/>
        </w:rPr>
      </w:pPr>
    </w:p>
    <w:p w14:paraId="1F9839DE" w14:textId="288F3AC4" w:rsidR="00F511BC" w:rsidRPr="00A13B61" w:rsidRDefault="00F511BC" w:rsidP="00A93864">
      <w:pPr>
        <w:ind w:left="1008"/>
        <w:rPr>
          <w:lang w:bidi="en-US"/>
        </w:rPr>
      </w:pPr>
      <w:r w:rsidRPr="00A13B61">
        <w:rPr>
          <w:lang w:bidi="en-US"/>
        </w:rPr>
        <w:t>N = the sample size</w:t>
      </w:r>
      <w:r w:rsidRPr="00A13B61">
        <w:rPr>
          <w:lang w:bidi="en-US"/>
        </w:rPr>
        <w:br/>
        <w:t xml:space="preserve">P = </w:t>
      </w:r>
      <w:r w:rsidRPr="00A13B61">
        <w:t xml:space="preserve">assumed to be 0.5 for yielding maximum sample size </w:t>
      </w:r>
      <w:r w:rsidRPr="00A13B61">
        <w:br/>
        <w:t>Z = Standard normal value for one tailed test at 98% level of confidence, this value is 2.33</w:t>
      </w:r>
      <w:r w:rsidRPr="00A13B61">
        <w:br/>
        <w:t>C = Margin of error 5% (standard value of 0.05)</w:t>
      </w:r>
      <w:r w:rsidRPr="00A13B61">
        <w:br/>
        <w:t>D = Design effect, this value has been taken as 1.5 for multistage sampling</w:t>
      </w:r>
      <w:r w:rsidRPr="00A13B61">
        <w:br/>
        <w:t>A provision of 20% additional sample has been kept for non-response at state level.</w:t>
      </w:r>
    </w:p>
    <w:p w14:paraId="2DF0C0E8" w14:textId="0B692FBD" w:rsidR="00F511BC" w:rsidRPr="00A13B61" w:rsidRDefault="00F511BC" w:rsidP="00A93864">
      <w:pPr>
        <w:ind w:left="1008"/>
        <w:rPr>
          <w:lang w:bidi="en-US"/>
        </w:rPr>
      </w:pPr>
      <w:r w:rsidRPr="00A13B61">
        <w:t xml:space="preserve">Keeping above statistical factors in consideration, the </w:t>
      </w:r>
      <w:r w:rsidRPr="00A13B61">
        <w:rPr>
          <w:lang w:bidi="en-US"/>
        </w:rPr>
        <w:t xml:space="preserve">sample for each state is derived at 977 which is rounded off to 1000 for operational feasibility and rounding off of sample distribution at PSU level. </w:t>
      </w:r>
    </w:p>
    <w:p w14:paraId="5D590CD9" w14:textId="4DF12268" w:rsidR="00A93864" w:rsidRPr="00A13B61" w:rsidRDefault="00A93864" w:rsidP="00A93864">
      <w:pPr>
        <w:ind w:left="1008"/>
      </w:pPr>
      <w:r w:rsidRPr="00A13B61">
        <w:rPr>
          <w:lang w:bidi="en-US"/>
        </w:rPr>
        <w:t xml:space="preserve">The sample for Delhi was 500. This was due to operational reasons and because socio-cultural variance was considered to be lower than in other states. </w:t>
      </w:r>
    </w:p>
    <w:p w14:paraId="4E6088C2" w14:textId="77777777" w:rsidR="00F511BC" w:rsidRPr="00A13B61" w:rsidRDefault="00F511BC" w:rsidP="00F511BC"/>
    <w:p w14:paraId="27AC61FB" w14:textId="1B603AEC" w:rsidR="00EF06A7" w:rsidRPr="00A13B61" w:rsidRDefault="00AA27BB" w:rsidP="00F511BC">
      <w:r w:rsidRPr="00A13B61">
        <w:t xml:space="preserve">We divided each state </w:t>
      </w:r>
      <w:r w:rsidR="00285992" w:rsidRPr="00A13B61">
        <w:t>into socio-cultural regions</w:t>
      </w:r>
      <w:r w:rsidR="00F6165D" w:rsidRPr="00A13B61">
        <w:t xml:space="preserve"> (SCR)</w:t>
      </w:r>
      <w:r w:rsidR="00285992" w:rsidRPr="00A13B61">
        <w:t xml:space="preserve"> </w:t>
      </w:r>
      <w:r w:rsidRPr="00A13B61">
        <w:t xml:space="preserve">according to </w:t>
      </w:r>
      <w:r w:rsidR="00285992" w:rsidRPr="00A13B61">
        <w:t>National Sample Survey Office’s (NSSO)</w:t>
      </w:r>
      <w:r w:rsidR="00EF06A7" w:rsidRPr="00A13B61">
        <w:t xml:space="preserve"> regions and ensured that we covered each region in each state. </w:t>
      </w:r>
    </w:p>
    <w:p w14:paraId="363053F7" w14:textId="58B1883B" w:rsidR="00F6165D" w:rsidRPr="00A13B61" w:rsidRDefault="00F6165D" w:rsidP="00F6165D">
      <w:r w:rsidRPr="00A13B61">
        <w:t xml:space="preserve">The number of districts selected from each SCR depended on the population proportion of each SCR within the state. We selected 5 districts per state using probability proportional to size. If a state had more than 5 </w:t>
      </w:r>
      <w:proofErr w:type="gramStart"/>
      <w:r w:rsidRPr="00A13B61">
        <w:t>SCRs</w:t>
      </w:r>
      <w:proofErr w:type="gramEnd"/>
      <w:r w:rsidRPr="00A13B61">
        <w:t xml:space="preserve"> then the number of districts chosen was equal to the number of SCRs.</w:t>
      </w:r>
    </w:p>
    <w:p w14:paraId="101E8C40" w14:textId="08CC1E28" w:rsidR="00CF3D71" w:rsidRPr="00A13B61" w:rsidRDefault="00EF06A7" w:rsidP="00F511BC">
      <w:r w:rsidRPr="00A13B61">
        <w:t xml:space="preserve">In all but two states, we selected five districts per state. 20 wards or villages were selected </w:t>
      </w:r>
      <w:r w:rsidR="002C7ED6" w:rsidRPr="00A13B61">
        <w:t xml:space="preserve">in each </w:t>
      </w:r>
      <w:proofErr w:type="gramStart"/>
      <w:r w:rsidR="002C7ED6" w:rsidRPr="00A13B61">
        <w:t>districts</w:t>
      </w:r>
      <w:proofErr w:type="gramEnd"/>
      <w:r w:rsidR="002C7ED6" w:rsidRPr="00A13B61">
        <w:t>.</w:t>
      </w:r>
      <w:r w:rsidRPr="00A13B61">
        <w:t xml:space="preserve"> </w:t>
      </w:r>
      <w:r w:rsidR="00CF3D71" w:rsidRPr="00A13B61">
        <w:t xml:space="preserve">Each district was also split into four strata, namely </w:t>
      </w:r>
      <w:r w:rsidR="00F6165D" w:rsidRPr="00A13B61">
        <w:t>2 urban and 2 rural strata</w:t>
      </w:r>
      <w:r w:rsidR="00CF3D71" w:rsidRPr="00A13B61">
        <w:t xml:space="preserve">, based on the classification of </w:t>
      </w:r>
      <w:r w:rsidR="00907B7E" w:rsidRPr="00A13B61">
        <w:t xml:space="preserve">wards </w:t>
      </w:r>
      <w:r w:rsidR="00CF3D71" w:rsidRPr="00A13B61">
        <w:t>and villages in each district in the 2011 Census.</w:t>
      </w:r>
      <w:r w:rsidR="00F6165D" w:rsidRPr="00A13B61">
        <w:t xml:space="preserve"> </w:t>
      </w:r>
      <w:r w:rsidR="00802DE1" w:rsidRPr="00A13B61">
        <w:t>T</w:t>
      </w:r>
      <w:r w:rsidR="00F6165D" w:rsidRPr="00A13B61">
        <w:t>en households were then randomly sampled in each ward or village</w:t>
      </w:r>
      <w:r w:rsidR="003C503A">
        <w:t>. This was done by first segmenting each ward or village into equal segments, then (with help of the CAPI system) randomly selecting two segments and using a right-hand rule and skip to randomly select 5 households in each segment</w:t>
      </w:r>
      <w:r w:rsidR="00F6165D" w:rsidRPr="00A13B61">
        <w:t>.</w:t>
      </w:r>
    </w:p>
    <w:p w14:paraId="52575C89" w14:textId="36DFB18D" w:rsidR="00BD37FB" w:rsidRPr="00A13B61" w:rsidRDefault="00BD37FB" w:rsidP="00F511BC">
      <w:r w:rsidRPr="00A13B61">
        <w:t>In</w:t>
      </w:r>
      <w:r w:rsidR="00906E2B" w:rsidRPr="00A13B61">
        <w:t xml:space="preserve"> the other</w:t>
      </w:r>
      <w:r w:rsidRPr="00A13B61">
        <w:t xml:space="preserve"> two states, namely Madhya Pradesh and Maharashtra, </w:t>
      </w:r>
      <w:r w:rsidR="00802DE1" w:rsidRPr="00A13B61">
        <w:t>we</w:t>
      </w:r>
      <w:r w:rsidRPr="00A13B61">
        <w:t xml:space="preserve"> selected six districts per state, instead of five, because these states had </w:t>
      </w:r>
      <w:r w:rsidR="00802DE1" w:rsidRPr="00A13B61">
        <w:t>six</w:t>
      </w:r>
      <w:r w:rsidRPr="00A13B61">
        <w:t xml:space="preserve"> </w:t>
      </w:r>
      <w:r w:rsidR="00802DE1" w:rsidRPr="00A13B61">
        <w:t>SCRs</w:t>
      </w:r>
      <w:r w:rsidRPr="00A13B61">
        <w:t xml:space="preserve"> than that of other states. One district per NSSO zone was selected. Furthermore, in each district, 16-17 wards or villages were selected, instead of 20. This ensure</w:t>
      </w:r>
      <w:r w:rsidR="004568ED" w:rsidRPr="00A13B61">
        <w:t>d</w:t>
      </w:r>
      <w:r w:rsidRPr="00A13B61">
        <w:t xml:space="preserve"> that 100 wards and villages, representing 1,000 households, </w:t>
      </w:r>
      <w:r w:rsidR="004568ED" w:rsidRPr="00A13B61">
        <w:t>we</w:t>
      </w:r>
      <w:r w:rsidRPr="00A13B61">
        <w:t xml:space="preserve">re sampled across </w:t>
      </w:r>
      <w:r w:rsidR="00802DE1" w:rsidRPr="00A13B61">
        <w:t>each state</w:t>
      </w:r>
      <w:r w:rsidRPr="00A13B61">
        <w:t>.</w:t>
      </w:r>
    </w:p>
    <w:p w14:paraId="3EAB3D0C" w14:textId="1C6812E0" w:rsidR="00802DE1" w:rsidRPr="00A13B61" w:rsidRDefault="00802DE1" w:rsidP="003F3F98">
      <w:pPr>
        <w:pStyle w:val="Caption"/>
      </w:pPr>
      <w:r w:rsidRPr="00A13B61">
        <w:lastRenderedPageBreak/>
        <w:t xml:space="preserve">Figure </w:t>
      </w:r>
      <w:r w:rsidRPr="00A13B61">
        <w:fldChar w:fldCharType="begin"/>
      </w:r>
      <w:r w:rsidRPr="00A13B61">
        <w:instrText xml:space="preserve"> SEQ Figure \* ARABIC </w:instrText>
      </w:r>
      <w:r w:rsidRPr="00A13B61">
        <w:fldChar w:fldCharType="separate"/>
      </w:r>
      <w:r w:rsidR="007C5E3A">
        <w:rPr>
          <w:noProof/>
        </w:rPr>
        <w:t>2</w:t>
      </w:r>
      <w:r w:rsidRPr="00A13B61">
        <w:fldChar w:fldCharType="end"/>
      </w:r>
      <w:r w:rsidRPr="00A13B61">
        <w:t>:</w:t>
      </w:r>
      <w:r w:rsidR="00A13B61">
        <w:t xml:space="preserve"> </w:t>
      </w:r>
      <w:r w:rsidRPr="00A13B61">
        <w:t>Urban and rural strata</w:t>
      </w:r>
    </w:p>
    <w:tbl>
      <w:tblPr>
        <w:tblW w:w="4456" w:type="pct"/>
        <w:tblInd w:w="988" w:type="dxa"/>
        <w:tblLook w:val="04A0" w:firstRow="1" w:lastRow="0" w:firstColumn="1" w:lastColumn="0" w:noHBand="0" w:noVBand="1"/>
      </w:tblPr>
      <w:tblGrid>
        <w:gridCol w:w="1257"/>
        <w:gridCol w:w="1821"/>
        <w:gridCol w:w="1742"/>
        <w:gridCol w:w="1275"/>
        <w:gridCol w:w="1157"/>
        <w:gridCol w:w="1296"/>
      </w:tblGrid>
      <w:tr w:rsidR="00A13B61" w:rsidRPr="00A13B61" w14:paraId="0DF7AF0B" w14:textId="77777777" w:rsidTr="00A13B61">
        <w:trPr>
          <w:trHeight w:val="480"/>
        </w:trPr>
        <w:tc>
          <w:tcPr>
            <w:tcW w:w="735" w:type="pct"/>
            <w:tcBorders>
              <w:top w:val="single" w:sz="4" w:space="0" w:color="auto"/>
              <w:left w:val="single" w:sz="4" w:space="0" w:color="auto"/>
              <w:bottom w:val="single" w:sz="4" w:space="0" w:color="auto"/>
              <w:right w:val="single" w:sz="4" w:space="0" w:color="auto"/>
            </w:tcBorders>
            <w:shd w:val="clear" w:color="auto" w:fill="68B7E9"/>
            <w:noWrap/>
            <w:vAlign w:val="center"/>
            <w:hideMark/>
          </w:tcPr>
          <w:p w14:paraId="3087C57F" w14:textId="2EBD8CDE" w:rsidR="00192FBD" w:rsidRPr="00192FBD" w:rsidRDefault="00A13B61" w:rsidP="00802DE1">
            <w:pPr>
              <w:keepNext/>
              <w:spacing w:after="0"/>
              <w:rPr>
                <w:b/>
                <w:bCs/>
                <w:sz w:val="18"/>
                <w:szCs w:val="16"/>
              </w:rPr>
            </w:pPr>
            <w:r w:rsidRPr="00A13B61">
              <w:rPr>
                <w:b/>
                <w:bCs/>
                <w:sz w:val="18"/>
                <w:szCs w:val="16"/>
              </w:rPr>
              <w:t>Urban strata</w:t>
            </w:r>
          </w:p>
        </w:tc>
        <w:tc>
          <w:tcPr>
            <w:tcW w:w="1065" w:type="pct"/>
            <w:tcBorders>
              <w:top w:val="single" w:sz="4" w:space="0" w:color="auto"/>
              <w:left w:val="nil"/>
              <w:bottom w:val="single" w:sz="4" w:space="0" w:color="auto"/>
              <w:right w:val="single" w:sz="4" w:space="0" w:color="auto"/>
            </w:tcBorders>
            <w:shd w:val="clear" w:color="auto" w:fill="68B7E9"/>
            <w:vAlign w:val="center"/>
            <w:hideMark/>
          </w:tcPr>
          <w:p w14:paraId="63B05F6B" w14:textId="0E3AAA29" w:rsidR="00192FBD" w:rsidRPr="003C503A" w:rsidRDefault="00192FBD" w:rsidP="00192FBD">
            <w:pPr>
              <w:keepNext/>
              <w:spacing w:after="0"/>
              <w:rPr>
                <w:sz w:val="18"/>
                <w:szCs w:val="16"/>
              </w:rPr>
            </w:pPr>
            <w:r w:rsidRPr="003C503A">
              <w:rPr>
                <w:sz w:val="18"/>
                <w:szCs w:val="16"/>
              </w:rPr>
              <w:t>Urban/Town Class</w:t>
            </w:r>
          </w:p>
        </w:tc>
        <w:tc>
          <w:tcPr>
            <w:tcW w:w="1019" w:type="pct"/>
            <w:tcBorders>
              <w:top w:val="single" w:sz="4" w:space="0" w:color="auto"/>
              <w:left w:val="nil"/>
              <w:bottom w:val="single" w:sz="4" w:space="0" w:color="auto"/>
              <w:right w:val="single" w:sz="4" w:space="0" w:color="auto"/>
            </w:tcBorders>
            <w:shd w:val="clear" w:color="auto" w:fill="68B7E9"/>
            <w:vAlign w:val="center"/>
            <w:hideMark/>
          </w:tcPr>
          <w:p w14:paraId="00497440" w14:textId="77777777" w:rsidR="00192FBD" w:rsidRPr="003C503A" w:rsidRDefault="00192FBD" w:rsidP="00192FBD">
            <w:pPr>
              <w:keepNext/>
              <w:spacing w:after="0"/>
              <w:rPr>
                <w:sz w:val="18"/>
                <w:szCs w:val="16"/>
              </w:rPr>
            </w:pPr>
            <w:r w:rsidRPr="003C503A">
              <w:rPr>
                <w:sz w:val="18"/>
                <w:szCs w:val="16"/>
              </w:rPr>
              <w:t>Population</w:t>
            </w:r>
          </w:p>
        </w:tc>
        <w:tc>
          <w:tcPr>
            <w:tcW w:w="746" w:type="pct"/>
            <w:tcBorders>
              <w:top w:val="single" w:sz="4" w:space="0" w:color="auto"/>
              <w:left w:val="nil"/>
              <w:bottom w:val="single" w:sz="4" w:space="0" w:color="auto"/>
              <w:right w:val="single" w:sz="4" w:space="0" w:color="auto"/>
            </w:tcBorders>
            <w:shd w:val="clear" w:color="auto" w:fill="68B7E9"/>
            <w:vAlign w:val="center"/>
            <w:hideMark/>
          </w:tcPr>
          <w:p w14:paraId="1CFD6FB4" w14:textId="44C55EDE" w:rsidR="00192FBD" w:rsidRPr="00192FBD" w:rsidRDefault="00192FBD" w:rsidP="00192FBD">
            <w:pPr>
              <w:keepNext/>
              <w:spacing w:after="0"/>
              <w:rPr>
                <w:b/>
                <w:bCs/>
                <w:sz w:val="18"/>
                <w:szCs w:val="16"/>
              </w:rPr>
            </w:pPr>
            <w:r w:rsidRPr="00192FBD">
              <w:rPr>
                <w:b/>
                <w:bCs/>
                <w:sz w:val="18"/>
                <w:szCs w:val="16"/>
              </w:rPr>
              <w:t> </w:t>
            </w:r>
            <w:r w:rsidR="00A13B61" w:rsidRPr="00A13B61">
              <w:rPr>
                <w:b/>
                <w:bCs/>
                <w:sz w:val="18"/>
                <w:szCs w:val="16"/>
              </w:rPr>
              <w:t>Rural strata</w:t>
            </w:r>
          </w:p>
        </w:tc>
        <w:tc>
          <w:tcPr>
            <w:tcW w:w="677" w:type="pct"/>
            <w:tcBorders>
              <w:top w:val="single" w:sz="4" w:space="0" w:color="auto"/>
              <w:left w:val="nil"/>
              <w:bottom w:val="single" w:sz="4" w:space="0" w:color="auto"/>
              <w:right w:val="single" w:sz="4" w:space="0" w:color="auto"/>
            </w:tcBorders>
            <w:shd w:val="clear" w:color="auto" w:fill="68B7E9"/>
            <w:vAlign w:val="center"/>
            <w:hideMark/>
          </w:tcPr>
          <w:p w14:paraId="41B30590" w14:textId="77777777" w:rsidR="00192FBD" w:rsidRPr="003C503A" w:rsidRDefault="00192FBD" w:rsidP="00192FBD">
            <w:pPr>
              <w:keepNext/>
              <w:spacing w:after="0"/>
              <w:rPr>
                <w:sz w:val="18"/>
                <w:szCs w:val="16"/>
              </w:rPr>
            </w:pPr>
            <w:r w:rsidRPr="003C503A">
              <w:rPr>
                <w:sz w:val="18"/>
                <w:szCs w:val="16"/>
              </w:rPr>
              <w:t>Rural Class</w:t>
            </w:r>
          </w:p>
        </w:tc>
        <w:tc>
          <w:tcPr>
            <w:tcW w:w="758" w:type="pct"/>
            <w:tcBorders>
              <w:top w:val="single" w:sz="4" w:space="0" w:color="auto"/>
              <w:left w:val="nil"/>
              <w:bottom w:val="single" w:sz="4" w:space="0" w:color="auto"/>
              <w:right w:val="single" w:sz="4" w:space="0" w:color="auto"/>
            </w:tcBorders>
            <w:shd w:val="clear" w:color="auto" w:fill="68B7E9"/>
            <w:vAlign w:val="center"/>
            <w:hideMark/>
          </w:tcPr>
          <w:p w14:paraId="0BE93DE2" w14:textId="77777777" w:rsidR="00192FBD" w:rsidRPr="003C503A" w:rsidRDefault="00192FBD" w:rsidP="00192FBD">
            <w:pPr>
              <w:keepNext/>
              <w:spacing w:after="0"/>
              <w:rPr>
                <w:sz w:val="18"/>
                <w:szCs w:val="16"/>
              </w:rPr>
            </w:pPr>
            <w:r w:rsidRPr="003C503A">
              <w:rPr>
                <w:sz w:val="18"/>
                <w:szCs w:val="16"/>
              </w:rPr>
              <w:t>Population</w:t>
            </w:r>
          </w:p>
        </w:tc>
      </w:tr>
      <w:tr w:rsidR="00192FBD" w:rsidRPr="00A13B61" w14:paraId="52554909" w14:textId="77777777" w:rsidTr="00A13B61">
        <w:trPr>
          <w:trHeight w:val="405"/>
        </w:trPr>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202E55A" w14:textId="74E8481A" w:rsidR="00192FBD" w:rsidRPr="00192FBD" w:rsidRDefault="00192FBD" w:rsidP="00192FBD">
            <w:pPr>
              <w:keepNext/>
              <w:spacing w:after="0"/>
              <w:rPr>
                <w:b/>
                <w:bCs/>
                <w:sz w:val="18"/>
                <w:szCs w:val="16"/>
              </w:rPr>
            </w:pPr>
            <w:r w:rsidRPr="00A13B61">
              <w:rPr>
                <w:b/>
                <w:bCs/>
                <w:sz w:val="18"/>
                <w:szCs w:val="16"/>
              </w:rPr>
              <w:t>Urban A</w:t>
            </w:r>
            <w:r w:rsidRPr="00192FBD">
              <w:rPr>
                <w:b/>
                <w:bCs/>
                <w:sz w:val="18"/>
                <w:szCs w:val="16"/>
              </w:rPr>
              <w:t xml:space="preserve"> </w:t>
            </w:r>
          </w:p>
        </w:tc>
        <w:tc>
          <w:tcPr>
            <w:tcW w:w="1065" w:type="pct"/>
            <w:tcBorders>
              <w:top w:val="nil"/>
              <w:left w:val="nil"/>
              <w:bottom w:val="single" w:sz="4" w:space="0" w:color="auto"/>
              <w:right w:val="single" w:sz="4" w:space="0" w:color="auto"/>
            </w:tcBorders>
            <w:shd w:val="clear" w:color="auto" w:fill="auto"/>
            <w:vAlign w:val="center"/>
            <w:hideMark/>
          </w:tcPr>
          <w:p w14:paraId="74259BE9" w14:textId="765E3C6F" w:rsidR="00192FBD" w:rsidRPr="00192FBD" w:rsidRDefault="00192FBD" w:rsidP="00192FBD">
            <w:pPr>
              <w:keepNext/>
              <w:spacing w:after="0"/>
            </w:pPr>
            <w:r w:rsidRPr="00192FBD">
              <w:t>Class I (Tier 1)</w:t>
            </w:r>
          </w:p>
        </w:tc>
        <w:tc>
          <w:tcPr>
            <w:tcW w:w="1019" w:type="pct"/>
            <w:tcBorders>
              <w:top w:val="nil"/>
              <w:left w:val="nil"/>
              <w:bottom w:val="single" w:sz="4" w:space="0" w:color="auto"/>
              <w:right w:val="single" w:sz="4" w:space="0" w:color="auto"/>
            </w:tcBorders>
            <w:shd w:val="clear" w:color="auto" w:fill="auto"/>
            <w:vAlign w:val="center"/>
            <w:hideMark/>
          </w:tcPr>
          <w:p w14:paraId="61DB4157" w14:textId="77777777" w:rsidR="00192FBD" w:rsidRPr="00192FBD" w:rsidRDefault="00192FBD" w:rsidP="00802DE1">
            <w:pPr>
              <w:keepNext/>
              <w:spacing w:after="0"/>
              <w:jc w:val="right"/>
            </w:pPr>
            <w:r w:rsidRPr="00192FBD">
              <w:t>&gt; 1,00,000</w:t>
            </w:r>
          </w:p>
        </w:tc>
        <w:tc>
          <w:tcPr>
            <w:tcW w:w="746" w:type="pct"/>
            <w:tcBorders>
              <w:top w:val="nil"/>
              <w:left w:val="nil"/>
              <w:bottom w:val="single" w:sz="4" w:space="0" w:color="auto"/>
              <w:right w:val="single" w:sz="4" w:space="0" w:color="auto"/>
            </w:tcBorders>
            <w:shd w:val="clear" w:color="auto" w:fill="auto"/>
            <w:vAlign w:val="center"/>
            <w:hideMark/>
          </w:tcPr>
          <w:p w14:paraId="33667EA6" w14:textId="4D6B0DE9" w:rsidR="00192FBD" w:rsidRPr="00192FBD" w:rsidRDefault="00192FBD" w:rsidP="00192FBD">
            <w:pPr>
              <w:keepNext/>
              <w:spacing w:after="0"/>
              <w:rPr>
                <w:b/>
                <w:bCs/>
                <w:sz w:val="18"/>
                <w:szCs w:val="16"/>
              </w:rPr>
            </w:pPr>
            <w:r w:rsidRPr="00A13B61">
              <w:rPr>
                <w:b/>
                <w:bCs/>
                <w:sz w:val="18"/>
                <w:szCs w:val="16"/>
              </w:rPr>
              <w:t>Rural A</w:t>
            </w:r>
          </w:p>
        </w:tc>
        <w:tc>
          <w:tcPr>
            <w:tcW w:w="677" w:type="pct"/>
            <w:tcBorders>
              <w:top w:val="nil"/>
              <w:left w:val="nil"/>
              <w:bottom w:val="single" w:sz="4" w:space="0" w:color="auto"/>
              <w:right w:val="single" w:sz="4" w:space="0" w:color="auto"/>
            </w:tcBorders>
            <w:shd w:val="clear" w:color="auto" w:fill="auto"/>
            <w:vAlign w:val="center"/>
            <w:hideMark/>
          </w:tcPr>
          <w:p w14:paraId="7E156A30" w14:textId="77777777" w:rsidR="00192FBD" w:rsidRPr="00192FBD" w:rsidRDefault="00192FBD" w:rsidP="00192FBD">
            <w:pPr>
              <w:keepNext/>
              <w:spacing w:after="0"/>
            </w:pPr>
            <w:r w:rsidRPr="00192FBD">
              <w:t>Class A</w:t>
            </w:r>
          </w:p>
        </w:tc>
        <w:tc>
          <w:tcPr>
            <w:tcW w:w="758" w:type="pct"/>
            <w:tcBorders>
              <w:top w:val="nil"/>
              <w:left w:val="nil"/>
              <w:bottom w:val="single" w:sz="4" w:space="0" w:color="auto"/>
              <w:right w:val="single" w:sz="4" w:space="0" w:color="auto"/>
            </w:tcBorders>
            <w:shd w:val="clear" w:color="auto" w:fill="auto"/>
            <w:vAlign w:val="center"/>
            <w:hideMark/>
          </w:tcPr>
          <w:p w14:paraId="1697A302" w14:textId="129D75DD" w:rsidR="00192FBD" w:rsidRPr="00192FBD" w:rsidRDefault="00192FBD" w:rsidP="00802DE1">
            <w:pPr>
              <w:keepNext/>
              <w:spacing w:after="0"/>
              <w:jc w:val="right"/>
            </w:pPr>
            <w:r w:rsidRPr="00192FBD">
              <w:t>&gt; 5</w:t>
            </w:r>
            <w:r w:rsidR="00802DE1" w:rsidRPr="00A13B61">
              <w:t>,</w:t>
            </w:r>
            <w:r w:rsidRPr="00192FBD">
              <w:t>000</w:t>
            </w:r>
          </w:p>
        </w:tc>
      </w:tr>
      <w:tr w:rsidR="00192FBD" w:rsidRPr="00A13B61" w14:paraId="1D89845F" w14:textId="77777777" w:rsidTr="00A13B61">
        <w:trPr>
          <w:trHeight w:val="375"/>
        </w:trPr>
        <w:tc>
          <w:tcPr>
            <w:tcW w:w="735" w:type="pct"/>
            <w:vMerge/>
            <w:tcBorders>
              <w:top w:val="nil"/>
              <w:left w:val="single" w:sz="4" w:space="0" w:color="auto"/>
              <w:bottom w:val="single" w:sz="4" w:space="0" w:color="auto"/>
              <w:right w:val="single" w:sz="4" w:space="0" w:color="auto"/>
            </w:tcBorders>
            <w:shd w:val="clear" w:color="auto" w:fill="auto"/>
            <w:vAlign w:val="center"/>
            <w:hideMark/>
          </w:tcPr>
          <w:p w14:paraId="2CDFB8C9" w14:textId="77777777" w:rsidR="00192FBD" w:rsidRPr="00192FBD" w:rsidRDefault="00192FBD" w:rsidP="00192FBD">
            <w:pPr>
              <w:keepNext/>
              <w:spacing w:after="0"/>
              <w:rPr>
                <w:b/>
                <w:bCs/>
                <w:sz w:val="18"/>
                <w:szCs w:val="16"/>
              </w:rPr>
            </w:pPr>
          </w:p>
        </w:tc>
        <w:tc>
          <w:tcPr>
            <w:tcW w:w="1065" w:type="pct"/>
            <w:tcBorders>
              <w:top w:val="nil"/>
              <w:left w:val="nil"/>
              <w:bottom w:val="single" w:sz="4" w:space="0" w:color="auto"/>
              <w:right w:val="single" w:sz="4" w:space="0" w:color="auto"/>
            </w:tcBorders>
            <w:shd w:val="clear" w:color="auto" w:fill="auto"/>
            <w:vAlign w:val="center"/>
            <w:hideMark/>
          </w:tcPr>
          <w:p w14:paraId="1DC0BAAF" w14:textId="77777777" w:rsidR="00192FBD" w:rsidRPr="00192FBD" w:rsidRDefault="00192FBD" w:rsidP="00192FBD">
            <w:pPr>
              <w:keepNext/>
              <w:spacing w:after="0"/>
            </w:pPr>
            <w:r w:rsidRPr="00192FBD">
              <w:t>Class II (Tier 2)</w:t>
            </w:r>
          </w:p>
        </w:tc>
        <w:tc>
          <w:tcPr>
            <w:tcW w:w="1019" w:type="pct"/>
            <w:tcBorders>
              <w:top w:val="nil"/>
              <w:left w:val="nil"/>
              <w:bottom w:val="single" w:sz="4" w:space="0" w:color="auto"/>
              <w:right w:val="single" w:sz="4" w:space="0" w:color="auto"/>
            </w:tcBorders>
            <w:shd w:val="clear" w:color="auto" w:fill="auto"/>
            <w:vAlign w:val="center"/>
            <w:hideMark/>
          </w:tcPr>
          <w:p w14:paraId="05C67FE1" w14:textId="77777777" w:rsidR="00192FBD" w:rsidRPr="00192FBD" w:rsidRDefault="00192FBD" w:rsidP="00802DE1">
            <w:pPr>
              <w:keepNext/>
              <w:spacing w:after="0"/>
              <w:jc w:val="right"/>
            </w:pPr>
            <w:r w:rsidRPr="00192FBD">
              <w:t>50,000 – 99,999</w:t>
            </w:r>
          </w:p>
        </w:tc>
        <w:tc>
          <w:tcPr>
            <w:tcW w:w="746" w:type="pct"/>
            <w:vMerge w:val="restart"/>
            <w:tcBorders>
              <w:top w:val="nil"/>
              <w:left w:val="single" w:sz="4" w:space="0" w:color="auto"/>
              <w:bottom w:val="single" w:sz="4" w:space="0" w:color="auto"/>
              <w:right w:val="single" w:sz="4" w:space="0" w:color="auto"/>
            </w:tcBorders>
            <w:shd w:val="clear" w:color="auto" w:fill="auto"/>
            <w:vAlign w:val="center"/>
            <w:hideMark/>
          </w:tcPr>
          <w:p w14:paraId="2B2485F9" w14:textId="27654B59" w:rsidR="00192FBD" w:rsidRPr="00192FBD" w:rsidRDefault="00192FBD" w:rsidP="00192FBD">
            <w:pPr>
              <w:keepNext/>
              <w:spacing w:after="0"/>
              <w:rPr>
                <w:b/>
                <w:bCs/>
                <w:sz w:val="18"/>
                <w:szCs w:val="16"/>
              </w:rPr>
            </w:pPr>
            <w:r w:rsidRPr="00A13B61">
              <w:rPr>
                <w:b/>
                <w:bCs/>
                <w:sz w:val="18"/>
                <w:szCs w:val="16"/>
              </w:rPr>
              <w:t>Rural B</w:t>
            </w:r>
            <w:r w:rsidRPr="00192FBD">
              <w:rPr>
                <w:b/>
                <w:bCs/>
                <w:sz w:val="18"/>
                <w:szCs w:val="16"/>
              </w:rPr>
              <w:t xml:space="preserve"> </w:t>
            </w:r>
          </w:p>
        </w:tc>
        <w:tc>
          <w:tcPr>
            <w:tcW w:w="677" w:type="pct"/>
            <w:tcBorders>
              <w:top w:val="nil"/>
              <w:left w:val="nil"/>
              <w:bottom w:val="single" w:sz="4" w:space="0" w:color="auto"/>
              <w:right w:val="single" w:sz="4" w:space="0" w:color="auto"/>
            </w:tcBorders>
            <w:shd w:val="clear" w:color="auto" w:fill="auto"/>
            <w:vAlign w:val="center"/>
            <w:hideMark/>
          </w:tcPr>
          <w:p w14:paraId="333473E1" w14:textId="77777777" w:rsidR="00192FBD" w:rsidRPr="00192FBD" w:rsidRDefault="00192FBD" w:rsidP="00192FBD">
            <w:pPr>
              <w:keepNext/>
              <w:spacing w:after="0"/>
            </w:pPr>
            <w:r w:rsidRPr="00192FBD">
              <w:t>Class B</w:t>
            </w:r>
          </w:p>
        </w:tc>
        <w:tc>
          <w:tcPr>
            <w:tcW w:w="758" w:type="pct"/>
            <w:tcBorders>
              <w:top w:val="nil"/>
              <w:left w:val="nil"/>
              <w:bottom w:val="single" w:sz="4" w:space="0" w:color="auto"/>
              <w:right w:val="single" w:sz="4" w:space="0" w:color="auto"/>
            </w:tcBorders>
            <w:shd w:val="clear" w:color="auto" w:fill="auto"/>
            <w:vAlign w:val="center"/>
            <w:hideMark/>
          </w:tcPr>
          <w:p w14:paraId="7E4E5115" w14:textId="72189A84" w:rsidR="00192FBD" w:rsidRPr="00192FBD" w:rsidRDefault="00192FBD" w:rsidP="00802DE1">
            <w:pPr>
              <w:keepNext/>
              <w:spacing w:after="0"/>
              <w:jc w:val="right"/>
            </w:pPr>
            <w:r w:rsidRPr="00192FBD">
              <w:t>1</w:t>
            </w:r>
            <w:r w:rsidR="00802DE1" w:rsidRPr="00A13B61">
              <w:t>,</w:t>
            </w:r>
            <w:r w:rsidRPr="00192FBD">
              <w:t>000-4</w:t>
            </w:r>
            <w:r w:rsidR="00802DE1" w:rsidRPr="00A13B61">
              <w:t>,</w:t>
            </w:r>
            <w:r w:rsidRPr="00192FBD">
              <w:t>999</w:t>
            </w:r>
          </w:p>
        </w:tc>
      </w:tr>
      <w:tr w:rsidR="00192FBD" w:rsidRPr="00A13B61" w14:paraId="21611608" w14:textId="77777777" w:rsidTr="00A13B61">
        <w:trPr>
          <w:trHeight w:val="330"/>
        </w:trPr>
        <w:tc>
          <w:tcPr>
            <w:tcW w:w="735" w:type="pct"/>
            <w:vMerge/>
            <w:tcBorders>
              <w:top w:val="nil"/>
              <w:left w:val="single" w:sz="4" w:space="0" w:color="auto"/>
              <w:bottom w:val="single" w:sz="4" w:space="0" w:color="auto"/>
              <w:right w:val="single" w:sz="4" w:space="0" w:color="auto"/>
            </w:tcBorders>
            <w:shd w:val="clear" w:color="auto" w:fill="auto"/>
            <w:vAlign w:val="center"/>
            <w:hideMark/>
          </w:tcPr>
          <w:p w14:paraId="3FA80029" w14:textId="77777777" w:rsidR="00192FBD" w:rsidRPr="00192FBD" w:rsidRDefault="00192FBD" w:rsidP="00192FBD">
            <w:pPr>
              <w:keepNext/>
              <w:spacing w:after="0"/>
              <w:rPr>
                <w:b/>
                <w:bCs/>
                <w:sz w:val="18"/>
                <w:szCs w:val="16"/>
              </w:rPr>
            </w:pPr>
          </w:p>
        </w:tc>
        <w:tc>
          <w:tcPr>
            <w:tcW w:w="1065" w:type="pct"/>
            <w:tcBorders>
              <w:top w:val="nil"/>
              <w:left w:val="nil"/>
              <w:bottom w:val="single" w:sz="4" w:space="0" w:color="auto"/>
              <w:right w:val="single" w:sz="4" w:space="0" w:color="auto"/>
            </w:tcBorders>
            <w:shd w:val="clear" w:color="auto" w:fill="auto"/>
            <w:vAlign w:val="center"/>
            <w:hideMark/>
          </w:tcPr>
          <w:p w14:paraId="2B1B01F5" w14:textId="77777777" w:rsidR="00192FBD" w:rsidRPr="00192FBD" w:rsidRDefault="00192FBD" w:rsidP="00192FBD">
            <w:pPr>
              <w:keepNext/>
              <w:spacing w:after="0"/>
            </w:pPr>
            <w:r w:rsidRPr="00192FBD">
              <w:t>Class III (Tier 3)</w:t>
            </w:r>
          </w:p>
        </w:tc>
        <w:tc>
          <w:tcPr>
            <w:tcW w:w="1019" w:type="pct"/>
            <w:tcBorders>
              <w:top w:val="nil"/>
              <w:left w:val="nil"/>
              <w:bottom w:val="single" w:sz="4" w:space="0" w:color="auto"/>
              <w:right w:val="single" w:sz="4" w:space="0" w:color="auto"/>
            </w:tcBorders>
            <w:shd w:val="clear" w:color="auto" w:fill="auto"/>
            <w:vAlign w:val="center"/>
            <w:hideMark/>
          </w:tcPr>
          <w:p w14:paraId="4626DE68" w14:textId="77777777" w:rsidR="00192FBD" w:rsidRPr="00192FBD" w:rsidRDefault="00192FBD" w:rsidP="00802DE1">
            <w:pPr>
              <w:keepNext/>
              <w:spacing w:after="0"/>
              <w:jc w:val="right"/>
            </w:pPr>
            <w:r w:rsidRPr="00192FBD">
              <w:t>20,000 – 49,999</w:t>
            </w:r>
          </w:p>
        </w:tc>
        <w:tc>
          <w:tcPr>
            <w:tcW w:w="746" w:type="pct"/>
            <w:vMerge/>
            <w:tcBorders>
              <w:top w:val="nil"/>
              <w:left w:val="single" w:sz="4" w:space="0" w:color="auto"/>
              <w:bottom w:val="single" w:sz="4" w:space="0" w:color="auto"/>
              <w:right w:val="single" w:sz="4" w:space="0" w:color="auto"/>
            </w:tcBorders>
            <w:shd w:val="clear" w:color="auto" w:fill="auto"/>
            <w:vAlign w:val="center"/>
            <w:hideMark/>
          </w:tcPr>
          <w:p w14:paraId="5C2F23C8" w14:textId="77777777" w:rsidR="00192FBD" w:rsidRPr="00192FBD" w:rsidRDefault="00192FBD" w:rsidP="00192FBD">
            <w:pPr>
              <w:keepNext/>
              <w:spacing w:after="0"/>
              <w:rPr>
                <w:b/>
                <w:bCs/>
              </w:rPr>
            </w:pPr>
          </w:p>
        </w:tc>
        <w:tc>
          <w:tcPr>
            <w:tcW w:w="677" w:type="pct"/>
            <w:tcBorders>
              <w:top w:val="nil"/>
              <w:left w:val="nil"/>
              <w:bottom w:val="single" w:sz="4" w:space="0" w:color="auto"/>
              <w:right w:val="single" w:sz="4" w:space="0" w:color="auto"/>
            </w:tcBorders>
            <w:shd w:val="clear" w:color="auto" w:fill="auto"/>
            <w:vAlign w:val="center"/>
            <w:hideMark/>
          </w:tcPr>
          <w:p w14:paraId="177C8DFE" w14:textId="77777777" w:rsidR="00192FBD" w:rsidRPr="00192FBD" w:rsidRDefault="00192FBD" w:rsidP="00192FBD">
            <w:pPr>
              <w:keepNext/>
              <w:spacing w:after="0"/>
            </w:pPr>
            <w:r w:rsidRPr="00192FBD">
              <w:t>Class C</w:t>
            </w:r>
          </w:p>
        </w:tc>
        <w:tc>
          <w:tcPr>
            <w:tcW w:w="758" w:type="pct"/>
            <w:tcBorders>
              <w:top w:val="nil"/>
              <w:left w:val="nil"/>
              <w:bottom w:val="single" w:sz="4" w:space="0" w:color="auto"/>
              <w:right w:val="single" w:sz="4" w:space="0" w:color="auto"/>
            </w:tcBorders>
            <w:shd w:val="clear" w:color="auto" w:fill="auto"/>
            <w:vAlign w:val="center"/>
            <w:hideMark/>
          </w:tcPr>
          <w:p w14:paraId="2060170D" w14:textId="34ECA301" w:rsidR="00192FBD" w:rsidRPr="00192FBD" w:rsidRDefault="00192FBD" w:rsidP="00802DE1">
            <w:pPr>
              <w:keepNext/>
              <w:spacing w:after="0"/>
              <w:jc w:val="right"/>
            </w:pPr>
            <w:r w:rsidRPr="00192FBD">
              <w:t>&lt; 1</w:t>
            </w:r>
            <w:r w:rsidR="00802DE1" w:rsidRPr="00A13B61">
              <w:t>,</w:t>
            </w:r>
            <w:r w:rsidRPr="00192FBD">
              <w:t>000</w:t>
            </w:r>
          </w:p>
        </w:tc>
      </w:tr>
      <w:tr w:rsidR="00192FBD" w:rsidRPr="00A13B61" w14:paraId="4DC9CC36" w14:textId="77777777" w:rsidTr="00A13B61">
        <w:trPr>
          <w:trHeight w:val="450"/>
        </w:trPr>
        <w:tc>
          <w:tcPr>
            <w:tcW w:w="7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96EF40" w14:textId="7A7953B6" w:rsidR="00192FBD" w:rsidRPr="00192FBD" w:rsidRDefault="00192FBD" w:rsidP="00192FBD">
            <w:pPr>
              <w:keepNext/>
              <w:spacing w:after="0"/>
              <w:rPr>
                <w:b/>
                <w:bCs/>
                <w:sz w:val="18"/>
                <w:szCs w:val="16"/>
              </w:rPr>
            </w:pPr>
            <w:r w:rsidRPr="00A13B61">
              <w:rPr>
                <w:b/>
                <w:bCs/>
                <w:sz w:val="18"/>
                <w:szCs w:val="16"/>
              </w:rPr>
              <w:t>Urban B</w:t>
            </w:r>
            <w:r w:rsidRPr="00192FBD">
              <w:rPr>
                <w:b/>
                <w:bCs/>
                <w:sz w:val="18"/>
                <w:szCs w:val="16"/>
              </w:rPr>
              <w:t xml:space="preserve"> </w:t>
            </w:r>
          </w:p>
        </w:tc>
        <w:tc>
          <w:tcPr>
            <w:tcW w:w="1065" w:type="pct"/>
            <w:tcBorders>
              <w:top w:val="nil"/>
              <w:left w:val="nil"/>
              <w:bottom w:val="single" w:sz="4" w:space="0" w:color="auto"/>
              <w:right w:val="single" w:sz="4" w:space="0" w:color="auto"/>
            </w:tcBorders>
            <w:shd w:val="clear" w:color="auto" w:fill="auto"/>
            <w:vAlign w:val="center"/>
            <w:hideMark/>
          </w:tcPr>
          <w:p w14:paraId="4D652285" w14:textId="77777777" w:rsidR="00192FBD" w:rsidRPr="00192FBD" w:rsidRDefault="00192FBD" w:rsidP="00192FBD">
            <w:pPr>
              <w:keepNext/>
              <w:spacing w:after="0"/>
            </w:pPr>
            <w:r w:rsidRPr="00192FBD">
              <w:t>Class IV</w:t>
            </w:r>
          </w:p>
        </w:tc>
        <w:tc>
          <w:tcPr>
            <w:tcW w:w="1019" w:type="pct"/>
            <w:tcBorders>
              <w:top w:val="nil"/>
              <w:left w:val="nil"/>
              <w:bottom w:val="single" w:sz="4" w:space="0" w:color="auto"/>
              <w:right w:val="single" w:sz="4" w:space="0" w:color="auto"/>
            </w:tcBorders>
            <w:shd w:val="clear" w:color="auto" w:fill="auto"/>
            <w:vAlign w:val="center"/>
            <w:hideMark/>
          </w:tcPr>
          <w:p w14:paraId="3BEA31F7" w14:textId="77777777" w:rsidR="00192FBD" w:rsidRPr="00192FBD" w:rsidRDefault="00192FBD" w:rsidP="00802DE1">
            <w:pPr>
              <w:keepNext/>
              <w:spacing w:after="0"/>
              <w:jc w:val="right"/>
            </w:pPr>
            <w:r w:rsidRPr="00192FBD">
              <w:t>10,000 – 19,999</w:t>
            </w:r>
          </w:p>
        </w:tc>
        <w:tc>
          <w:tcPr>
            <w:tcW w:w="2181" w:type="pct"/>
            <w:gridSpan w:val="3"/>
            <w:vMerge w:val="restart"/>
            <w:tcBorders>
              <w:top w:val="nil"/>
              <w:left w:val="nil"/>
              <w:right w:val="single" w:sz="4" w:space="0" w:color="auto"/>
            </w:tcBorders>
            <w:shd w:val="clear" w:color="auto" w:fill="auto"/>
            <w:vAlign w:val="center"/>
            <w:hideMark/>
          </w:tcPr>
          <w:p w14:paraId="2B4D412B" w14:textId="1D9902E3" w:rsidR="00192FBD" w:rsidRPr="00192FBD" w:rsidRDefault="00192FBD" w:rsidP="00192FBD">
            <w:pPr>
              <w:keepNext/>
              <w:spacing w:after="0"/>
            </w:pPr>
          </w:p>
        </w:tc>
      </w:tr>
      <w:tr w:rsidR="00192FBD" w:rsidRPr="00A13B61" w14:paraId="2129E106" w14:textId="77777777" w:rsidTr="00A13B61">
        <w:trPr>
          <w:trHeight w:val="390"/>
        </w:trPr>
        <w:tc>
          <w:tcPr>
            <w:tcW w:w="735" w:type="pct"/>
            <w:vMerge/>
            <w:tcBorders>
              <w:top w:val="nil"/>
              <w:left w:val="single" w:sz="4" w:space="0" w:color="auto"/>
              <w:bottom w:val="single" w:sz="4" w:space="0" w:color="auto"/>
              <w:right w:val="single" w:sz="4" w:space="0" w:color="auto"/>
            </w:tcBorders>
            <w:vAlign w:val="center"/>
            <w:hideMark/>
          </w:tcPr>
          <w:p w14:paraId="51AC194B" w14:textId="77777777" w:rsidR="00192FBD" w:rsidRPr="00192FBD" w:rsidRDefault="00192FBD" w:rsidP="00192FBD">
            <w:pPr>
              <w:keepNext/>
              <w:spacing w:after="0"/>
              <w:rPr>
                <w:b/>
                <w:bCs/>
              </w:rPr>
            </w:pPr>
          </w:p>
        </w:tc>
        <w:tc>
          <w:tcPr>
            <w:tcW w:w="1065" w:type="pct"/>
            <w:tcBorders>
              <w:top w:val="nil"/>
              <w:left w:val="nil"/>
              <w:bottom w:val="single" w:sz="4" w:space="0" w:color="auto"/>
              <w:right w:val="single" w:sz="4" w:space="0" w:color="auto"/>
            </w:tcBorders>
            <w:shd w:val="clear" w:color="auto" w:fill="auto"/>
            <w:vAlign w:val="center"/>
            <w:hideMark/>
          </w:tcPr>
          <w:p w14:paraId="52533EBE" w14:textId="77777777" w:rsidR="00192FBD" w:rsidRPr="00192FBD" w:rsidRDefault="00192FBD" w:rsidP="00192FBD">
            <w:pPr>
              <w:keepNext/>
              <w:spacing w:after="0"/>
            </w:pPr>
            <w:r w:rsidRPr="00192FBD">
              <w:t>Class V</w:t>
            </w:r>
          </w:p>
        </w:tc>
        <w:tc>
          <w:tcPr>
            <w:tcW w:w="1019" w:type="pct"/>
            <w:tcBorders>
              <w:top w:val="nil"/>
              <w:left w:val="nil"/>
              <w:bottom w:val="single" w:sz="4" w:space="0" w:color="auto"/>
              <w:right w:val="single" w:sz="4" w:space="0" w:color="auto"/>
            </w:tcBorders>
            <w:shd w:val="clear" w:color="auto" w:fill="auto"/>
            <w:vAlign w:val="center"/>
            <w:hideMark/>
          </w:tcPr>
          <w:p w14:paraId="5E9AD976" w14:textId="77777777" w:rsidR="00192FBD" w:rsidRPr="00192FBD" w:rsidRDefault="00192FBD" w:rsidP="00802DE1">
            <w:pPr>
              <w:keepNext/>
              <w:spacing w:after="0"/>
              <w:jc w:val="right"/>
            </w:pPr>
            <w:r w:rsidRPr="00192FBD">
              <w:t>5,000 – 9,999</w:t>
            </w:r>
          </w:p>
        </w:tc>
        <w:tc>
          <w:tcPr>
            <w:tcW w:w="2181" w:type="pct"/>
            <w:gridSpan w:val="3"/>
            <w:vMerge/>
            <w:tcBorders>
              <w:left w:val="nil"/>
              <w:right w:val="single" w:sz="4" w:space="0" w:color="auto"/>
            </w:tcBorders>
            <w:shd w:val="clear" w:color="auto" w:fill="auto"/>
            <w:vAlign w:val="center"/>
            <w:hideMark/>
          </w:tcPr>
          <w:p w14:paraId="5D29A19D" w14:textId="784C03FD" w:rsidR="00192FBD" w:rsidRPr="00192FBD" w:rsidRDefault="00192FBD" w:rsidP="00192FBD">
            <w:pPr>
              <w:keepNext/>
              <w:spacing w:after="0"/>
            </w:pPr>
          </w:p>
        </w:tc>
      </w:tr>
      <w:tr w:rsidR="00192FBD" w:rsidRPr="00A13B61" w14:paraId="1E69DF8E" w14:textId="77777777" w:rsidTr="00A13B61">
        <w:trPr>
          <w:trHeight w:val="420"/>
        </w:trPr>
        <w:tc>
          <w:tcPr>
            <w:tcW w:w="735" w:type="pct"/>
            <w:vMerge/>
            <w:tcBorders>
              <w:top w:val="nil"/>
              <w:left w:val="single" w:sz="4" w:space="0" w:color="auto"/>
              <w:bottom w:val="single" w:sz="4" w:space="0" w:color="auto"/>
              <w:right w:val="single" w:sz="4" w:space="0" w:color="auto"/>
            </w:tcBorders>
            <w:vAlign w:val="center"/>
            <w:hideMark/>
          </w:tcPr>
          <w:p w14:paraId="5EAA669D" w14:textId="77777777" w:rsidR="00192FBD" w:rsidRPr="00192FBD" w:rsidRDefault="00192FBD" w:rsidP="00192FBD">
            <w:pPr>
              <w:spacing w:after="0"/>
              <w:rPr>
                <w:b/>
                <w:bCs/>
              </w:rPr>
            </w:pPr>
          </w:p>
        </w:tc>
        <w:tc>
          <w:tcPr>
            <w:tcW w:w="1065" w:type="pct"/>
            <w:tcBorders>
              <w:top w:val="nil"/>
              <w:left w:val="nil"/>
              <w:bottom w:val="single" w:sz="4" w:space="0" w:color="auto"/>
              <w:right w:val="single" w:sz="4" w:space="0" w:color="auto"/>
            </w:tcBorders>
            <w:shd w:val="clear" w:color="auto" w:fill="auto"/>
            <w:vAlign w:val="center"/>
            <w:hideMark/>
          </w:tcPr>
          <w:p w14:paraId="4A2F8128" w14:textId="77777777" w:rsidR="00192FBD" w:rsidRPr="00192FBD" w:rsidRDefault="00192FBD" w:rsidP="00192FBD">
            <w:pPr>
              <w:spacing w:after="0"/>
            </w:pPr>
            <w:r w:rsidRPr="00192FBD">
              <w:t>Class VI</w:t>
            </w:r>
          </w:p>
        </w:tc>
        <w:tc>
          <w:tcPr>
            <w:tcW w:w="1019" w:type="pct"/>
            <w:tcBorders>
              <w:top w:val="nil"/>
              <w:left w:val="nil"/>
              <w:bottom w:val="single" w:sz="4" w:space="0" w:color="auto"/>
              <w:right w:val="single" w:sz="4" w:space="0" w:color="auto"/>
            </w:tcBorders>
            <w:shd w:val="clear" w:color="auto" w:fill="auto"/>
            <w:vAlign w:val="center"/>
            <w:hideMark/>
          </w:tcPr>
          <w:p w14:paraId="1B7AB97E" w14:textId="77777777" w:rsidR="00192FBD" w:rsidRPr="00192FBD" w:rsidRDefault="00192FBD" w:rsidP="00802DE1">
            <w:pPr>
              <w:spacing w:after="0"/>
              <w:jc w:val="right"/>
            </w:pPr>
            <w:r w:rsidRPr="00192FBD">
              <w:t>&lt; 5,000</w:t>
            </w:r>
          </w:p>
        </w:tc>
        <w:tc>
          <w:tcPr>
            <w:tcW w:w="2181" w:type="pct"/>
            <w:gridSpan w:val="3"/>
            <w:vMerge/>
            <w:tcBorders>
              <w:left w:val="nil"/>
              <w:bottom w:val="single" w:sz="4" w:space="0" w:color="auto"/>
              <w:right w:val="single" w:sz="4" w:space="0" w:color="auto"/>
            </w:tcBorders>
            <w:shd w:val="clear" w:color="auto" w:fill="auto"/>
            <w:vAlign w:val="center"/>
            <w:hideMark/>
          </w:tcPr>
          <w:p w14:paraId="63F7399B" w14:textId="6FF7B29A" w:rsidR="00192FBD" w:rsidRPr="00192FBD" w:rsidRDefault="00192FBD" w:rsidP="00192FBD">
            <w:pPr>
              <w:spacing w:after="0"/>
            </w:pPr>
          </w:p>
        </w:tc>
      </w:tr>
    </w:tbl>
    <w:p w14:paraId="0B05FEDE" w14:textId="77777777" w:rsidR="00192FBD" w:rsidRPr="00A13B61" w:rsidRDefault="00192FBD" w:rsidP="00192FBD">
      <w:pPr>
        <w:spacing w:after="0"/>
      </w:pPr>
    </w:p>
    <w:p w14:paraId="48F05A56" w14:textId="77777777" w:rsidR="001E6177" w:rsidRDefault="001E6177" w:rsidP="00A13B61">
      <w:pPr>
        <w:autoSpaceDE w:val="0"/>
        <w:autoSpaceDN w:val="0"/>
        <w:adjustRightInd w:val="0"/>
        <w:spacing w:before="120" w:after="120"/>
        <w:jc w:val="both"/>
        <w:rPr>
          <w:rFonts w:cstheme="minorHAnsi"/>
        </w:rPr>
      </w:pPr>
    </w:p>
    <w:p w14:paraId="21CB93DF" w14:textId="52E377ED" w:rsidR="001E6177" w:rsidRPr="00A13B61" w:rsidRDefault="00A13B61" w:rsidP="00A13B61">
      <w:pPr>
        <w:autoSpaceDE w:val="0"/>
        <w:autoSpaceDN w:val="0"/>
        <w:adjustRightInd w:val="0"/>
        <w:spacing w:before="120" w:after="120"/>
        <w:jc w:val="both"/>
        <w:rPr>
          <w:rFonts w:cstheme="minorHAnsi"/>
        </w:rPr>
      </w:pPr>
      <w:r>
        <w:rPr>
          <w:rFonts w:cstheme="minorHAnsi"/>
        </w:rPr>
        <w:t>One</w:t>
      </w:r>
      <w:r w:rsidRPr="00A13B61">
        <w:rPr>
          <w:rFonts w:cstheme="minorHAnsi"/>
        </w:rPr>
        <w:t xml:space="preserve"> eligible respondent (</w:t>
      </w:r>
      <w:r>
        <w:rPr>
          <w:rFonts w:cstheme="minorHAnsi"/>
        </w:rPr>
        <w:t>over 18 years of age</w:t>
      </w:r>
      <w:r w:rsidRPr="00A13B61">
        <w:rPr>
          <w:rFonts w:cstheme="minorHAnsi"/>
        </w:rPr>
        <w:t xml:space="preserve">) from </w:t>
      </w:r>
      <w:r>
        <w:rPr>
          <w:rFonts w:cstheme="minorHAnsi"/>
        </w:rPr>
        <w:t>each</w:t>
      </w:r>
      <w:r w:rsidRPr="00A13B61">
        <w:rPr>
          <w:rFonts w:cstheme="minorHAnsi"/>
        </w:rPr>
        <w:t xml:space="preserve"> household </w:t>
      </w:r>
      <w:r>
        <w:rPr>
          <w:rFonts w:cstheme="minorHAnsi"/>
        </w:rPr>
        <w:t>was</w:t>
      </w:r>
      <w:r w:rsidRPr="00A13B61">
        <w:rPr>
          <w:rFonts w:cstheme="minorHAnsi"/>
        </w:rPr>
        <w:t xml:space="preserve"> </w:t>
      </w:r>
      <w:r>
        <w:rPr>
          <w:rFonts w:cstheme="minorHAnsi"/>
        </w:rPr>
        <w:t>randomly</w:t>
      </w:r>
      <w:r w:rsidRPr="00A13B61">
        <w:rPr>
          <w:rFonts w:cstheme="minorHAnsi"/>
        </w:rPr>
        <w:t xml:space="preserve"> selected for</w:t>
      </w:r>
      <w:r>
        <w:rPr>
          <w:rFonts w:cstheme="minorHAnsi"/>
        </w:rPr>
        <w:t xml:space="preserve"> the</w:t>
      </w:r>
      <w:r w:rsidRPr="00A13B61">
        <w:rPr>
          <w:rFonts w:cstheme="minorHAnsi"/>
        </w:rPr>
        <w:t xml:space="preserve"> interview. In case there </w:t>
      </w:r>
      <w:r>
        <w:rPr>
          <w:rFonts w:cstheme="minorHAnsi"/>
        </w:rPr>
        <w:t>was</w:t>
      </w:r>
      <w:r w:rsidRPr="00A13B61">
        <w:rPr>
          <w:rFonts w:cstheme="minorHAnsi"/>
        </w:rPr>
        <w:t xml:space="preserve"> more-than-one eligible respondent available in the household, </w:t>
      </w:r>
      <w:r>
        <w:rPr>
          <w:rFonts w:cstheme="minorHAnsi"/>
        </w:rPr>
        <w:t xml:space="preserve">the CAPI system </w:t>
      </w:r>
      <w:r w:rsidR="001E6177">
        <w:rPr>
          <w:rFonts w:cstheme="minorHAnsi"/>
        </w:rPr>
        <w:t xml:space="preserve">randomly </w:t>
      </w:r>
      <w:r>
        <w:rPr>
          <w:rFonts w:cstheme="minorHAnsi"/>
        </w:rPr>
        <w:t>selected one individual</w:t>
      </w:r>
      <w:r w:rsidR="001E6177">
        <w:rPr>
          <w:rFonts w:cstheme="minorHAnsi"/>
        </w:rPr>
        <w:t xml:space="preserve"> based on a </w:t>
      </w:r>
      <w:r w:rsidRPr="00A13B61">
        <w:rPr>
          <w:rFonts w:cstheme="minorHAnsi"/>
        </w:rPr>
        <w:t xml:space="preserve">Kish grid </w:t>
      </w:r>
      <w:r w:rsidR="001E6177">
        <w:rPr>
          <w:rFonts w:cstheme="minorHAnsi"/>
        </w:rPr>
        <w:t>algorithm</w:t>
      </w:r>
      <w:r w:rsidRPr="00A13B61">
        <w:rPr>
          <w:rFonts w:cstheme="minorHAnsi"/>
        </w:rPr>
        <w:t xml:space="preserve">. </w:t>
      </w:r>
    </w:p>
    <w:p w14:paraId="6E14CF56" w14:textId="5B8DA5A3" w:rsidR="00225D04" w:rsidRPr="00A13B61" w:rsidRDefault="004568ED" w:rsidP="001E6177">
      <w:pPr>
        <w:pStyle w:val="Heading4"/>
      </w:pPr>
      <w:r w:rsidRPr="00A13B61">
        <w:t>Over-</w:t>
      </w:r>
      <w:r w:rsidR="00EE2DB1" w:rsidRPr="00A13B61">
        <w:t>sampl</w:t>
      </w:r>
      <w:r w:rsidRPr="00A13B61">
        <w:t>ing</w:t>
      </w:r>
    </w:p>
    <w:p w14:paraId="4A095450" w14:textId="51C73534" w:rsidR="003C39CD" w:rsidRPr="00A13B61" w:rsidRDefault="004568ED" w:rsidP="00F511BC">
      <w:r w:rsidRPr="00A13B61">
        <w:t>Beyond</w:t>
      </w:r>
      <w:r w:rsidR="008E7058" w:rsidRPr="00A13B61">
        <w:t xml:space="preserve"> the above random </w:t>
      </w:r>
      <w:r w:rsidRPr="00A13B61">
        <w:t>stratified sample</w:t>
      </w:r>
      <w:r w:rsidR="008E7058" w:rsidRPr="00A13B61">
        <w:t xml:space="preserve">, </w:t>
      </w:r>
      <w:r w:rsidRPr="00A13B61">
        <w:t>we oversampled special groups</w:t>
      </w:r>
      <w:r w:rsidR="008B08EC" w:rsidRPr="00A13B61">
        <w:t xml:space="preserve">, </w:t>
      </w:r>
      <w:r w:rsidR="005934F7" w:rsidRPr="00A13B61">
        <w:t>with the goal of interviewing</w:t>
      </w:r>
      <w:r w:rsidR="008B08EC" w:rsidRPr="00A13B61">
        <w:t xml:space="preserve"> least 400 elderly people</w:t>
      </w:r>
      <w:r w:rsidRPr="00A13B61">
        <w:t xml:space="preserve"> (&gt;70 years of age)</w:t>
      </w:r>
      <w:r w:rsidR="008B08EC" w:rsidRPr="00A13B61">
        <w:t xml:space="preserve">, 400 homeless people, 400 third-gender people, and 500 labourers. </w:t>
      </w:r>
      <w:r w:rsidRPr="00A13B61">
        <w:t>Oversampling</w:t>
      </w:r>
      <w:r w:rsidR="003C39CD" w:rsidRPr="00A13B61">
        <w:t xml:space="preserve"> targets were equally distributed across the 17 states and union territories and across the selected districts within them. </w:t>
      </w:r>
    </w:p>
    <w:p w14:paraId="36DD81E1" w14:textId="6E5DD070" w:rsidR="00642BC1" w:rsidRPr="00A13B61" w:rsidRDefault="006B45D7" w:rsidP="00F511BC">
      <w:r w:rsidRPr="00A13B61">
        <w:t>We</w:t>
      </w:r>
      <w:r w:rsidR="00C97E41" w:rsidRPr="00A13B61">
        <w:t xml:space="preserve"> </w:t>
      </w:r>
      <w:r w:rsidR="000943F4" w:rsidRPr="00A13B61">
        <w:t xml:space="preserve">set these targets in order to </w:t>
      </w:r>
      <w:r w:rsidR="003C39CD" w:rsidRPr="00A13B61">
        <w:t xml:space="preserve">gather </w:t>
      </w:r>
      <w:r w:rsidR="005934F7" w:rsidRPr="00A13B61">
        <w:t>enough</w:t>
      </w:r>
      <w:r w:rsidR="00C97E41" w:rsidRPr="00A13B61">
        <w:t xml:space="preserve"> information on population groups</w:t>
      </w:r>
      <w:r w:rsidR="003C503A">
        <w:t xml:space="preserve"> that are traditionally harder to reach through a household survey</w:t>
      </w:r>
      <w:r w:rsidR="003C39CD" w:rsidRPr="00A13B61">
        <w:t xml:space="preserve">. </w:t>
      </w:r>
      <w:r w:rsidR="000943F4" w:rsidRPr="00A13B61">
        <w:t>Specifically, Kantar Public undertook the following process.</w:t>
      </w:r>
    </w:p>
    <w:p w14:paraId="7F0E262A" w14:textId="681E3F60" w:rsidR="00642BC1" w:rsidRPr="00A13B61" w:rsidRDefault="00DD7892" w:rsidP="00F511BC">
      <w:r w:rsidRPr="00A13B61">
        <w:t>O</w:t>
      </w:r>
      <w:r w:rsidR="008E7058" w:rsidRPr="00A13B61">
        <w:t xml:space="preserve">n arriving in each ward and village, the field team checked with key informants </w:t>
      </w:r>
      <w:r w:rsidR="003029E6" w:rsidRPr="00A13B61">
        <w:t>whether</w:t>
      </w:r>
      <w:r w:rsidR="008E7058" w:rsidRPr="00A13B61">
        <w:t xml:space="preserve"> there were any </w:t>
      </w:r>
      <w:r w:rsidR="003029E6" w:rsidRPr="00A13B61">
        <w:t xml:space="preserve">relevant </w:t>
      </w:r>
      <w:r w:rsidR="008E7058" w:rsidRPr="00A13B61">
        <w:t>settlements of special groups</w:t>
      </w:r>
      <w:r w:rsidR="003029E6" w:rsidRPr="00A13B61">
        <w:t xml:space="preserve"> (e.g. third-gender communities, homeless settlements, construction sites with on-site temporary settlements)</w:t>
      </w:r>
      <w:r w:rsidR="00642BC1" w:rsidRPr="00A13B61">
        <w:t xml:space="preserve">. These settlements </w:t>
      </w:r>
      <w:r w:rsidR="004568ED" w:rsidRPr="00A13B61">
        <w:t>were chosen for over-</w:t>
      </w:r>
      <w:r w:rsidR="007533DF" w:rsidRPr="00A13B61">
        <w:t>sampling</w:t>
      </w:r>
      <w:r w:rsidR="00642BC1" w:rsidRPr="00A13B61">
        <w:t xml:space="preserve">, if they were not already selected as part of the </w:t>
      </w:r>
      <w:r w:rsidR="004568ED" w:rsidRPr="00A13B61">
        <w:t>random stratified sample</w:t>
      </w:r>
      <w:r w:rsidR="00642BC1" w:rsidRPr="00A13B61">
        <w:t xml:space="preserve">. </w:t>
      </w:r>
      <w:r w:rsidR="00924EA0" w:rsidRPr="00A13B61">
        <w:t>Over-sampling of elderly respondents did not require visits to separate settlements.</w:t>
      </w:r>
    </w:p>
    <w:p w14:paraId="0A7A85A7" w14:textId="4949C0AD" w:rsidR="008E7058" w:rsidRPr="00A13B61" w:rsidRDefault="00642BC1" w:rsidP="00F511BC">
      <w:r w:rsidRPr="00A13B61">
        <w:t xml:space="preserve">If there were no settlements of </w:t>
      </w:r>
      <w:r w:rsidR="00924EA0" w:rsidRPr="00A13B61">
        <w:t xml:space="preserve">particular </w:t>
      </w:r>
      <w:r w:rsidRPr="00A13B61">
        <w:t xml:space="preserve">special groups in that ward or village, the field team checked with key informants </w:t>
      </w:r>
      <w:r w:rsidR="004568ED" w:rsidRPr="00A13B61">
        <w:t>for nearby</w:t>
      </w:r>
      <w:r w:rsidRPr="00A13B61">
        <w:t xml:space="preserve"> settlements and </w:t>
      </w:r>
      <w:r w:rsidR="004568ED" w:rsidRPr="00A13B61">
        <w:t>visited</w:t>
      </w:r>
      <w:r w:rsidRPr="00A13B61">
        <w:t xml:space="preserve"> </w:t>
      </w:r>
      <w:r w:rsidR="004568ED" w:rsidRPr="00A13B61">
        <w:t>those</w:t>
      </w:r>
      <w:r w:rsidR="003276DF" w:rsidRPr="00A13B61">
        <w:t xml:space="preserve"> for </w:t>
      </w:r>
      <w:r w:rsidR="004568ED" w:rsidRPr="00A13B61">
        <w:t>over-</w:t>
      </w:r>
      <w:r w:rsidR="003276DF" w:rsidRPr="00A13B61">
        <w:t>sampling</w:t>
      </w:r>
      <w:r w:rsidRPr="00A13B61">
        <w:t>.</w:t>
      </w:r>
    </w:p>
    <w:p w14:paraId="1129A011" w14:textId="3F3F2929" w:rsidR="00AC5627" w:rsidRPr="00A13B61" w:rsidRDefault="00DD7892" w:rsidP="00F511BC">
      <w:r w:rsidRPr="00A13B61">
        <w:t>This process was continued in each ward and village within each selected district of every state, until state-level targets for special groups were met.</w:t>
      </w:r>
      <w:r w:rsidR="00AC5627" w:rsidRPr="00A13B61">
        <w:t xml:space="preserve"> </w:t>
      </w:r>
    </w:p>
    <w:p w14:paraId="3B422CD4" w14:textId="54FB1889" w:rsidR="001027DC" w:rsidRDefault="001E6177" w:rsidP="00D70CB0">
      <w:r>
        <w:t>Across the entire in-depth survey</w:t>
      </w:r>
      <w:r w:rsidR="00DD7892" w:rsidRPr="00A13B61">
        <w:t xml:space="preserve">, a total of </w:t>
      </w:r>
      <w:r w:rsidRPr="001E6177">
        <w:t xml:space="preserve">845 elderly individuals, 459 </w:t>
      </w:r>
      <w:r>
        <w:t xml:space="preserve">people </w:t>
      </w:r>
      <w:r w:rsidRPr="001E6177">
        <w:t>who identify as third-gender, 3</w:t>
      </w:r>
      <w:r>
        <w:t>,</w:t>
      </w:r>
      <w:r w:rsidRPr="001E6177">
        <w:t xml:space="preserve">271 labourers, and 478 </w:t>
      </w:r>
      <w:r w:rsidR="00D70CB0">
        <w:t xml:space="preserve">people who were </w:t>
      </w:r>
      <w:r w:rsidRPr="001E6177">
        <w:t>homeless</w:t>
      </w:r>
      <w:r w:rsidR="00DD7892" w:rsidRPr="00A13B61">
        <w:t xml:space="preserve"> were </w:t>
      </w:r>
      <w:r w:rsidR="004568ED" w:rsidRPr="00A13B61">
        <w:t>included in the sample</w:t>
      </w:r>
      <w:r w:rsidR="00117041" w:rsidRPr="00A13B61">
        <w:t>.</w:t>
      </w:r>
    </w:p>
    <w:p w14:paraId="3FE92EF7" w14:textId="0789B733" w:rsidR="000065E0" w:rsidRPr="00A13B61" w:rsidRDefault="000065E0" w:rsidP="00D70CB0">
      <w:r w:rsidRPr="00A13B61">
        <w:t>Given the method used to achieve over-sampling, our survey findings for these special groups are less representative and we did not create or use any survey weights (except for normalization by state population) to draw conclusions about these population groups.</w:t>
      </w:r>
    </w:p>
    <w:p w14:paraId="1FB3AB5D" w14:textId="7D737AAB" w:rsidR="00E72B85" w:rsidRPr="00A13B61" w:rsidRDefault="00E72B85" w:rsidP="00F511BC">
      <w:pPr>
        <w:pStyle w:val="Heading3"/>
      </w:pPr>
      <w:bookmarkStart w:id="34" w:name="_Toc25484976"/>
      <w:r w:rsidRPr="00A13B61">
        <w:t>Pilots</w:t>
      </w:r>
      <w:bookmarkEnd w:id="34"/>
    </w:p>
    <w:p w14:paraId="1757B991" w14:textId="5391B2E8" w:rsidR="00331101" w:rsidRPr="00A13B61" w:rsidRDefault="002D3B31" w:rsidP="00F511BC">
      <w:r w:rsidRPr="00A13B61">
        <w:t xml:space="preserve">We conducted two pilots – </w:t>
      </w:r>
      <w:r w:rsidR="004568ED" w:rsidRPr="00A13B61">
        <w:t xml:space="preserve">the </w:t>
      </w:r>
      <w:r w:rsidRPr="00A13B61">
        <w:t xml:space="preserve">first </w:t>
      </w:r>
      <w:r w:rsidR="004568ED" w:rsidRPr="00A13B61">
        <w:t>with</w:t>
      </w:r>
      <w:r w:rsidRPr="00A13B61">
        <w:t xml:space="preserve"> </w:t>
      </w:r>
      <w:r w:rsidR="004568ED" w:rsidRPr="00A13B61">
        <w:t>pen-and-</w:t>
      </w:r>
      <w:r w:rsidRPr="00A13B61">
        <w:t>paper</w:t>
      </w:r>
      <w:r w:rsidR="004568ED" w:rsidRPr="00A13B61">
        <w:t xml:space="preserve"> questionnaires</w:t>
      </w:r>
      <w:r w:rsidRPr="00A13B61">
        <w:t xml:space="preserve"> and </w:t>
      </w:r>
      <w:r w:rsidR="004568ED" w:rsidRPr="00A13B61">
        <w:t xml:space="preserve">the </w:t>
      </w:r>
      <w:r w:rsidRPr="00A13B61">
        <w:t xml:space="preserve">second on tablets using </w:t>
      </w:r>
      <w:r w:rsidR="00331101" w:rsidRPr="00A13B61">
        <w:t>c</w:t>
      </w:r>
      <w:r w:rsidRPr="00A13B61">
        <w:t xml:space="preserve">omputer-assisted personal interviewing (CAPI) questionnaires. </w:t>
      </w:r>
    </w:p>
    <w:p w14:paraId="586D7270" w14:textId="398C5476" w:rsidR="002D3B31" w:rsidRPr="00A13B61" w:rsidRDefault="002D3B31" w:rsidP="00F511BC">
      <w:r w:rsidRPr="00A13B61">
        <w:t xml:space="preserve">The </w:t>
      </w:r>
      <w:r w:rsidR="004568ED" w:rsidRPr="00A13B61">
        <w:t>pen-and-</w:t>
      </w:r>
      <w:r w:rsidRPr="00A13B61">
        <w:t xml:space="preserve">paper pilot </w:t>
      </w:r>
      <w:r w:rsidR="004568ED" w:rsidRPr="00A13B61">
        <w:t>was</w:t>
      </w:r>
      <w:r w:rsidRPr="00A13B61">
        <w:t xml:space="preserve"> conducted to test the flow of the questionnaire and whether the questions were easy to understand for the target group of respondents.</w:t>
      </w:r>
      <w:r w:rsidR="00331101" w:rsidRPr="00A13B61">
        <w:t xml:space="preserve"> They were performed in</w:t>
      </w:r>
      <w:r w:rsidR="00924EA0" w:rsidRPr="00A13B61">
        <w:t xml:space="preserve"> and around</w:t>
      </w:r>
      <w:r w:rsidR="00331101" w:rsidRPr="00A13B61">
        <w:t xml:space="preserve"> Mumbai and Delhi</w:t>
      </w:r>
      <w:r w:rsidR="00924EA0" w:rsidRPr="00A13B61">
        <w:t xml:space="preserve"> (in Marathi and Hindi respectively)</w:t>
      </w:r>
      <w:r w:rsidR="00331101" w:rsidRPr="00A13B61">
        <w:t>, totalling 20 respondents, in May</w:t>
      </w:r>
      <w:r w:rsidR="004568ED" w:rsidRPr="00A13B61">
        <w:t xml:space="preserve"> 2019</w:t>
      </w:r>
      <w:r w:rsidR="00331101" w:rsidRPr="00A13B61">
        <w:t>.</w:t>
      </w:r>
    </w:p>
    <w:p w14:paraId="79CC1909" w14:textId="1F217AD8" w:rsidR="002D3B31" w:rsidRPr="00A13B61" w:rsidRDefault="002D3B31" w:rsidP="00F511BC">
      <w:r w:rsidRPr="00A13B61">
        <w:t xml:space="preserve">The CAPI pilots were </w:t>
      </w:r>
      <w:r w:rsidR="00331101" w:rsidRPr="00A13B61">
        <w:t>conducted</w:t>
      </w:r>
      <w:r w:rsidRPr="00A13B61">
        <w:t xml:space="preserve"> to test the translated</w:t>
      </w:r>
      <w:r w:rsidR="004568ED" w:rsidRPr="00A13B61">
        <w:t xml:space="preserve"> and scripted</w:t>
      </w:r>
      <w:r w:rsidRPr="00A13B61">
        <w:t xml:space="preserve"> questionnaires. Therefore, the CAPI pilots were conducted in </w:t>
      </w:r>
      <w:r w:rsidR="00051DA3" w:rsidRPr="00A13B61">
        <w:t>ten</w:t>
      </w:r>
      <w:r w:rsidRPr="00A13B61">
        <w:t xml:space="preserve"> states</w:t>
      </w:r>
      <w:r w:rsidR="004568ED" w:rsidRPr="00A13B61">
        <w:t>,</w:t>
      </w:r>
      <w:r w:rsidRPr="00A13B61">
        <w:t xml:space="preserve"> in region</w:t>
      </w:r>
      <w:r w:rsidR="00331101" w:rsidRPr="00A13B61">
        <w:t>s</w:t>
      </w:r>
      <w:r w:rsidRPr="00A13B61">
        <w:t xml:space="preserve"> that predominantly spoke </w:t>
      </w:r>
      <w:r w:rsidR="004568ED" w:rsidRPr="00A13B61">
        <w:t>each</w:t>
      </w:r>
      <w:r w:rsidRPr="00A13B61">
        <w:t xml:space="preserve"> language. Hindi was tested in Uttar Pradesh, Marathi in Maharashtra, Gujarati in Gujarat, Tamil in Tamil Nadu, Kannada in Karnataka, Telugu </w:t>
      </w:r>
      <w:r w:rsidR="00331101" w:rsidRPr="00A13B61">
        <w:t>i</w:t>
      </w:r>
      <w:r w:rsidRPr="00A13B61">
        <w:t>n Andhra Pradesh, Malayal</w:t>
      </w:r>
      <w:r w:rsidR="004568ED" w:rsidRPr="00A13B61">
        <w:t>am</w:t>
      </w:r>
      <w:r w:rsidRPr="00A13B61">
        <w:t xml:space="preserve"> in Kerala, Bengali in West Bengal</w:t>
      </w:r>
      <w:r w:rsidR="00331101" w:rsidRPr="00A13B61">
        <w:t>,</w:t>
      </w:r>
      <w:r w:rsidRPr="00A13B61">
        <w:t xml:space="preserve"> Assamese in Assam</w:t>
      </w:r>
      <w:r w:rsidR="00331101" w:rsidRPr="00A13B61">
        <w:t>,</w:t>
      </w:r>
      <w:r w:rsidRPr="00A13B61">
        <w:t xml:space="preserve"> and </w:t>
      </w:r>
      <w:proofErr w:type="spellStart"/>
      <w:r w:rsidRPr="00A13B61">
        <w:t>O</w:t>
      </w:r>
      <w:r w:rsidR="004568ED" w:rsidRPr="00A13B61">
        <w:t>d</w:t>
      </w:r>
      <w:r w:rsidRPr="00A13B61">
        <w:t>iya</w:t>
      </w:r>
      <w:proofErr w:type="spellEnd"/>
      <w:r w:rsidRPr="00A13B61">
        <w:t xml:space="preserve"> in Odisha. These pilots were conducted in June, in a mix </w:t>
      </w:r>
      <w:r w:rsidR="004568ED" w:rsidRPr="00A13B61">
        <w:t xml:space="preserve">of </w:t>
      </w:r>
      <w:r w:rsidRPr="00A13B61">
        <w:t xml:space="preserve">rural and urban areas and </w:t>
      </w:r>
      <w:r w:rsidR="004568ED" w:rsidRPr="00A13B61">
        <w:t>included individuals from</w:t>
      </w:r>
      <w:r w:rsidRPr="00A13B61">
        <w:t xml:space="preserve"> special groups. The sample for the pilot in each state was </w:t>
      </w:r>
      <w:r w:rsidR="00063732" w:rsidRPr="00A13B61">
        <w:t>ten</w:t>
      </w:r>
      <w:r w:rsidRPr="00A13B61">
        <w:t xml:space="preserve">, totalling to 100 </w:t>
      </w:r>
      <w:r w:rsidR="00331101" w:rsidRPr="00A13B61">
        <w:t xml:space="preserve">households </w:t>
      </w:r>
      <w:r w:rsidRPr="00A13B61">
        <w:t xml:space="preserve">overall. The feedback from these pilots was used to make the translations colloquial and </w:t>
      </w:r>
      <w:r w:rsidR="000A2A38" w:rsidRPr="00A13B61">
        <w:t>adapt</w:t>
      </w:r>
      <w:r w:rsidRPr="00A13B61">
        <w:t xml:space="preserve"> the CAPI script.  </w:t>
      </w:r>
    </w:p>
    <w:p w14:paraId="013AA7A4" w14:textId="37C09A2E" w:rsidR="002D3B31" w:rsidRPr="00A13B61" w:rsidRDefault="00331101" w:rsidP="00F511BC">
      <w:r w:rsidRPr="00A13B61">
        <w:lastRenderedPageBreak/>
        <w:t>W</w:t>
      </w:r>
      <w:r w:rsidR="002D3B31" w:rsidRPr="00A13B61">
        <w:t xml:space="preserve">e also conducted two </w:t>
      </w:r>
      <w:r w:rsidR="00924EA0" w:rsidRPr="00A13B61">
        <w:t>separate</w:t>
      </w:r>
      <w:r w:rsidR="002D3B31" w:rsidRPr="00A13B61">
        <w:t xml:space="preserve"> </w:t>
      </w:r>
      <w:r w:rsidR="004568ED" w:rsidRPr="00A13B61">
        <w:t xml:space="preserve">translation tests with native speakers of all </w:t>
      </w:r>
      <w:r w:rsidR="00924EA0" w:rsidRPr="00A13B61">
        <w:t xml:space="preserve">10 </w:t>
      </w:r>
      <w:r w:rsidR="004568ED" w:rsidRPr="00A13B61">
        <w:t>languages</w:t>
      </w:r>
      <w:r w:rsidR="002D3B31" w:rsidRPr="00A13B61">
        <w:t>, run independently by Kantar Public and Dalber</w:t>
      </w:r>
      <w:r w:rsidR="00924EA0" w:rsidRPr="00A13B61">
        <w:t>g</w:t>
      </w:r>
      <w:r w:rsidRPr="00A13B61">
        <w:t>.</w:t>
      </w:r>
      <w:r w:rsidR="000A2A38" w:rsidRPr="00A13B61">
        <w:t xml:space="preserve"> And Dalberg and Kantar Public both conducted extensive in-house script testing.</w:t>
      </w:r>
    </w:p>
    <w:p w14:paraId="6B8C9FF6" w14:textId="77777777" w:rsidR="00CB3F57" w:rsidRPr="00A13B61" w:rsidRDefault="00CB3F57" w:rsidP="003C503A">
      <w:pPr>
        <w:pStyle w:val="Heading3"/>
      </w:pPr>
      <w:bookmarkStart w:id="35" w:name="_Toc25484977"/>
      <w:r w:rsidRPr="00A13B61">
        <w:t>Data collection and quality checks</w:t>
      </w:r>
      <w:bookmarkEnd w:id="35"/>
    </w:p>
    <w:p w14:paraId="0CE18274" w14:textId="77777777" w:rsidR="00CB3F57" w:rsidRPr="00A13B61" w:rsidRDefault="00CB3F57" w:rsidP="00F511BC">
      <w:r w:rsidRPr="00A13B61">
        <w:t>Kantar Public performed the data collection. During the data collection, quality checks were performed based on four key data processing indicators, namely the response rate, accessibility rate, replacement rate, and supervisor matching. They are as follows</w:t>
      </w:r>
    </w:p>
    <w:p w14:paraId="425646C6" w14:textId="77777777" w:rsidR="00CB3F57" w:rsidRPr="00A13B61" w:rsidRDefault="00CB3F57" w:rsidP="00D944E8">
      <w:pPr>
        <w:pStyle w:val="Heading4"/>
      </w:pPr>
      <w:r w:rsidRPr="00A13B61">
        <w:t>Response rate (complete interviews)</w:t>
      </w:r>
    </w:p>
    <w:p w14:paraId="02E60156" w14:textId="1CCE740A" w:rsidR="00CB3F57" w:rsidRPr="00A13B61" w:rsidRDefault="00CB3F57" w:rsidP="00F511BC">
      <w:r w:rsidRPr="00A13B61">
        <w:t xml:space="preserve">The number of consents to participate would inform the response rate from the interview attempts. Over and beyond the number of interviews done, we further assessed the proportion of interviews conducted for the </w:t>
      </w:r>
      <w:r w:rsidR="00025999" w:rsidRPr="00A13B61">
        <w:t xml:space="preserve">stratified </w:t>
      </w:r>
      <w:r w:rsidRPr="00A13B61">
        <w:t xml:space="preserve">random </w:t>
      </w:r>
      <w:r w:rsidR="00025999" w:rsidRPr="00A13B61">
        <w:t xml:space="preserve">sample </w:t>
      </w:r>
      <w:r w:rsidRPr="00A13B61">
        <w:t xml:space="preserve">and </w:t>
      </w:r>
      <w:r w:rsidR="00025999" w:rsidRPr="00A13B61">
        <w:t>over-sampling</w:t>
      </w:r>
      <w:r w:rsidRPr="00A13B61">
        <w:t>. Unmet quotas would be flagged.</w:t>
      </w:r>
    </w:p>
    <w:p w14:paraId="4CCDE6D4" w14:textId="77777777" w:rsidR="00CB3F57" w:rsidRPr="00A13B61" w:rsidRDefault="00CB3F57" w:rsidP="00F511BC"/>
    <w:tbl>
      <w:tblPr>
        <w:tblW w:w="7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0"/>
        <w:gridCol w:w="1706"/>
        <w:gridCol w:w="1322"/>
      </w:tblGrid>
      <w:tr w:rsidR="00CB3F57" w:rsidRPr="00A13B61" w14:paraId="0EE798E3" w14:textId="77777777" w:rsidTr="00EC0A18">
        <w:trPr>
          <w:trHeight w:val="49"/>
          <w:jc w:val="center"/>
        </w:trPr>
        <w:tc>
          <w:tcPr>
            <w:tcW w:w="4610" w:type="dxa"/>
            <w:shd w:val="clear" w:color="000000" w:fill="77B8E4"/>
            <w:noWrap/>
            <w:vAlign w:val="center"/>
            <w:hideMark/>
          </w:tcPr>
          <w:p w14:paraId="121D41C4" w14:textId="0672FE52" w:rsidR="00CB3F57" w:rsidRPr="00A13B61" w:rsidRDefault="00CB3F57" w:rsidP="00F511BC">
            <w:pPr>
              <w:rPr>
                <w:b/>
                <w:bCs/>
              </w:rPr>
            </w:pPr>
            <w:r w:rsidRPr="00A13B61">
              <w:rPr>
                <w:b/>
                <w:bCs/>
              </w:rPr>
              <w:t>Response rate (</w:t>
            </w:r>
            <w:r w:rsidR="00025999" w:rsidRPr="00A13B61">
              <w:rPr>
                <w:b/>
                <w:bCs/>
              </w:rPr>
              <w:t>Stratified r</w:t>
            </w:r>
            <w:r w:rsidRPr="00A13B61">
              <w:rPr>
                <w:b/>
                <w:bCs/>
              </w:rPr>
              <w:t>andom sample)</w:t>
            </w:r>
          </w:p>
        </w:tc>
        <w:tc>
          <w:tcPr>
            <w:tcW w:w="1706" w:type="dxa"/>
            <w:shd w:val="clear" w:color="000000" w:fill="77B8E4"/>
            <w:noWrap/>
            <w:vAlign w:val="center"/>
            <w:hideMark/>
          </w:tcPr>
          <w:p w14:paraId="0770B228" w14:textId="77777777" w:rsidR="00CB3F57" w:rsidRPr="00A13B61" w:rsidRDefault="00CB3F57" w:rsidP="00F511BC">
            <w:pPr>
              <w:rPr>
                <w:b/>
                <w:bCs/>
              </w:rPr>
            </w:pPr>
            <w:r w:rsidRPr="00A13B61">
              <w:rPr>
                <w:b/>
                <w:bCs/>
              </w:rPr>
              <w:t>Percentage</w:t>
            </w:r>
          </w:p>
        </w:tc>
        <w:tc>
          <w:tcPr>
            <w:tcW w:w="1322" w:type="dxa"/>
            <w:shd w:val="clear" w:color="000000" w:fill="77B8E4"/>
            <w:noWrap/>
            <w:vAlign w:val="center"/>
            <w:hideMark/>
          </w:tcPr>
          <w:p w14:paraId="096F539E" w14:textId="77777777" w:rsidR="00CB3F57" w:rsidRPr="00A13B61" w:rsidRDefault="00CB3F57" w:rsidP="00F511BC">
            <w:pPr>
              <w:rPr>
                <w:b/>
                <w:bCs/>
              </w:rPr>
            </w:pPr>
            <w:r w:rsidRPr="00A13B61">
              <w:rPr>
                <w:b/>
                <w:bCs/>
              </w:rPr>
              <w:t>Count</w:t>
            </w:r>
          </w:p>
        </w:tc>
      </w:tr>
      <w:tr w:rsidR="00CB3F57" w:rsidRPr="00A13B61" w14:paraId="3FA45556" w14:textId="77777777" w:rsidTr="00EC0A18">
        <w:trPr>
          <w:trHeight w:val="49"/>
          <w:jc w:val="center"/>
        </w:trPr>
        <w:tc>
          <w:tcPr>
            <w:tcW w:w="4610" w:type="dxa"/>
            <w:shd w:val="clear" w:color="auto" w:fill="auto"/>
            <w:vAlign w:val="center"/>
            <w:hideMark/>
          </w:tcPr>
          <w:p w14:paraId="65E0F0B0" w14:textId="77777777" w:rsidR="00CB3F57" w:rsidRPr="00A13B61" w:rsidRDefault="00CB3F57" w:rsidP="00F511BC">
            <w:r w:rsidRPr="00A13B61">
              <w:t>Yes</w:t>
            </w:r>
          </w:p>
        </w:tc>
        <w:tc>
          <w:tcPr>
            <w:tcW w:w="1706" w:type="dxa"/>
            <w:shd w:val="clear" w:color="auto" w:fill="auto"/>
            <w:noWrap/>
            <w:vAlign w:val="center"/>
          </w:tcPr>
          <w:p w14:paraId="017E80EF" w14:textId="77777777" w:rsidR="00CB3F57" w:rsidRPr="00A13B61" w:rsidRDefault="00CB3F57" w:rsidP="00F511BC">
            <w:pPr>
              <w:rPr>
                <w:rFonts w:eastAsia="Times New Roman" w:cs="Calibri"/>
                <w:color w:val="000000"/>
              </w:rPr>
            </w:pPr>
            <w:r w:rsidRPr="00A13B61">
              <w:t>97%</w:t>
            </w:r>
          </w:p>
        </w:tc>
        <w:tc>
          <w:tcPr>
            <w:tcW w:w="1322" w:type="dxa"/>
            <w:shd w:val="clear" w:color="auto" w:fill="auto"/>
            <w:noWrap/>
            <w:vAlign w:val="center"/>
          </w:tcPr>
          <w:p w14:paraId="6D250100" w14:textId="77777777" w:rsidR="00CB3F57" w:rsidRPr="00A13B61" w:rsidRDefault="00CB3F57" w:rsidP="00F511BC">
            <w:pPr>
              <w:rPr>
                <w:rFonts w:eastAsia="Times New Roman" w:cs="Calibri"/>
                <w:color w:val="000000"/>
              </w:rPr>
            </w:pPr>
            <w:r w:rsidRPr="00A13B61">
              <w:t>16,891</w:t>
            </w:r>
          </w:p>
        </w:tc>
      </w:tr>
      <w:tr w:rsidR="00CB3F57" w:rsidRPr="00A13B61" w14:paraId="1B743BB6" w14:textId="77777777" w:rsidTr="00EC0A18">
        <w:trPr>
          <w:trHeight w:val="49"/>
          <w:jc w:val="center"/>
        </w:trPr>
        <w:tc>
          <w:tcPr>
            <w:tcW w:w="4610" w:type="dxa"/>
            <w:shd w:val="clear" w:color="auto" w:fill="auto"/>
            <w:vAlign w:val="center"/>
          </w:tcPr>
          <w:p w14:paraId="1E6A9EAF" w14:textId="77777777" w:rsidR="00CB3F57" w:rsidRPr="00A13B61" w:rsidRDefault="00CB3F57" w:rsidP="00F511BC">
            <w:r w:rsidRPr="00A13B61">
              <w:t>Interviewer consent on behalf of the respondent in case the respondent just wants to give verbal consent</w:t>
            </w:r>
          </w:p>
        </w:tc>
        <w:tc>
          <w:tcPr>
            <w:tcW w:w="1706" w:type="dxa"/>
            <w:shd w:val="clear" w:color="auto" w:fill="auto"/>
            <w:noWrap/>
            <w:vAlign w:val="center"/>
          </w:tcPr>
          <w:p w14:paraId="7B565C43" w14:textId="77777777" w:rsidR="00CB3F57" w:rsidRPr="00A13B61" w:rsidRDefault="00CB3F57" w:rsidP="00F511BC">
            <w:r w:rsidRPr="00A13B61">
              <w:t>2%</w:t>
            </w:r>
          </w:p>
        </w:tc>
        <w:tc>
          <w:tcPr>
            <w:tcW w:w="1322" w:type="dxa"/>
            <w:shd w:val="clear" w:color="auto" w:fill="auto"/>
            <w:noWrap/>
            <w:vAlign w:val="center"/>
          </w:tcPr>
          <w:p w14:paraId="3B1E7B7D" w14:textId="77777777" w:rsidR="00CB3F57" w:rsidRPr="00A13B61" w:rsidRDefault="00CB3F57" w:rsidP="00F511BC">
            <w:r w:rsidRPr="00A13B61">
              <w:t>419</w:t>
            </w:r>
          </w:p>
        </w:tc>
      </w:tr>
      <w:tr w:rsidR="00CB3F57" w:rsidRPr="00A13B61" w14:paraId="0615DEE3" w14:textId="77777777" w:rsidTr="00EC0A18">
        <w:trPr>
          <w:trHeight w:val="192"/>
          <w:jc w:val="center"/>
        </w:trPr>
        <w:tc>
          <w:tcPr>
            <w:tcW w:w="4610" w:type="dxa"/>
            <w:shd w:val="clear" w:color="auto" w:fill="auto"/>
            <w:vAlign w:val="center"/>
            <w:hideMark/>
          </w:tcPr>
          <w:p w14:paraId="55236BAA" w14:textId="77777777" w:rsidR="00CB3F57" w:rsidRPr="00A13B61" w:rsidRDefault="00CB3F57" w:rsidP="00F511BC">
            <w:r w:rsidRPr="00A13B61">
              <w:t>No</w:t>
            </w:r>
          </w:p>
        </w:tc>
        <w:tc>
          <w:tcPr>
            <w:tcW w:w="1706" w:type="dxa"/>
            <w:shd w:val="clear" w:color="auto" w:fill="auto"/>
            <w:noWrap/>
            <w:vAlign w:val="center"/>
          </w:tcPr>
          <w:p w14:paraId="4AE63B96" w14:textId="77777777" w:rsidR="00CB3F57" w:rsidRPr="00A13B61" w:rsidRDefault="00CB3F57" w:rsidP="00F511BC">
            <w:pPr>
              <w:rPr>
                <w:rFonts w:eastAsia="Times New Roman" w:cs="Calibri"/>
                <w:color w:val="000000"/>
              </w:rPr>
            </w:pPr>
            <w:r w:rsidRPr="00A13B61">
              <w:t>0%</w:t>
            </w:r>
          </w:p>
        </w:tc>
        <w:tc>
          <w:tcPr>
            <w:tcW w:w="1322" w:type="dxa"/>
            <w:shd w:val="clear" w:color="auto" w:fill="auto"/>
            <w:noWrap/>
            <w:vAlign w:val="center"/>
          </w:tcPr>
          <w:p w14:paraId="7D88D9BB" w14:textId="77777777" w:rsidR="00CB3F57" w:rsidRPr="00A13B61" w:rsidRDefault="00CB3F57" w:rsidP="00F511BC">
            <w:pPr>
              <w:rPr>
                <w:rFonts w:eastAsia="Times New Roman" w:cs="Calibri"/>
                <w:color w:val="000000"/>
              </w:rPr>
            </w:pPr>
            <w:r w:rsidRPr="00A13B61">
              <w:t>28</w:t>
            </w:r>
          </w:p>
        </w:tc>
      </w:tr>
      <w:tr w:rsidR="00CB3F57" w:rsidRPr="00A13B61" w14:paraId="6FEDABFF" w14:textId="77777777" w:rsidTr="00EC0A18">
        <w:trPr>
          <w:trHeight w:val="38"/>
          <w:jc w:val="center"/>
        </w:trPr>
        <w:tc>
          <w:tcPr>
            <w:tcW w:w="4610" w:type="dxa"/>
            <w:shd w:val="clear" w:color="auto" w:fill="auto"/>
            <w:vAlign w:val="center"/>
            <w:hideMark/>
          </w:tcPr>
          <w:p w14:paraId="10145900" w14:textId="77777777" w:rsidR="00CB3F57" w:rsidRPr="00A13B61" w:rsidRDefault="00CB3F57" w:rsidP="00F511BC">
            <w:r w:rsidRPr="00A13B61">
              <w:t>Total</w:t>
            </w:r>
          </w:p>
        </w:tc>
        <w:tc>
          <w:tcPr>
            <w:tcW w:w="1706" w:type="dxa"/>
            <w:shd w:val="clear" w:color="auto" w:fill="auto"/>
            <w:noWrap/>
            <w:vAlign w:val="center"/>
          </w:tcPr>
          <w:p w14:paraId="77A700C1" w14:textId="77777777" w:rsidR="00CB3F57" w:rsidRPr="00A13B61" w:rsidRDefault="00CB3F57" w:rsidP="00F511BC">
            <w:pPr>
              <w:rPr>
                <w:rFonts w:eastAsia="Times New Roman" w:cs="Calibri"/>
                <w:color w:val="000000"/>
              </w:rPr>
            </w:pPr>
            <w:r w:rsidRPr="00A13B61">
              <w:t>100%</w:t>
            </w:r>
          </w:p>
        </w:tc>
        <w:tc>
          <w:tcPr>
            <w:tcW w:w="1322" w:type="dxa"/>
            <w:shd w:val="clear" w:color="auto" w:fill="auto"/>
            <w:noWrap/>
            <w:vAlign w:val="center"/>
          </w:tcPr>
          <w:p w14:paraId="5CD4EF50" w14:textId="77777777" w:rsidR="00CB3F57" w:rsidRPr="00A13B61" w:rsidRDefault="00CB3F57" w:rsidP="00F511BC">
            <w:pPr>
              <w:rPr>
                <w:rFonts w:eastAsia="Times New Roman" w:cs="Calibri"/>
                <w:color w:val="000000"/>
              </w:rPr>
            </w:pPr>
            <w:r w:rsidRPr="00A13B61">
              <w:t>17,338</w:t>
            </w:r>
          </w:p>
        </w:tc>
      </w:tr>
    </w:tbl>
    <w:p w14:paraId="0BEC50F9" w14:textId="77777777" w:rsidR="00CB3F57" w:rsidRPr="00A13B61" w:rsidRDefault="00CB3F57" w:rsidP="00F511BC"/>
    <w:tbl>
      <w:tblPr>
        <w:tblW w:w="7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1698"/>
        <w:gridCol w:w="1316"/>
      </w:tblGrid>
      <w:tr w:rsidR="00CB3F57" w:rsidRPr="00A13B61" w14:paraId="18F1D5B9" w14:textId="77777777" w:rsidTr="00EC0A18">
        <w:trPr>
          <w:trHeight w:val="53"/>
          <w:jc w:val="center"/>
        </w:trPr>
        <w:tc>
          <w:tcPr>
            <w:tcW w:w="4590" w:type="dxa"/>
            <w:shd w:val="clear" w:color="000000" w:fill="77B8E4"/>
            <w:noWrap/>
            <w:vAlign w:val="center"/>
            <w:hideMark/>
          </w:tcPr>
          <w:p w14:paraId="03EB1356" w14:textId="51A8130F" w:rsidR="00CB3F57" w:rsidRPr="00A13B61" w:rsidRDefault="00CB3F57" w:rsidP="00F511BC">
            <w:pPr>
              <w:rPr>
                <w:b/>
                <w:bCs/>
              </w:rPr>
            </w:pPr>
            <w:r w:rsidRPr="00A13B61">
              <w:rPr>
                <w:b/>
                <w:bCs/>
              </w:rPr>
              <w:t>Response rate (</w:t>
            </w:r>
            <w:r w:rsidR="00025999" w:rsidRPr="00A13B61">
              <w:rPr>
                <w:b/>
                <w:bCs/>
              </w:rPr>
              <w:t>Over-</w:t>
            </w:r>
            <w:r w:rsidRPr="00A13B61">
              <w:rPr>
                <w:b/>
                <w:bCs/>
              </w:rPr>
              <w:t>sampl</w:t>
            </w:r>
            <w:r w:rsidR="00025999" w:rsidRPr="00A13B61">
              <w:rPr>
                <w:b/>
                <w:bCs/>
              </w:rPr>
              <w:t>ing</w:t>
            </w:r>
            <w:r w:rsidRPr="00A13B61">
              <w:rPr>
                <w:b/>
                <w:bCs/>
              </w:rPr>
              <w:t>)</w:t>
            </w:r>
          </w:p>
        </w:tc>
        <w:tc>
          <w:tcPr>
            <w:tcW w:w="1698" w:type="dxa"/>
            <w:shd w:val="clear" w:color="000000" w:fill="77B8E4"/>
            <w:noWrap/>
            <w:vAlign w:val="center"/>
            <w:hideMark/>
          </w:tcPr>
          <w:p w14:paraId="6C518A87" w14:textId="77777777" w:rsidR="00CB3F57" w:rsidRPr="00A13B61" w:rsidRDefault="00CB3F57" w:rsidP="00F511BC">
            <w:pPr>
              <w:rPr>
                <w:b/>
                <w:bCs/>
              </w:rPr>
            </w:pPr>
            <w:r w:rsidRPr="00A13B61">
              <w:rPr>
                <w:b/>
                <w:bCs/>
              </w:rPr>
              <w:t>Percentage</w:t>
            </w:r>
          </w:p>
        </w:tc>
        <w:tc>
          <w:tcPr>
            <w:tcW w:w="1316" w:type="dxa"/>
            <w:shd w:val="clear" w:color="000000" w:fill="77B8E4"/>
            <w:noWrap/>
            <w:vAlign w:val="center"/>
            <w:hideMark/>
          </w:tcPr>
          <w:p w14:paraId="0F3C5767" w14:textId="77777777" w:rsidR="00CB3F57" w:rsidRPr="00A13B61" w:rsidRDefault="00CB3F57" w:rsidP="00F511BC">
            <w:pPr>
              <w:rPr>
                <w:b/>
                <w:bCs/>
              </w:rPr>
            </w:pPr>
            <w:r w:rsidRPr="00A13B61">
              <w:rPr>
                <w:b/>
                <w:bCs/>
              </w:rPr>
              <w:t>Count</w:t>
            </w:r>
          </w:p>
        </w:tc>
      </w:tr>
      <w:tr w:rsidR="00CB3F57" w:rsidRPr="00A13B61" w14:paraId="240300FF" w14:textId="77777777" w:rsidTr="00EC0A18">
        <w:trPr>
          <w:trHeight w:val="53"/>
          <w:jc w:val="center"/>
        </w:trPr>
        <w:tc>
          <w:tcPr>
            <w:tcW w:w="4590" w:type="dxa"/>
            <w:shd w:val="clear" w:color="auto" w:fill="auto"/>
            <w:vAlign w:val="center"/>
            <w:hideMark/>
          </w:tcPr>
          <w:p w14:paraId="10A0E2BE" w14:textId="77777777" w:rsidR="00CB3F57" w:rsidRPr="00A13B61" w:rsidRDefault="00CB3F57" w:rsidP="00F511BC">
            <w:r w:rsidRPr="00A13B61">
              <w:t>Yes</w:t>
            </w:r>
          </w:p>
        </w:tc>
        <w:tc>
          <w:tcPr>
            <w:tcW w:w="1698" w:type="dxa"/>
            <w:shd w:val="clear" w:color="auto" w:fill="auto"/>
            <w:noWrap/>
            <w:vAlign w:val="center"/>
          </w:tcPr>
          <w:p w14:paraId="07273FE9" w14:textId="77777777" w:rsidR="00CB3F57" w:rsidRPr="00A13B61" w:rsidRDefault="00CB3F57" w:rsidP="00F511BC">
            <w:pPr>
              <w:rPr>
                <w:rFonts w:eastAsia="Times New Roman" w:cs="Calibri"/>
                <w:color w:val="000000"/>
              </w:rPr>
            </w:pPr>
            <w:r w:rsidRPr="00A13B61">
              <w:t>96%</w:t>
            </w:r>
          </w:p>
        </w:tc>
        <w:tc>
          <w:tcPr>
            <w:tcW w:w="1316" w:type="dxa"/>
            <w:shd w:val="clear" w:color="auto" w:fill="auto"/>
            <w:noWrap/>
            <w:vAlign w:val="center"/>
          </w:tcPr>
          <w:p w14:paraId="07CB798E" w14:textId="77777777" w:rsidR="00CB3F57" w:rsidRPr="00A13B61" w:rsidRDefault="00CB3F57" w:rsidP="00F511BC">
            <w:pPr>
              <w:rPr>
                <w:rFonts w:eastAsia="Times New Roman" w:cs="Calibri"/>
                <w:color w:val="000000"/>
              </w:rPr>
            </w:pPr>
            <w:r w:rsidRPr="00A13B61">
              <w:t>1,724</w:t>
            </w:r>
          </w:p>
        </w:tc>
      </w:tr>
      <w:tr w:rsidR="00CB3F57" w:rsidRPr="00A13B61" w14:paraId="194EDD28" w14:textId="77777777" w:rsidTr="00EC0A18">
        <w:trPr>
          <w:trHeight w:val="53"/>
          <w:jc w:val="center"/>
        </w:trPr>
        <w:tc>
          <w:tcPr>
            <w:tcW w:w="4590" w:type="dxa"/>
            <w:shd w:val="clear" w:color="auto" w:fill="auto"/>
            <w:vAlign w:val="center"/>
          </w:tcPr>
          <w:p w14:paraId="224A0A42" w14:textId="77777777" w:rsidR="00CB3F57" w:rsidRPr="00A13B61" w:rsidRDefault="00CB3F57" w:rsidP="00F511BC">
            <w:r w:rsidRPr="00A13B61">
              <w:t>Interviewer consent on behalf of the respondent in case the respondent just wants to give verbal consent</w:t>
            </w:r>
          </w:p>
        </w:tc>
        <w:tc>
          <w:tcPr>
            <w:tcW w:w="1698" w:type="dxa"/>
            <w:shd w:val="clear" w:color="auto" w:fill="auto"/>
            <w:noWrap/>
            <w:vAlign w:val="center"/>
          </w:tcPr>
          <w:p w14:paraId="0D7854BB" w14:textId="77777777" w:rsidR="00CB3F57" w:rsidRPr="00A13B61" w:rsidRDefault="00CB3F57" w:rsidP="00F511BC">
            <w:r w:rsidRPr="00A13B61">
              <w:t>4%</w:t>
            </w:r>
          </w:p>
        </w:tc>
        <w:tc>
          <w:tcPr>
            <w:tcW w:w="1316" w:type="dxa"/>
            <w:shd w:val="clear" w:color="auto" w:fill="auto"/>
            <w:noWrap/>
            <w:vAlign w:val="center"/>
          </w:tcPr>
          <w:p w14:paraId="5C5739BD" w14:textId="77777777" w:rsidR="00CB3F57" w:rsidRPr="00A13B61" w:rsidRDefault="00CB3F57" w:rsidP="00F511BC">
            <w:r w:rsidRPr="00A13B61">
              <w:t>70</w:t>
            </w:r>
          </w:p>
        </w:tc>
      </w:tr>
      <w:tr w:rsidR="00CB3F57" w:rsidRPr="00A13B61" w14:paraId="7604284B" w14:textId="77777777" w:rsidTr="00EC0A18">
        <w:trPr>
          <w:trHeight w:val="206"/>
          <w:jc w:val="center"/>
        </w:trPr>
        <w:tc>
          <w:tcPr>
            <w:tcW w:w="4590" w:type="dxa"/>
            <w:shd w:val="clear" w:color="auto" w:fill="auto"/>
            <w:vAlign w:val="center"/>
            <w:hideMark/>
          </w:tcPr>
          <w:p w14:paraId="018704AD" w14:textId="77777777" w:rsidR="00CB3F57" w:rsidRPr="00A13B61" w:rsidRDefault="00CB3F57" w:rsidP="00F511BC">
            <w:r w:rsidRPr="00A13B61">
              <w:t>No</w:t>
            </w:r>
          </w:p>
        </w:tc>
        <w:tc>
          <w:tcPr>
            <w:tcW w:w="1698" w:type="dxa"/>
            <w:shd w:val="clear" w:color="auto" w:fill="auto"/>
            <w:noWrap/>
            <w:vAlign w:val="center"/>
          </w:tcPr>
          <w:p w14:paraId="33CB1CB7" w14:textId="77777777" w:rsidR="00CB3F57" w:rsidRPr="00A13B61" w:rsidRDefault="00CB3F57" w:rsidP="00F511BC">
            <w:pPr>
              <w:rPr>
                <w:rFonts w:eastAsia="Times New Roman" w:cs="Calibri"/>
                <w:color w:val="000000"/>
              </w:rPr>
            </w:pPr>
            <w:r w:rsidRPr="00A13B61">
              <w:t>0%</w:t>
            </w:r>
          </w:p>
        </w:tc>
        <w:tc>
          <w:tcPr>
            <w:tcW w:w="1316" w:type="dxa"/>
            <w:shd w:val="clear" w:color="auto" w:fill="auto"/>
            <w:noWrap/>
            <w:vAlign w:val="center"/>
          </w:tcPr>
          <w:p w14:paraId="12197758" w14:textId="77777777" w:rsidR="00CB3F57" w:rsidRPr="00A13B61" w:rsidRDefault="00CB3F57" w:rsidP="00F511BC">
            <w:pPr>
              <w:rPr>
                <w:rFonts w:eastAsia="Times New Roman" w:cs="Calibri"/>
                <w:color w:val="000000"/>
              </w:rPr>
            </w:pPr>
            <w:r w:rsidRPr="00A13B61">
              <w:t>5</w:t>
            </w:r>
          </w:p>
        </w:tc>
      </w:tr>
      <w:tr w:rsidR="00CB3F57" w:rsidRPr="00A13B61" w14:paraId="77F2DDBC" w14:textId="77777777" w:rsidTr="00EC0A18">
        <w:trPr>
          <w:trHeight w:val="41"/>
          <w:jc w:val="center"/>
        </w:trPr>
        <w:tc>
          <w:tcPr>
            <w:tcW w:w="4590" w:type="dxa"/>
            <w:shd w:val="clear" w:color="auto" w:fill="auto"/>
            <w:vAlign w:val="center"/>
            <w:hideMark/>
          </w:tcPr>
          <w:p w14:paraId="188ACC15" w14:textId="77777777" w:rsidR="00CB3F57" w:rsidRPr="00A13B61" w:rsidRDefault="00CB3F57" w:rsidP="00F511BC">
            <w:r w:rsidRPr="00A13B61">
              <w:t>Total</w:t>
            </w:r>
          </w:p>
        </w:tc>
        <w:tc>
          <w:tcPr>
            <w:tcW w:w="1698" w:type="dxa"/>
            <w:shd w:val="clear" w:color="auto" w:fill="auto"/>
            <w:noWrap/>
            <w:vAlign w:val="center"/>
          </w:tcPr>
          <w:p w14:paraId="1FC4030B" w14:textId="77777777" w:rsidR="00CB3F57" w:rsidRPr="00A13B61" w:rsidRDefault="00CB3F57" w:rsidP="00F511BC">
            <w:pPr>
              <w:rPr>
                <w:rFonts w:eastAsia="Times New Roman" w:cs="Calibri"/>
                <w:color w:val="000000"/>
              </w:rPr>
            </w:pPr>
            <w:r w:rsidRPr="00A13B61">
              <w:t>100%</w:t>
            </w:r>
          </w:p>
        </w:tc>
        <w:tc>
          <w:tcPr>
            <w:tcW w:w="1316" w:type="dxa"/>
            <w:shd w:val="clear" w:color="auto" w:fill="auto"/>
            <w:noWrap/>
            <w:vAlign w:val="center"/>
          </w:tcPr>
          <w:p w14:paraId="3DB5866D" w14:textId="77777777" w:rsidR="00CB3F57" w:rsidRPr="00A13B61" w:rsidRDefault="00CB3F57" w:rsidP="00F511BC">
            <w:pPr>
              <w:rPr>
                <w:rFonts w:eastAsia="Times New Roman" w:cs="Calibri"/>
                <w:color w:val="000000"/>
              </w:rPr>
            </w:pPr>
            <w:r w:rsidRPr="00A13B61">
              <w:t>1,799</w:t>
            </w:r>
          </w:p>
        </w:tc>
      </w:tr>
    </w:tbl>
    <w:p w14:paraId="3B3162D8" w14:textId="77777777" w:rsidR="00CB3F57" w:rsidRPr="00A13B61" w:rsidRDefault="00CB3F57" w:rsidP="00F511BC"/>
    <w:p w14:paraId="70A9C185" w14:textId="77777777" w:rsidR="00CB3F57" w:rsidRPr="00A13B61" w:rsidRDefault="00CB3F57" w:rsidP="00F511BC"/>
    <w:p w14:paraId="3B720F57" w14:textId="77777777" w:rsidR="00CB3F57" w:rsidRPr="00A13B61" w:rsidRDefault="00CB3F57" w:rsidP="00D944E8">
      <w:pPr>
        <w:pStyle w:val="Heading4"/>
      </w:pPr>
      <w:r w:rsidRPr="00A13B61">
        <w:t>Accessibility rate</w:t>
      </w:r>
    </w:p>
    <w:p w14:paraId="21C3588B" w14:textId="77777777" w:rsidR="00CB3F57" w:rsidRPr="00A13B61" w:rsidRDefault="00CB3F57" w:rsidP="00F511BC">
      <w:r w:rsidRPr="00A13B61">
        <w:t>The number of successful respondents, accessible on the first attempt.</w:t>
      </w:r>
    </w:p>
    <w:p w14:paraId="5E28A177" w14:textId="77777777" w:rsidR="00CB3F57" w:rsidRPr="00A13B61" w:rsidRDefault="00CB3F57" w:rsidP="00F511BC"/>
    <w:tbl>
      <w:tblPr>
        <w:tblW w:w="6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360"/>
        <w:gridCol w:w="1054"/>
      </w:tblGrid>
      <w:tr w:rsidR="00CB3F57" w:rsidRPr="00B11419" w14:paraId="315A05ED" w14:textId="77777777" w:rsidTr="00EC0A18">
        <w:trPr>
          <w:trHeight w:val="54"/>
          <w:jc w:val="center"/>
        </w:trPr>
        <w:tc>
          <w:tcPr>
            <w:tcW w:w="3675" w:type="dxa"/>
            <w:shd w:val="clear" w:color="000000" w:fill="77B8E4"/>
            <w:noWrap/>
            <w:vAlign w:val="center"/>
            <w:hideMark/>
          </w:tcPr>
          <w:p w14:paraId="57C72B52" w14:textId="77777777" w:rsidR="00CB3F57" w:rsidRPr="00B11419" w:rsidRDefault="00CB3F57" w:rsidP="00F511BC">
            <w:pPr>
              <w:rPr>
                <w:b/>
                <w:bCs/>
              </w:rPr>
            </w:pPr>
            <w:r w:rsidRPr="00B11419">
              <w:rPr>
                <w:b/>
                <w:bCs/>
              </w:rPr>
              <w:t>Accessibility rate (Total)</w:t>
            </w:r>
          </w:p>
        </w:tc>
        <w:tc>
          <w:tcPr>
            <w:tcW w:w="1360" w:type="dxa"/>
            <w:shd w:val="clear" w:color="000000" w:fill="77B8E4"/>
            <w:noWrap/>
            <w:vAlign w:val="center"/>
            <w:hideMark/>
          </w:tcPr>
          <w:p w14:paraId="0ED5C182" w14:textId="77777777" w:rsidR="00CB3F57" w:rsidRPr="00B11419" w:rsidRDefault="00CB3F57" w:rsidP="00F511BC">
            <w:pPr>
              <w:rPr>
                <w:b/>
                <w:bCs/>
              </w:rPr>
            </w:pPr>
            <w:r w:rsidRPr="00B11419">
              <w:rPr>
                <w:b/>
                <w:bCs/>
              </w:rPr>
              <w:t>Percentage</w:t>
            </w:r>
          </w:p>
        </w:tc>
        <w:tc>
          <w:tcPr>
            <w:tcW w:w="1054" w:type="dxa"/>
            <w:shd w:val="clear" w:color="000000" w:fill="77B8E4"/>
            <w:noWrap/>
            <w:vAlign w:val="center"/>
            <w:hideMark/>
          </w:tcPr>
          <w:p w14:paraId="396D4E1A" w14:textId="77777777" w:rsidR="00CB3F57" w:rsidRPr="00B11419" w:rsidRDefault="00CB3F57" w:rsidP="00F511BC">
            <w:pPr>
              <w:rPr>
                <w:b/>
                <w:bCs/>
              </w:rPr>
            </w:pPr>
            <w:r w:rsidRPr="00B11419">
              <w:rPr>
                <w:b/>
                <w:bCs/>
              </w:rPr>
              <w:t>Count</w:t>
            </w:r>
          </w:p>
        </w:tc>
      </w:tr>
      <w:tr w:rsidR="00CB3F57" w:rsidRPr="00A13B61" w14:paraId="004397A8" w14:textId="77777777" w:rsidTr="00EC0A18">
        <w:trPr>
          <w:trHeight w:val="54"/>
          <w:jc w:val="center"/>
        </w:trPr>
        <w:tc>
          <w:tcPr>
            <w:tcW w:w="3675" w:type="dxa"/>
            <w:shd w:val="clear" w:color="auto" w:fill="auto"/>
            <w:vAlign w:val="center"/>
            <w:hideMark/>
          </w:tcPr>
          <w:p w14:paraId="65A21DB4" w14:textId="77777777" w:rsidR="00CB3F57" w:rsidRPr="00A13B61" w:rsidRDefault="00CB3F57" w:rsidP="00F511BC">
            <w:r w:rsidRPr="00A13B61">
              <w:t>Yes</w:t>
            </w:r>
          </w:p>
        </w:tc>
        <w:tc>
          <w:tcPr>
            <w:tcW w:w="1360" w:type="dxa"/>
            <w:shd w:val="clear" w:color="auto" w:fill="auto"/>
            <w:noWrap/>
          </w:tcPr>
          <w:p w14:paraId="175A5C9B" w14:textId="77777777" w:rsidR="00CB3F57" w:rsidRPr="00A13B61" w:rsidRDefault="00CB3F57" w:rsidP="00F511BC">
            <w:pPr>
              <w:rPr>
                <w:rFonts w:eastAsia="Times New Roman" w:cs="Calibri"/>
                <w:color w:val="000000"/>
              </w:rPr>
            </w:pPr>
            <w:r w:rsidRPr="00A13B61">
              <w:t>98%</w:t>
            </w:r>
          </w:p>
        </w:tc>
        <w:tc>
          <w:tcPr>
            <w:tcW w:w="1054" w:type="dxa"/>
            <w:shd w:val="clear" w:color="auto" w:fill="auto"/>
            <w:noWrap/>
          </w:tcPr>
          <w:p w14:paraId="009F7477" w14:textId="77777777" w:rsidR="00CB3F57" w:rsidRPr="00A13B61" w:rsidRDefault="00CB3F57" w:rsidP="00F511BC">
            <w:pPr>
              <w:rPr>
                <w:rFonts w:eastAsia="Times New Roman" w:cs="Calibri"/>
                <w:color w:val="000000"/>
              </w:rPr>
            </w:pPr>
            <w:r w:rsidRPr="00A13B61">
              <w:t>19,171</w:t>
            </w:r>
          </w:p>
        </w:tc>
      </w:tr>
      <w:tr w:rsidR="00CB3F57" w:rsidRPr="00A13B61" w14:paraId="50D96BB8" w14:textId="77777777" w:rsidTr="00EC0A18">
        <w:trPr>
          <w:trHeight w:val="209"/>
          <w:jc w:val="center"/>
        </w:trPr>
        <w:tc>
          <w:tcPr>
            <w:tcW w:w="3675" w:type="dxa"/>
            <w:shd w:val="clear" w:color="auto" w:fill="auto"/>
            <w:vAlign w:val="center"/>
            <w:hideMark/>
          </w:tcPr>
          <w:p w14:paraId="3C1DB1C5" w14:textId="77777777" w:rsidR="00CB3F57" w:rsidRPr="00A13B61" w:rsidRDefault="00CB3F57" w:rsidP="00F511BC">
            <w:r w:rsidRPr="00A13B61">
              <w:t>No</w:t>
            </w:r>
          </w:p>
        </w:tc>
        <w:tc>
          <w:tcPr>
            <w:tcW w:w="1360" w:type="dxa"/>
            <w:shd w:val="clear" w:color="auto" w:fill="auto"/>
            <w:noWrap/>
          </w:tcPr>
          <w:p w14:paraId="5A399835" w14:textId="77777777" w:rsidR="00CB3F57" w:rsidRPr="00A13B61" w:rsidRDefault="00CB3F57" w:rsidP="00F511BC">
            <w:pPr>
              <w:rPr>
                <w:rFonts w:eastAsia="Times New Roman" w:cs="Calibri"/>
                <w:color w:val="000000"/>
              </w:rPr>
            </w:pPr>
            <w:r w:rsidRPr="00A13B61">
              <w:t>2%</w:t>
            </w:r>
          </w:p>
        </w:tc>
        <w:tc>
          <w:tcPr>
            <w:tcW w:w="1054" w:type="dxa"/>
            <w:shd w:val="clear" w:color="auto" w:fill="auto"/>
            <w:noWrap/>
          </w:tcPr>
          <w:p w14:paraId="6E912230" w14:textId="77777777" w:rsidR="00CB3F57" w:rsidRPr="00A13B61" w:rsidRDefault="00CB3F57" w:rsidP="00F511BC">
            <w:pPr>
              <w:rPr>
                <w:rFonts w:eastAsia="Times New Roman" w:cs="Calibri"/>
                <w:color w:val="000000"/>
              </w:rPr>
            </w:pPr>
            <w:r w:rsidRPr="00A13B61">
              <w:t>425</w:t>
            </w:r>
          </w:p>
        </w:tc>
      </w:tr>
      <w:tr w:rsidR="00CB3F57" w:rsidRPr="00A13B61" w14:paraId="4B443899" w14:textId="77777777" w:rsidTr="00EC0A18">
        <w:trPr>
          <w:trHeight w:val="42"/>
          <w:jc w:val="center"/>
        </w:trPr>
        <w:tc>
          <w:tcPr>
            <w:tcW w:w="3675" w:type="dxa"/>
            <w:shd w:val="clear" w:color="auto" w:fill="auto"/>
            <w:vAlign w:val="center"/>
            <w:hideMark/>
          </w:tcPr>
          <w:p w14:paraId="40065B6B" w14:textId="77777777" w:rsidR="00CB3F57" w:rsidRPr="00A13B61" w:rsidRDefault="00CB3F57" w:rsidP="00F511BC">
            <w:r w:rsidRPr="00A13B61">
              <w:t>Total</w:t>
            </w:r>
          </w:p>
        </w:tc>
        <w:tc>
          <w:tcPr>
            <w:tcW w:w="1360" w:type="dxa"/>
            <w:shd w:val="clear" w:color="auto" w:fill="auto"/>
            <w:noWrap/>
          </w:tcPr>
          <w:p w14:paraId="4EEDEF16" w14:textId="77777777" w:rsidR="00CB3F57" w:rsidRPr="00A13B61" w:rsidRDefault="00CB3F57" w:rsidP="00F511BC">
            <w:pPr>
              <w:rPr>
                <w:rFonts w:eastAsia="Times New Roman" w:cs="Calibri"/>
                <w:color w:val="000000"/>
              </w:rPr>
            </w:pPr>
            <w:r w:rsidRPr="00A13B61">
              <w:t>100%</w:t>
            </w:r>
          </w:p>
        </w:tc>
        <w:tc>
          <w:tcPr>
            <w:tcW w:w="1054" w:type="dxa"/>
            <w:shd w:val="clear" w:color="auto" w:fill="auto"/>
            <w:noWrap/>
          </w:tcPr>
          <w:p w14:paraId="18FA0951" w14:textId="77777777" w:rsidR="00CB3F57" w:rsidRPr="00A13B61" w:rsidRDefault="00CB3F57" w:rsidP="00F511BC">
            <w:pPr>
              <w:rPr>
                <w:rFonts w:eastAsia="Times New Roman" w:cs="Calibri"/>
                <w:color w:val="000000"/>
              </w:rPr>
            </w:pPr>
            <w:r w:rsidRPr="00A13B61">
              <w:t>19,596</w:t>
            </w:r>
          </w:p>
        </w:tc>
      </w:tr>
    </w:tbl>
    <w:p w14:paraId="133C2D10" w14:textId="77777777" w:rsidR="00CB3F57" w:rsidRPr="00A13B61" w:rsidRDefault="00CB3F57" w:rsidP="00F511BC"/>
    <w:p w14:paraId="06996C5F" w14:textId="77777777" w:rsidR="00CB3F57" w:rsidRPr="00A13B61" w:rsidRDefault="00CB3F57" w:rsidP="00F511BC"/>
    <w:p w14:paraId="46DF3CC5" w14:textId="161A0CD0" w:rsidR="00CB3F57" w:rsidRPr="00A13B61" w:rsidRDefault="00CB3F57" w:rsidP="00F511BC">
      <w:r w:rsidRPr="00A13B61">
        <w:t>Besides the general outlook, this was further broken down into</w:t>
      </w:r>
      <w:r w:rsidR="00025999" w:rsidRPr="00A13B61">
        <w:t xml:space="preserve"> interviews from</w:t>
      </w:r>
      <w:r w:rsidRPr="00A13B61">
        <w:t xml:space="preserve"> </w:t>
      </w:r>
      <w:r w:rsidR="00025999" w:rsidRPr="00A13B61">
        <w:t xml:space="preserve">the stratified </w:t>
      </w:r>
      <w:r w:rsidRPr="00A13B61">
        <w:t xml:space="preserve">random </w:t>
      </w:r>
      <w:r w:rsidR="00025999" w:rsidRPr="00A13B61">
        <w:t xml:space="preserve">sample </w:t>
      </w:r>
      <w:r w:rsidRPr="00A13B61">
        <w:t xml:space="preserve">and </w:t>
      </w:r>
      <w:r w:rsidR="00025999" w:rsidRPr="00A13B61">
        <w:t>over-sampling</w:t>
      </w:r>
      <w:r w:rsidRPr="00A13B61">
        <w:t>.</w:t>
      </w:r>
    </w:p>
    <w:p w14:paraId="7D2B3D9C" w14:textId="77777777" w:rsidR="00CB3F57" w:rsidRPr="00A13B61" w:rsidRDefault="00CB3F57" w:rsidP="00F511BC"/>
    <w:tbl>
      <w:tblPr>
        <w:tblW w:w="6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360"/>
        <w:gridCol w:w="1054"/>
      </w:tblGrid>
      <w:tr w:rsidR="00CB3F57" w:rsidRPr="00B11419" w14:paraId="48FF4F08" w14:textId="77777777" w:rsidTr="003F3F98">
        <w:trPr>
          <w:trHeight w:val="510"/>
          <w:jc w:val="center"/>
        </w:trPr>
        <w:tc>
          <w:tcPr>
            <w:tcW w:w="3675" w:type="dxa"/>
            <w:shd w:val="clear" w:color="000000" w:fill="77B8E4"/>
            <w:noWrap/>
            <w:vAlign w:val="center"/>
            <w:hideMark/>
          </w:tcPr>
          <w:p w14:paraId="7EE78706" w14:textId="38AB38DE" w:rsidR="00CB3F57" w:rsidRPr="00B11419" w:rsidRDefault="00CB3F57" w:rsidP="003F3F98">
            <w:pPr>
              <w:keepNext/>
              <w:spacing w:after="0"/>
              <w:rPr>
                <w:b/>
                <w:bCs/>
              </w:rPr>
            </w:pPr>
            <w:r w:rsidRPr="00B11419">
              <w:rPr>
                <w:b/>
                <w:bCs/>
              </w:rPr>
              <w:t>Accessibility rate (</w:t>
            </w:r>
            <w:r w:rsidR="00025999" w:rsidRPr="00B11419">
              <w:rPr>
                <w:b/>
                <w:bCs/>
              </w:rPr>
              <w:t>Stratified r</w:t>
            </w:r>
            <w:r w:rsidRPr="00B11419">
              <w:rPr>
                <w:b/>
                <w:bCs/>
              </w:rPr>
              <w:t>andom sample)</w:t>
            </w:r>
          </w:p>
        </w:tc>
        <w:tc>
          <w:tcPr>
            <w:tcW w:w="1360" w:type="dxa"/>
            <w:shd w:val="clear" w:color="000000" w:fill="77B8E4"/>
            <w:noWrap/>
            <w:vAlign w:val="center"/>
            <w:hideMark/>
          </w:tcPr>
          <w:p w14:paraId="1333ED0A" w14:textId="77777777" w:rsidR="00CB3F57" w:rsidRPr="00B11419" w:rsidRDefault="00CB3F57" w:rsidP="003F3F98">
            <w:pPr>
              <w:keepNext/>
              <w:spacing w:after="0"/>
              <w:rPr>
                <w:b/>
                <w:bCs/>
              </w:rPr>
            </w:pPr>
            <w:r w:rsidRPr="00B11419">
              <w:rPr>
                <w:b/>
                <w:bCs/>
              </w:rPr>
              <w:t>Percentage</w:t>
            </w:r>
          </w:p>
        </w:tc>
        <w:tc>
          <w:tcPr>
            <w:tcW w:w="1054" w:type="dxa"/>
            <w:shd w:val="clear" w:color="000000" w:fill="77B8E4"/>
            <w:noWrap/>
            <w:vAlign w:val="center"/>
            <w:hideMark/>
          </w:tcPr>
          <w:p w14:paraId="4A1955D9" w14:textId="77777777" w:rsidR="00CB3F57" w:rsidRPr="00B11419" w:rsidRDefault="00CB3F57" w:rsidP="003F3F98">
            <w:pPr>
              <w:keepNext/>
              <w:spacing w:after="0"/>
              <w:rPr>
                <w:b/>
                <w:bCs/>
              </w:rPr>
            </w:pPr>
            <w:r w:rsidRPr="00B11419">
              <w:rPr>
                <w:b/>
                <w:bCs/>
              </w:rPr>
              <w:t>Count</w:t>
            </w:r>
          </w:p>
        </w:tc>
      </w:tr>
      <w:tr w:rsidR="00CB3F57" w:rsidRPr="00A13B61" w14:paraId="25A1F4C4" w14:textId="77777777" w:rsidTr="003F3F98">
        <w:trPr>
          <w:trHeight w:val="244"/>
          <w:jc w:val="center"/>
        </w:trPr>
        <w:tc>
          <w:tcPr>
            <w:tcW w:w="3675" w:type="dxa"/>
            <w:shd w:val="clear" w:color="auto" w:fill="auto"/>
            <w:vAlign w:val="center"/>
            <w:hideMark/>
          </w:tcPr>
          <w:p w14:paraId="0587C0A6" w14:textId="77777777" w:rsidR="00CB3F57" w:rsidRPr="00A13B61" w:rsidRDefault="00CB3F57" w:rsidP="003F3F98">
            <w:pPr>
              <w:keepNext/>
              <w:spacing w:after="0"/>
            </w:pPr>
            <w:r w:rsidRPr="00A13B61">
              <w:t>Yes</w:t>
            </w:r>
          </w:p>
        </w:tc>
        <w:tc>
          <w:tcPr>
            <w:tcW w:w="1360" w:type="dxa"/>
            <w:shd w:val="clear" w:color="auto" w:fill="auto"/>
            <w:noWrap/>
          </w:tcPr>
          <w:p w14:paraId="43F65282" w14:textId="77777777" w:rsidR="00CB3F57" w:rsidRPr="00A13B61" w:rsidRDefault="00CB3F57" w:rsidP="003F3F98">
            <w:pPr>
              <w:keepNext/>
              <w:spacing w:after="0"/>
              <w:rPr>
                <w:rFonts w:eastAsia="Times New Roman" w:cs="Calibri"/>
                <w:color w:val="000000"/>
              </w:rPr>
            </w:pPr>
            <w:r w:rsidRPr="00A13B61">
              <w:t>98%</w:t>
            </w:r>
          </w:p>
        </w:tc>
        <w:tc>
          <w:tcPr>
            <w:tcW w:w="1054" w:type="dxa"/>
            <w:shd w:val="clear" w:color="auto" w:fill="auto"/>
            <w:noWrap/>
          </w:tcPr>
          <w:p w14:paraId="5BC81386" w14:textId="77777777" w:rsidR="00CB3F57" w:rsidRPr="00A13B61" w:rsidRDefault="00CB3F57" w:rsidP="003F3F98">
            <w:pPr>
              <w:keepNext/>
              <w:spacing w:after="0"/>
              <w:rPr>
                <w:rFonts w:eastAsia="Times New Roman" w:cs="Calibri"/>
                <w:color w:val="000000"/>
              </w:rPr>
            </w:pPr>
            <w:r w:rsidRPr="00A13B61">
              <w:t>17,398</w:t>
            </w:r>
          </w:p>
        </w:tc>
      </w:tr>
      <w:tr w:rsidR="00CB3F57" w:rsidRPr="00A13B61" w14:paraId="2D7AF427" w14:textId="77777777" w:rsidTr="003F3F98">
        <w:trPr>
          <w:trHeight w:val="244"/>
          <w:jc w:val="center"/>
        </w:trPr>
        <w:tc>
          <w:tcPr>
            <w:tcW w:w="3675" w:type="dxa"/>
            <w:shd w:val="clear" w:color="auto" w:fill="auto"/>
            <w:vAlign w:val="center"/>
            <w:hideMark/>
          </w:tcPr>
          <w:p w14:paraId="5137CB0F" w14:textId="77777777" w:rsidR="00CB3F57" w:rsidRPr="00A13B61" w:rsidRDefault="00CB3F57" w:rsidP="003F3F98">
            <w:pPr>
              <w:keepNext/>
              <w:spacing w:after="0"/>
            </w:pPr>
            <w:r w:rsidRPr="00A13B61">
              <w:t>No</w:t>
            </w:r>
          </w:p>
        </w:tc>
        <w:tc>
          <w:tcPr>
            <w:tcW w:w="1360" w:type="dxa"/>
            <w:shd w:val="clear" w:color="auto" w:fill="auto"/>
            <w:noWrap/>
          </w:tcPr>
          <w:p w14:paraId="6475DFB4" w14:textId="77777777" w:rsidR="00CB3F57" w:rsidRPr="00A13B61" w:rsidRDefault="00CB3F57" w:rsidP="003F3F98">
            <w:pPr>
              <w:keepNext/>
              <w:spacing w:after="0"/>
              <w:rPr>
                <w:rFonts w:eastAsia="Times New Roman" w:cs="Calibri"/>
                <w:color w:val="000000"/>
              </w:rPr>
            </w:pPr>
            <w:r w:rsidRPr="00A13B61">
              <w:t>2%</w:t>
            </w:r>
          </w:p>
        </w:tc>
        <w:tc>
          <w:tcPr>
            <w:tcW w:w="1054" w:type="dxa"/>
            <w:shd w:val="clear" w:color="auto" w:fill="auto"/>
            <w:noWrap/>
          </w:tcPr>
          <w:p w14:paraId="1913F3C1" w14:textId="77777777" w:rsidR="00CB3F57" w:rsidRPr="00A13B61" w:rsidRDefault="00CB3F57" w:rsidP="003F3F98">
            <w:pPr>
              <w:keepNext/>
              <w:spacing w:after="0"/>
              <w:rPr>
                <w:rFonts w:eastAsia="Times New Roman" w:cs="Calibri"/>
                <w:color w:val="000000"/>
              </w:rPr>
            </w:pPr>
            <w:r w:rsidRPr="00A13B61">
              <w:t>399</w:t>
            </w:r>
          </w:p>
        </w:tc>
      </w:tr>
      <w:tr w:rsidR="00CB3F57" w:rsidRPr="00A13B61" w14:paraId="2A8996C4" w14:textId="77777777" w:rsidTr="003F3F98">
        <w:trPr>
          <w:trHeight w:val="244"/>
          <w:jc w:val="center"/>
        </w:trPr>
        <w:tc>
          <w:tcPr>
            <w:tcW w:w="3675" w:type="dxa"/>
            <w:shd w:val="clear" w:color="auto" w:fill="auto"/>
            <w:vAlign w:val="center"/>
            <w:hideMark/>
          </w:tcPr>
          <w:p w14:paraId="60F5491E" w14:textId="77777777" w:rsidR="00CB3F57" w:rsidRPr="00A13B61" w:rsidRDefault="00CB3F57" w:rsidP="003F3F98">
            <w:pPr>
              <w:keepNext/>
              <w:spacing w:after="0"/>
            </w:pPr>
            <w:r w:rsidRPr="00A13B61">
              <w:t>Total</w:t>
            </w:r>
          </w:p>
        </w:tc>
        <w:tc>
          <w:tcPr>
            <w:tcW w:w="1360" w:type="dxa"/>
            <w:shd w:val="clear" w:color="auto" w:fill="auto"/>
            <w:noWrap/>
          </w:tcPr>
          <w:p w14:paraId="3D02F2A5" w14:textId="77777777" w:rsidR="00CB3F57" w:rsidRPr="00A13B61" w:rsidRDefault="00CB3F57" w:rsidP="003F3F98">
            <w:pPr>
              <w:keepNext/>
              <w:spacing w:after="0"/>
              <w:rPr>
                <w:rFonts w:eastAsia="Times New Roman" w:cs="Calibri"/>
                <w:color w:val="000000"/>
              </w:rPr>
            </w:pPr>
            <w:r w:rsidRPr="00A13B61">
              <w:t>100%</w:t>
            </w:r>
          </w:p>
        </w:tc>
        <w:tc>
          <w:tcPr>
            <w:tcW w:w="1054" w:type="dxa"/>
            <w:shd w:val="clear" w:color="auto" w:fill="auto"/>
            <w:noWrap/>
          </w:tcPr>
          <w:p w14:paraId="35236940" w14:textId="77777777" w:rsidR="00CB3F57" w:rsidRPr="00A13B61" w:rsidRDefault="00CB3F57" w:rsidP="003F3F98">
            <w:pPr>
              <w:keepNext/>
              <w:spacing w:after="0"/>
              <w:rPr>
                <w:rFonts w:eastAsia="Times New Roman" w:cs="Calibri"/>
                <w:color w:val="000000"/>
              </w:rPr>
            </w:pPr>
            <w:r w:rsidRPr="00A13B61">
              <w:t>17,797</w:t>
            </w:r>
          </w:p>
        </w:tc>
      </w:tr>
    </w:tbl>
    <w:p w14:paraId="7B69A0DC" w14:textId="77777777" w:rsidR="00CB3F57" w:rsidRPr="00A13B61" w:rsidRDefault="00CB3F57" w:rsidP="00F511BC"/>
    <w:tbl>
      <w:tblPr>
        <w:tblW w:w="6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360"/>
        <w:gridCol w:w="1054"/>
      </w:tblGrid>
      <w:tr w:rsidR="00CB3F57" w:rsidRPr="00B11419" w14:paraId="0BBBFA3E" w14:textId="77777777" w:rsidTr="003F3F98">
        <w:trPr>
          <w:trHeight w:val="340"/>
          <w:jc w:val="center"/>
        </w:trPr>
        <w:tc>
          <w:tcPr>
            <w:tcW w:w="3675" w:type="dxa"/>
            <w:shd w:val="clear" w:color="000000" w:fill="77B8E4"/>
            <w:noWrap/>
            <w:vAlign w:val="center"/>
            <w:hideMark/>
          </w:tcPr>
          <w:p w14:paraId="1E4D18F3" w14:textId="2EF18BA6" w:rsidR="00CB3F57" w:rsidRPr="00B11419" w:rsidRDefault="00CB3F57" w:rsidP="003F3F98">
            <w:pPr>
              <w:spacing w:after="0"/>
              <w:rPr>
                <w:b/>
                <w:bCs/>
              </w:rPr>
            </w:pPr>
            <w:r w:rsidRPr="00B11419">
              <w:rPr>
                <w:b/>
                <w:bCs/>
              </w:rPr>
              <w:t>Accessibility rate (</w:t>
            </w:r>
            <w:r w:rsidR="00025999" w:rsidRPr="00B11419">
              <w:rPr>
                <w:b/>
                <w:bCs/>
              </w:rPr>
              <w:t>Over-sampling</w:t>
            </w:r>
            <w:r w:rsidRPr="00B11419">
              <w:rPr>
                <w:b/>
                <w:bCs/>
              </w:rPr>
              <w:t>)</w:t>
            </w:r>
          </w:p>
        </w:tc>
        <w:tc>
          <w:tcPr>
            <w:tcW w:w="1360" w:type="dxa"/>
            <w:shd w:val="clear" w:color="000000" w:fill="77B8E4"/>
            <w:noWrap/>
            <w:vAlign w:val="center"/>
            <w:hideMark/>
          </w:tcPr>
          <w:p w14:paraId="0EC2F407" w14:textId="77777777" w:rsidR="00CB3F57" w:rsidRPr="00B11419" w:rsidRDefault="00CB3F57" w:rsidP="003F3F98">
            <w:pPr>
              <w:spacing w:after="0"/>
              <w:rPr>
                <w:b/>
                <w:bCs/>
              </w:rPr>
            </w:pPr>
            <w:r w:rsidRPr="00B11419">
              <w:rPr>
                <w:b/>
                <w:bCs/>
              </w:rPr>
              <w:t>Percentage</w:t>
            </w:r>
          </w:p>
        </w:tc>
        <w:tc>
          <w:tcPr>
            <w:tcW w:w="1054" w:type="dxa"/>
            <w:shd w:val="clear" w:color="000000" w:fill="77B8E4"/>
            <w:noWrap/>
            <w:vAlign w:val="center"/>
            <w:hideMark/>
          </w:tcPr>
          <w:p w14:paraId="68186A89" w14:textId="77777777" w:rsidR="00CB3F57" w:rsidRPr="00B11419" w:rsidRDefault="00CB3F57" w:rsidP="003F3F98">
            <w:pPr>
              <w:spacing w:after="0"/>
              <w:rPr>
                <w:b/>
                <w:bCs/>
              </w:rPr>
            </w:pPr>
            <w:r w:rsidRPr="00B11419">
              <w:rPr>
                <w:b/>
                <w:bCs/>
              </w:rPr>
              <w:t>Count</w:t>
            </w:r>
          </w:p>
        </w:tc>
      </w:tr>
      <w:tr w:rsidR="00CB3F57" w:rsidRPr="00A13B61" w14:paraId="008AF680" w14:textId="77777777" w:rsidTr="003F3F98">
        <w:trPr>
          <w:trHeight w:val="244"/>
          <w:jc w:val="center"/>
        </w:trPr>
        <w:tc>
          <w:tcPr>
            <w:tcW w:w="3675" w:type="dxa"/>
            <w:shd w:val="clear" w:color="auto" w:fill="auto"/>
            <w:vAlign w:val="center"/>
            <w:hideMark/>
          </w:tcPr>
          <w:p w14:paraId="457BC24A" w14:textId="77777777" w:rsidR="00CB3F57" w:rsidRPr="00A13B61" w:rsidRDefault="00CB3F57" w:rsidP="003F3F98">
            <w:pPr>
              <w:spacing w:after="0"/>
            </w:pPr>
            <w:r w:rsidRPr="00A13B61">
              <w:t>Yes</w:t>
            </w:r>
          </w:p>
        </w:tc>
        <w:tc>
          <w:tcPr>
            <w:tcW w:w="1360" w:type="dxa"/>
            <w:shd w:val="clear" w:color="auto" w:fill="auto"/>
            <w:noWrap/>
          </w:tcPr>
          <w:p w14:paraId="37D95957" w14:textId="77777777" w:rsidR="00CB3F57" w:rsidRPr="00A13B61" w:rsidRDefault="00CB3F57" w:rsidP="003F3F98">
            <w:pPr>
              <w:spacing w:after="0"/>
              <w:rPr>
                <w:rFonts w:eastAsia="Times New Roman" w:cs="Calibri"/>
                <w:color w:val="000000"/>
              </w:rPr>
            </w:pPr>
            <w:r w:rsidRPr="00A13B61">
              <w:t>99%</w:t>
            </w:r>
          </w:p>
        </w:tc>
        <w:tc>
          <w:tcPr>
            <w:tcW w:w="1054" w:type="dxa"/>
            <w:shd w:val="clear" w:color="auto" w:fill="auto"/>
            <w:noWrap/>
          </w:tcPr>
          <w:p w14:paraId="28452AE2" w14:textId="77777777" w:rsidR="00CB3F57" w:rsidRPr="00A13B61" w:rsidRDefault="00CB3F57" w:rsidP="003F3F98">
            <w:pPr>
              <w:spacing w:after="0"/>
              <w:rPr>
                <w:rFonts w:eastAsia="Times New Roman" w:cs="Calibri"/>
                <w:color w:val="000000"/>
              </w:rPr>
            </w:pPr>
            <w:r w:rsidRPr="00A13B61">
              <w:t>1,773</w:t>
            </w:r>
          </w:p>
        </w:tc>
      </w:tr>
      <w:tr w:rsidR="00CB3F57" w:rsidRPr="00A13B61" w14:paraId="1BD12C6F" w14:textId="77777777" w:rsidTr="003F3F98">
        <w:trPr>
          <w:trHeight w:val="244"/>
          <w:jc w:val="center"/>
        </w:trPr>
        <w:tc>
          <w:tcPr>
            <w:tcW w:w="3675" w:type="dxa"/>
            <w:shd w:val="clear" w:color="auto" w:fill="auto"/>
            <w:vAlign w:val="center"/>
            <w:hideMark/>
          </w:tcPr>
          <w:p w14:paraId="6E1F2A2B" w14:textId="77777777" w:rsidR="00CB3F57" w:rsidRPr="00A13B61" w:rsidRDefault="00CB3F57" w:rsidP="003F3F98">
            <w:pPr>
              <w:spacing w:after="0"/>
            </w:pPr>
            <w:r w:rsidRPr="00A13B61">
              <w:t>No</w:t>
            </w:r>
          </w:p>
        </w:tc>
        <w:tc>
          <w:tcPr>
            <w:tcW w:w="1360" w:type="dxa"/>
            <w:shd w:val="clear" w:color="auto" w:fill="auto"/>
            <w:noWrap/>
          </w:tcPr>
          <w:p w14:paraId="3CA1B121" w14:textId="77777777" w:rsidR="00CB3F57" w:rsidRPr="00A13B61" w:rsidRDefault="00CB3F57" w:rsidP="003F3F98">
            <w:pPr>
              <w:spacing w:after="0"/>
              <w:rPr>
                <w:rFonts w:eastAsia="Times New Roman" w:cs="Calibri"/>
                <w:color w:val="000000"/>
              </w:rPr>
            </w:pPr>
            <w:r w:rsidRPr="00A13B61">
              <w:t>1%</w:t>
            </w:r>
          </w:p>
        </w:tc>
        <w:tc>
          <w:tcPr>
            <w:tcW w:w="1054" w:type="dxa"/>
            <w:shd w:val="clear" w:color="auto" w:fill="auto"/>
            <w:noWrap/>
          </w:tcPr>
          <w:p w14:paraId="22150799" w14:textId="77777777" w:rsidR="00CB3F57" w:rsidRPr="00A13B61" w:rsidRDefault="00CB3F57" w:rsidP="003F3F98">
            <w:pPr>
              <w:spacing w:after="0"/>
              <w:rPr>
                <w:rFonts w:eastAsia="Times New Roman" w:cs="Calibri"/>
                <w:color w:val="000000"/>
              </w:rPr>
            </w:pPr>
            <w:r w:rsidRPr="00A13B61">
              <w:t>26</w:t>
            </w:r>
          </w:p>
        </w:tc>
      </w:tr>
      <w:tr w:rsidR="00CB3F57" w:rsidRPr="00A13B61" w14:paraId="115784DE" w14:textId="77777777" w:rsidTr="003F3F98">
        <w:trPr>
          <w:trHeight w:val="244"/>
          <w:jc w:val="center"/>
        </w:trPr>
        <w:tc>
          <w:tcPr>
            <w:tcW w:w="3675" w:type="dxa"/>
            <w:shd w:val="clear" w:color="auto" w:fill="auto"/>
            <w:vAlign w:val="center"/>
            <w:hideMark/>
          </w:tcPr>
          <w:p w14:paraId="42A26C79" w14:textId="77777777" w:rsidR="00CB3F57" w:rsidRPr="00A13B61" w:rsidRDefault="00CB3F57" w:rsidP="003F3F98">
            <w:pPr>
              <w:spacing w:after="0"/>
            </w:pPr>
            <w:r w:rsidRPr="00A13B61">
              <w:t>Total</w:t>
            </w:r>
          </w:p>
        </w:tc>
        <w:tc>
          <w:tcPr>
            <w:tcW w:w="1360" w:type="dxa"/>
            <w:shd w:val="clear" w:color="auto" w:fill="auto"/>
            <w:noWrap/>
          </w:tcPr>
          <w:p w14:paraId="6C28491A" w14:textId="77777777" w:rsidR="00CB3F57" w:rsidRPr="00A13B61" w:rsidRDefault="00CB3F57" w:rsidP="003F3F98">
            <w:pPr>
              <w:spacing w:after="0"/>
              <w:rPr>
                <w:rFonts w:eastAsia="Times New Roman" w:cs="Calibri"/>
                <w:color w:val="000000"/>
              </w:rPr>
            </w:pPr>
            <w:r w:rsidRPr="00A13B61">
              <w:t>100%</w:t>
            </w:r>
          </w:p>
        </w:tc>
        <w:tc>
          <w:tcPr>
            <w:tcW w:w="1054" w:type="dxa"/>
            <w:shd w:val="clear" w:color="auto" w:fill="auto"/>
            <w:noWrap/>
          </w:tcPr>
          <w:p w14:paraId="608960E8" w14:textId="77777777" w:rsidR="00CB3F57" w:rsidRPr="00A13B61" w:rsidRDefault="00CB3F57" w:rsidP="003F3F98">
            <w:pPr>
              <w:spacing w:after="0"/>
              <w:rPr>
                <w:rFonts w:eastAsia="Times New Roman" w:cs="Calibri"/>
                <w:color w:val="000000"/>
              </w:rPr>
            </w:pPr>
            <w:r w:rsidRPr="00A13B61">
              <w:t>1,799</w:t>
            </w:r>
          </w:p>
        </w:tc>
      </w:tr>
    </w:tbl>
    <w:p w14:paraId="6590F14B" w14:textId="77777777" w:rsidR="00CB3F57" w:rsidRPr="00A13B61" w:rsidRDefault="00CB3F57" w:rsidP="00F511BC"/>
    <w:p w14:paraId="0485B061" w14:textId="77777777" w:rsidR="00CB3F57" w:rsidRPr="00A13B61" w:rsidRDefault="00CB3F57" w:rsidP="00F511BC"/>
    <w:p w14:paraId="17CC1C75" w14:textId="77777777" w:rsidR="00CB3F57" w:rsidRPr="00A13B61" w:rsidRDefault="00CB3F57" w:rsidP="00D944E8">
      <w:pPr>
        <w:pStyle w:val="Heading4"/>
      </w:pPr>
      <w:r w:rsidRPr="00A13B61">
        <w:t>Replacement rate</w:t>
      </w:r>
    </w:p>
    <w:p w14:paraId="0C6C7638" w14:textId="77777777" w:rsidR="00CB3F57" w:rsidRPr="00A13B61" w:rsidRDefault="00CB3F57" w:rsidP="00F511BC">
      <w:r w:rsidRPr="00A13B61">
        <w:t xml:space="preserve">Respondent replacement was tracked to assess the number of drop-offs at the consent question. These interviews were then checked across the enumerators with the aim of flagging alarming patterns such as numerous replacements by certain enumerators. Incorrect replacements by gender and age group were also flagged. </w:t>
      </w:r>
    </w:p>
    <w:p w14:paraId="38000149" w14:textId="77777777" w:rsidR="00CB3F57" w:rsidRPr="00A13B61" w:rsidRDefault="00CB3F57" w:rsidP="00F511BC"/>
    <w:tbl>
      <w:tblPr>
        <w:tblW w:w="4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360"/>
        <w:gridCol w:w="1054"/>
      </w:tblGrid>
      <w:tr w:rsidR="00CB3F57" w:rsidRPr="00B11419" w14:paraId="1D99F458" w14:textId="77777777" w:rsidTr="003F3F98">
        <w:trPr>
          <w:trHeight w:val="340"/>
          <w:jc w:val="center"/>
        </w:trPr>
        <w:tc>
          <w:tcPr>
            <w:tcW w:w="2074" w:type="dxa"/>
            <w:shd w:val="clear" w:color="000000" w:fill="77B8E4"/>
            <w:noWrap/>
            <w:vAlign w:val="center"/>
            <w:hideMark/>
          </w:tcPr>
          <w:p w14:paraId="733E172C" w14:textId="77777777" w:rsidR="00CB3F57" w:rsidRPr="00B11419" w:rsidRDefault="00CB3F57" w:rsidP="003F3F98">
            <w:pPr>
              <w:spacing w:after="0"/>
              <w:rPr>
                <w:b/>
                <w:bCs/>
              </w:rPr>
            </w:pPr>
            <w:r w:rsidRPr="00B11419">
              <w:rPr>
                <w:b/>
                <w:bCs/>
              </w:rPr>
              <w:t>Replacement rate</w:t>
            </w:r>
          </w:p>
        </w:tc>
        <w:tc>
          <w:tcPr>
            <w:tcW w:w="1360" w:type="dxa"/>
            <w:shd w:val="clear" w:color="000000" w:fill="77B8E4"/>
            <w:noWrap/>
            <w:vAlign w:val="center"/>
            <w:hideMark/>
          </w:tcPr>
          <w:p w14:paraId="300BE208" w14:textId="77777777" w:rsidR="00CB3F57" w:rsidRPr="00B11419" w:rsidRDefault="00CB3F57" w:rsidP="003F3F98">
            <w:pPr>
              <w:spacing w:after="0"/>
              <w:rPr>
                <w:b/>
                <w:bCs/>
              </w:rPr>
            </w:pPr>
            <w:r w:rsidRPr="00B11419">
              <w:rPr>
                <w:b/>
                <w:bCs/>
              </w:rPr>
              <w:t>Percentage</w:t>
            </w:r>
          </w:p>
        </w:tc>
        <w:tc>
          <w:tcPr>
            <w:tcW w:w="1054" w:type="dxa"/>
            <w:shd w:val="clear" w:color="000000" w:fill="77B8E4"/>
            <w:noWrap/>
            <w:vAlign w:val="center"/>
            <w:hideMark/>
          </w:tcPr>
          <w:p w14:paraId="52EB07E0" w14:textId="77777777" w:rsidR="00CB3F57" w:rsidRPr="00B11419" w:rsidRDefault="00CB3F57" w:rsidP="003F3F98">
            <w:pPr>
              <w:spacing w:after="0"/>
              <w:rPr>
                <w:b/>
                <w:bCs/>
              </w:rPr>
            </w:pPr>
            <w:r w:rsidRPr="00B11419">
              <w:rPr>
                <w:b/>
                <w:bCs/>
              </w:rPr>
              <w:t>Count</w:t>
            </w:r>
          </w:p>
        </w:tc>
      </w:tr>
      <w:tr w:rsidR="00CB3F57" w:rsidRPr="00A13B61" w14:paraId="21C16A61" w14:textId="77777777" w:rsidTr="003F3F98">
        <w:trPr>
          <w:trHeight w:val="244"/>
          <w:jc w:val="center"/>
        </w:trPr>
        <w:tc>
          <w:tcPr>
            <w:tcW w:w="2074" w:type="dxa"/>
            <w:shd w:val="clear" w:color="auto" w:fill="auto"/>
            <w:vAlign w:val="center"/>
            <w:hideMark/>
          </w:tcPr>
          <w:p w14:paraId="363F90E3" w14:textId="77777777" w:rsidR="00CB3F57" w:rsidRPr="00A13B61" w:rsidRDefault="00CB3F57" w:rsidP="003F3F98">
            <w:pPr>
              <w:spacing w:after="0"/>
            </w:pPr>
            <w:r w:rsidRPr="00A13B61">
              <w:t>Yes</w:t>
            </w:r>
          </w:p>
        </w:tc>
        <w:tc>
          <w:tcPr>
            <w:tcW w:w="1360" w:type="dxa"/>
            <w:shd w:val="clear" w:color="auto" w:fill="auto"/>
            <w:noWrap/>
          </w:tcPr>
          <w:p w14:paraId="3FA621CB" w14:textId="77777777" w:rsidR="00CB3F57" w:rsidRPr="003F3F98" w:rsidRDefault="00CB3F57" w:rsidP="003F3F98">
            <w:pPr>
              <w:spacing w:after="0"/>
              <w:rPr>
                <w:rFonts w:cstheme="minorBidi"/>
              </w:rPr>
            </w:pPr>
            <w:r w:rsidRPr="00A13B61">
              <w:t>2%</w:t>
            </w:r>
          </w:p>
        </w:tc>
        <w:tc>
          <w:tcPr>
            <w:tcW w:w="1054" w:type="dxa"/>
            <w:shd w:val="clear" w:color="auto" w:fill="auto"/>
            <w:noWrap/>
          </w:tcPr>
          <w:p w14:paraId="636B2D9A" w14:textId="77777777" w:rsidR="00CB3F57" w:rsidRPr="003F3F98" w:rsidRDefault="00CB3F57" w:rsidP="003F3F98">
            <w:pPr>
              <w:spacing w:after="0"/>
              <w:rPr>
                <w:rFonts w:cstheme="minorBidi"/>
              </w:rPr>
            </w:pPr>
            <w:r w:rsidRPr="00A13B61">
              <w:t>344</w:t>
            </w:r>
          </w:p>
        </w:tc>
      </w:tr>
      <w:tr w:rsidR="00CB3F57" w:rsidRPr="00A13B61" w14:paraId="54A99411" w14:textId="77777777" w:rsidTr="003F3F98">
        <w:trPr>
          <w:trHeight w:val="244"/>
          <w:jc w:val="center"/>
        </w:trPr>
        <w:tc>
          <w:tcPr>
            <w:tcW w:w="2074" w:type="dxa"/>
            <w:shd w:val="clear" w:color="auto" w:fill="auto"/>
            <w:vAlign w:val="center"/>
            <w:hideMark/>
          </w:tcPr>
          <w:p w14:paraId="141AC144" w14:textId="77777777" w:rsidR="00CB3F57" w:rsidRPr="00A13B61" w:rsidRDefault="00CB3F57" w:rsidP="003F3F98">
            <w:pPr>
              <w:spacing w:after="0"/>
            </w:pPr>
            <w:r w:rsidRPr="00A13B61">
              <w:t>No</w:t>
            </w:r>
          </w:p>
        </w:tc>
        <w:tc>
          <w:tcPr>
            <w:tcW w:w="1360" w:type="dxa"/>
            <w:shd w:val="clear" w:color="auto" w:fill="auto"/>
            <w:noWrap/>
          </w:tcPr>
          <w:p w14:paraId="6174FFC1" w14:textId="77777777" w:rsidR="00CB3F57" w:rsidRPr="003F3F98" w:rsidRDefault="00CB3F57" w:rsidP="003F3F98">
            <w:pPr>
              <w:spacing w:after="0"/>
              <w:rPr>
                <w:rFonts w:cstheme="minorBidi"/>
              </w:rPr>
            </w:pPr>
            <w:r w:rsidRPr="00A13B61">
              <w:t>98%</w:t>
            </w:r>
          </w:p>
        </w:tc>
        <w:tc>
          <w:tcPr>
            <w:tcW w:w="1054" w:type="dxa"/>
            <w:shd w:val="clear" w:color="auto" w:fill="auto"/>
            <w:noWrap/>
          </w:tcPr>
          <w:p w14:paraId="608475D7" w14:textId="77777777" w:rsidR="00CB3F57" w:rsidRPr="003F3F98" w:rsidRDefault="00CB3F57" w:rsidP="003F3F98">
            <w:pPr>
              <w:spacing w:after="0"/>
              <w:rPr>
                <w:rFonts w:cstheme="minorBidi"/>
              </w:rPr>
            </w:pPr>
            <w:r w:rsidRPr="00A13B61">
              <w:t>17,453</w:t>
            </w:r>
          </w:p>
        </w:tc>
      </w:tr>
      <w:tr w:rsidR="00CB3F57" w:rsidRPr="00A13B61" w14:paraId="639142CD" w14:textId="77777777" w:rsidTr="003F3F98">
        <w:trPr>
          <w:trHeight w:val="244"/>
          <w:jc w:val="center"/>
        </w:trPr>
        <w:tc>
          <w:tcPr>
            <w:tcW w:w="2074" w:type="dxa"/>
            <w:shd w:val="clear" w:color="auto" w:fill="auto"/>
            <w:vAlign w:val="center"/>
            <w:hideMark/>
          </w:tcPr>
          <w:p w14:paraId="08A23DA6" w14:textId="77777777" w:rsidR="00CB3F57" w:rsidRPr="00A13B61" w:rsidRDefault="00CB3F57" w:rsidP="003F3F98">
            <w:pPr>
              <w:spacing w:after="0"/>
            </w:pPr>
            <w:r w:rsidRPr="00A13B61">
              <w:t>Total</w:t>
            </w:r>
          </w:p>
        </w:tc>
        <w:tc>
          <w:tcPr>
            <w:tcW w:w="1360" w:type="dxa"/>
            <w:shd w:val="clear" w:color="auto" w:fill="auto"/>
            <w:noWrap/>
          </w:tcPr>
          <w:p w14:paraId="5323CB3E" w14:textId="77777777" w:rsidR="00CB3F57" w:rsidRPr="003F3F98" w:rsidRDefault="00CB3F57" w:rsidP="003F3F98">
            <w:pPr>
              <w:spacing w:after="0"/>
              <w:rPr>
                <w:rFonts w:cstheme="minorBidi"/>
              </w:rPr>
            </w:pPr>
            <w:r w:rsidRPr="00A13B61">
              <w:t>100%</w:t>
            </w:r>
          </w:p>
        </w:tc>
        <w:tc>
          <w:tcPr>
            <w:tcW w:w="1054" w:type="dxa"/>
            <w:shd w:val="clear" w:color="auto" w:fill="auto"/>
            <w:noWrap/>
          </w:tcPr>
          <w:p w14:paraId="1F38DD5F" w14:textId="77777777" w:rsidR="00CB3F57" w:rsidRPr="003F3F98" w:rsidRDefault="00CB3F57" w:rsidP="003F3F98">
            <w:pPr>
              <w:spacing w:after="0"/>
              <w:rPr>
                <w:rFonts w:cstheme="minorBidi"/>
              </w:rPr>
            </w:pPr>
            <w:r w:rsidRPr="00A13B61">
              <w:t>17,797</w:t>
            </w:r>
          </w:p>
        </w:tc>
      </w:tr>
    </w:tbl>
    <w:p w14:paraId="0C07E9C8" w14:textId="36319D5A" w:rsidR="00ED6162" w:rsidRPr="00A13B61" w:rsidRDefault="00ED6162" w:rsidP="00F511BC">
      <w:pPr>
        <w:pStyle w:val="ListParagraph"/>
      </w:pPr>
    </w:p>
    <w:p w14:paraId="286E4E61" w14:textId="77777777" w:rsidR="00CB3F57" w:rsidRPr="00A13B61" w:rsidRDefault="00CB3F57" w:rsidP="00F511BC">
      <w:pPr>
        <w:pStyle w:val="ListParagraph"/>
      </w:pPr>
    </w:p>
    <w:p w14:paraId="26A04944" w14:textId="750AD909" w:rsidR="00ED6162" w:rsidRPr="00A13B61" w:rsidRDefault="00ED6162" w:rsidP="00D944E8">
      <w:pPr>
        <w:pStyle w:val="Heading4"/>
      </w:pPr>
      <w:r w:rsidRPr="00A13B61">
        <w:t xml:space="preserve">Supervisor matching </w:t>
      </w:r>
      <w:r w:rsidR="00D944E8">
        <w:t>and b</w:t>
      </w:r>
      <w:r w:rsidRPr="00A13B61">
        <w:t>ackchecking</w:t>
      </w:r>
    </w:p>
    <w:p w14:paraId="004B4D3A" w14:textId="7C58F4A7" w:rsidR="00A323FA" w:rsidRPr="00A13B61" w:rsidRDefault="000065E0" w:rsidP="00F511BC">
      <w:pPr>
        <w:pStyle w:val="ListParagraph"/>
      </w:pPr>
      <w:r>
        <w:t>Over</w:t>
      </w:r>
      <w:r w:rsidR="00ED6162" w:rsidRPr="00A13B61">
        <w:t xml:space="preserve"> 25% of the enumerator interviews were validated through a tool </w:t>
      </w:r>
      <w:r>
        <w:t xml:space="preserve">to check for matches </w:t>
      </w:r>
      <w:r w:rsidR="00ED6162" w:rsidRPr="00A13B61">
        <w:t xml:space="preserve">for a set of factual questions. </w:t>
      </w:r>
    </w:p>
    <w:p w14:paraId="75345B55" w14:textId="4A44CA83" w:rsidR="00A323FA" w:rsidRPr="00A13B61" w:rsidRDefault="00A323FA" w:rsidP="00F511BC"/>
    <w:tbl>
      <w:tblPr>
        <w:tblW w:w="4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360"/>
        <w:gridCol w:w="1054"/>
      </w:tblGrid>
      <w:tr w:rsidR="00A323FA" w:rsidRPr="00B11419" w14:paraId="4CD301FE" w14:textId="77777777" w:rsidTr="003F3F98">
        <w:trPr>
          <w:trHeight w:val="340"/>
          <w:jc w:val="center"/>
        </w:trPr>
        <w:tc>
          <w:tcPr>
            <w:tcW w:w="2074" w:type="dxa"/>
            <w:shd w:val="clear" w:color="000000" w:fill="77B8E4"/>
            <w:noWrap/>
            <w:vAlign w:val="center"/>
            <w:hideMark/>
          </w:tcPr>
          <w:p w14:paraId="74A0B18E" w14:textId="704F6C9E" w:rsidR="00A323FA" w:rsidRPr="00B11419" w:rsidRDefault="00A323FA" w:rsidP="003F3F98">
            <w:pPr>
              <w:spacing w:after="0"/>
              <w:rPr>
                <w:b/>
                <w:bCs/>
              </w:rPr>
            </w:pPr>
            <w:r w:rsidRPr="00B11419">
              <w:rPr>
                <w:b/>
                <w:bCs/>
              </w:rPr>
              <w:t>Rate of supervision</w:t>
            </w:r>
          </w:p>
        </w:tc>
        <w:tc>
          <w:tcPr>
            <w:tcW w:w="1360" w:type="dxa"/>
            <w:shd w:val="clear" w:color="000000" w:fill="77B8E4"/>
            <w:noWrap/>
            <w:vAlign w:val="center"/>
            <w:hideMark/>
          </w:tcPr>
          <w:p w14:paraId="53C88128" w14:textId="77777777" w:rsidR="00A323FA" w:rsidRPr="00B11419" w:rsidRDefault="00A323FA" w:rsidP="003F3F98">
            <w:pPr>
              <w:spacing w:after="0"/>
              <w:rPr>
                <w:b/>
                <w:bCs/>
              </w:rPr>
            </w:pPr>
            <w:r w:rsidRPr="00B11419">
              <w:rPr>
                <w:b/>
                <w:bCs/>
              </w:rPr>
              <w:t>Percentage</w:t>
            </w:r>
          </w:p>
        </w:tc>
        <w:tc>
          <w:tcPr>
            <w:tcW w:w="1054" w:type="dxa"/>
            <w:shd w:val="clear" w:color="000000" w:fill="77B8E4"/>
            <w:noWrap/>
            <w:vAlign w:val="center"/>
            <w:hideMark/>
          </w:tcPr>
          <w:p w14:paraId="4E0FBD03" w14:textId="77777777" w:rsidR="00A323FA" w:rsidRPr="00B11419" w:rsidRDefault="00A323FA" w:rsidP="003F3F98">
            <w:pPr>
              <w:spacing w:after="0"/>
              <w:rPr>
                <w:b/>
                <w:bCs/>
              </w:rPr>
            </w:pPr>
            <w:r w:rsidRPr="00B11419">
              <w:rPr>
                <w:b/>
                <w:bCs/>
              </w:rPr>
              <w:t>Count</w:t>
            </w:r>
          </w:p>
        </w:tc>
      </w:tr>
      <w:tr w:rsidR="00A323FA" w:rsidRPr="00A13B61" w14:paraId="69694A69" w14:textId="77777777" w:rsidTr="003F3F98">
        <w:trPr>
          <w:trHeight w:val="244"/>
          <w:jc w:val="center"/>
        </w:trPr>
        <w:tc>
          <w:tcPr>
            <w:tcW w:w="2074" w:type="dxa"/>
            <w:shd w:val="clear" w:color="auto" w:fill="auto"/>
            <w:vAlign w:val="center"/>
            <w:hideMark/>
          </w:tcPr>
          <w:p w14:paraId="5600484F" w14:textId="581FD0FD" w:rsidR="00A323FA" w:rsidRPr="00A13B61" w:rsidRDefault="00A323FA" w:rsidP="003F3F98">
            <w:pPr>
              <w:spacing w:after="0"/>
            </w:pPr>
            <w:r w:rsidRPr="00A13B61">
              <w:t>No</w:t>
            </w:r>
          </w:p>
        </w:tc>
        <w:tc>
          <w:tcPr>
            <w:tcW w:w="1360" w:type="dxa"/>
            <w:shd w:val="clear" w:color="auto" w:fill="auto"/>
            <w:noWrap/>
          </w:tcPr>
          <w:p w14:paraId="63E2F323" w14:textId="5F2E98BF" w:rsidR="00A323FA" w:rsidRPr="00A13B61" w:rsidRDefault="00A323FA" w:rsidP="003F3F98">
            <w:pPr>
              <w:spacing w:after="0"/>
              <w:rPr>
                <w:rFonts w:eastAsia="Times New Roman" w:cs="Calibri"/>
                <w:color w:val="000000"/>
              </w:rPr>
            </w:pPr>
            <w:r w:rsidRPr="00A13B61">
              <w:t>69%</w:t>
            </w:r>
          </w:p>
        </w:tc>
        <w:tc>
          <w:tcPr>
            <w:tcW w:w="1054" w:type="dxa"/>
            <w:shd w:val="clear" w:color="auto" w:fill="auto"/>
            <w:noWrap/>
          </w:tcPr>
          <w:p w14:paraId="149669E6" w14:textId="380B8CA1" w:rsidR="00A323FA" w:rsidRPr="00A13B61" w:rsidRDefault="00A323FA" w:rsidP="003F3F98">
            <w:pPr>
              <w:spacing w:after="0"/>
              <w:rPr>
                <w:rFonts w:eastAsia="Times New Roman" w:cs="Calibri"/>
                <w:color w:val="000000"/>
              </w:rPr>
            </w:pPr>
            <w:r w:rsidRPr="00A13B61">
              <w:t>13,546</w:t>
            </w:r>
          </w:p>
        </w:tc>
      </w:tr>
      <w:tr w:rsidR="00A323FA" w:rsidRPr="00A13B61" w14:paraId="6262C48D" w14:textId="77777777" w:rsidTr="003F3F98">
        <w:trPr>
          <w:trHeight w:val="244"/>
          <w:jc w:val="center"/>
        </w:trPr>
        <w:tc>
          <w:tcPr>
            <w:tcW w:w="2074" w:type="dxa"/>
            <w:shd w:val="clear" w:color="auto" w:fill="auto"/>
            <w:vAlign w:val="center"/>
            <w:hideMark/>
          </w:tcPr>
          <w:p w14:paraId="07587E48" w14:textId="05203C5D" w:rsidR="00A323FA" w:rsidRPr="00A13B61" w:rsidRDefault="00A323FA" w:rsidP="003F3F98">
            <w:pPr>
              <w:spacing w:after="0"/>
            </w:pPr>
            <w:r w:rsidRPr="00A13B61">
              <w:t>Yes</w:t>
            </w:r>
          </w:p>
        </w:tc>
        <w:tc>
          <w:tcPr>
            <w:tcW w:w="1360" w:type="dxa"/>
            <w:shd w:val="clear" w:color="auto" w:fill="auto"/>
            <w:noWrap/>
          </w:tcPr>
          <w:p w14:paraId="68F1455A" w14:textId="0872BC19" w:rsidR="00A323FA" w:rsidRPr="00A13B61" w:rsidRDefault="00A323FA" w:rsidP="003F3F98">
            <w:pPr>
              <w:spacing w:after="0"/>
              <w:rPr>
                <w:rFonts w:eastAsia="Times New Roman" w:cs="Calibri"/>
                <w:color w:val="000000"/>
              </w:rPr>
            </w:pPr>
            <w:r w:rsidRPr="00A13B61">
              <w:t>31%</w:t>
            </w:r>
          </w:p>
        </w:tc>
        <w:tc>
          <w:tcPr>
            <w:tcW w:w="1054" w:type="dxa"/>
            <w:shd w:val="clear" w:color="auto" w:fill="auto"/>
            <w:noWrap/>
          </w:tcPr>
          <w:p w14:paraId="0AFE8C8D" w14:textId="2E1EC159" w:rsidR="00A323FA" w:rsidRPr="00A13B61" w:rsidRDefault="00A323FA" w:rsidP="003F3F98">
            <w:pPr>
              <w:spacing w:after="0"/>
              <w:rPr>
                <w:rFonts w:eastAsia="Times New Roman" w:cs="Calibri"/>
                <w:color w:val="000000"/>
              </w:rPr>
            </w:pPr>
            <w:r w:rsidRPr="00A13B61">
              <w:t>6,050</w:t>
            </w:r>
          </w:p>
        </w:tc>
      </w:tr>
      <w:tr w:rsidR="00A323FA" w:rsidRPr="00A13B61" w14:paraId="3C5D9D9F" w14:textId="77777777" w:rsidTr="003F3F98">
        <w:trPr>
          <w:trHeight w:val="244"/>
          <w:jc w:val="center"/>
        </w:trPr>
        <w:tc>
          <w:tcPr>
            <w:tcW w:w="2074" w:type="dxa"/>
            <w:shd w:val="clear" w:color="auto" w:fill="auto"/>
            <w:vAlign w:val="center"/>
            <w:hideMark/>
          </w:tcPr>
          <w:p w14:paraId="021B526F" w14:textId="77777777" w:rsidR="00A323FA" w:rsidRPr="00A13B61" w:rsidRDefault="00A323FA" w:rsidP="003F3F98">
            <w:pPr>
              <w:spacing w:after="0"/>
            </w:pPr>
            <w:r w:rsidRPr="00A13B61">
              <w:t>Total</w:t>
            </w:r>
          </w:p>
        </w:tc>
        <w:tc>
          <w:tcPr>
            <w:tcW w:w="1360" w:type="dxa"/>
            <w:shd w:val="clear" w:color="auto" w:fill="auto"/>
            <w:noWrap/>
          </w:tcPr>
          <w:p w14:paraId="6D360D71" w14:textId="6A436D3D" w:rsidR="00A323FA" w:rsidRPr="00A13B61" w:rsidRDefault="00A323FA" w:rsidP="003F3F98">
            <w:pPr>
              <w:spacing w:after="0"/>
              <w:rPr>
                <w:rFonts w:eastAsia="Times New Roman" w:cs="Calibri"/>
                <w:color w:val="000000"/>
              </w:rPr>
            </w:pPr>
            <w:r w:rsidRPr="00A13B61">
              <w:t>100%</w:t>
            </w:r>
          </w:p>
        </w:tc>
        <w:tc>
          <w:tcPr>
            <w:tcW w:w="1054" w:type="dxa"/>
            <w:shd w:val="clear" w:color="auto" w:fill="auto"/>
            <w:noWrap/>
          </w:tcPr>
          <w:p w14:paraId="4DAE8CD5" w14:textId="6CEC4A65" w:rsidR="00A323FA" w:rsidRPr="00A13B61" w:rsidRDefault="00A323FA" w:rsidP="003F3F98">
            <w:pPr>
              <w:spacing w:after="0"/>
              <w:rPr>
                <w:rFonts w:eastAsia="Times New Roman" w:cs="Calibri"/>
                <w:color w:val="000000"/>
              </w:rPr>
            </w:pPr>
            <w:r w:rsidRPr="00A13B61">
              <w:t>19,596</w:t>
            </w:r>
          </w:p>
        </w:tc>
      </w:tr>
    </w:tbl>
    <w:p w14:paraId="6E27849A" w14:textId="3914FCD5" w:rsidR="00ED6162" w:rsidRPr="00A13B61" w:rsidRDefault="00ED6162" w:rsidP="00F511BC">
      <w:pPr>
        <w:pStyle w:val="ListParagraph"/>
      </w:pPr>
    </w:p>
    <w:p w14:paraId="04CFA0E1" w14:textId="77777777" w:rsidR="00E56E9C" w:rsidRPr="00A13B61" w:rsidRDefault="00E56E9C" w:rsidP="00F511BC"/>
    <w:p w14:paraId="0A3AD313" w14:textId="4945E596" w:rsidR="001027DC" w:rsidRPr="000065E0" w:rsidRDefault="000342BE" w:rsidP="00F511BC">
      <w:pPr>
        <w:rPr>
          <w:bCs/>
        </w:rPr>
      </w:pPr>
      <w:r w:rsidRPr="00A13B61">
        <w:t xml:space="preserve">The data collected </w:t>
      </w:r>
      <w:r w:rsidR="00025999" w:rsidRPr="00A13B61">
        <w:t>were</w:t>
      </w:r>
      <w:r w:rsidRPr="00A13B61">
        <w:t xml:space="preserve"> then uploaded from the field immediately after completion of </w:t>
      </w:r>
      <w:r w:rsidR="000065E0">
        <w:t>interviews (or if connectivity was weak, at a minimum daily)</w:t>
      </w:r>
      <w:r w:rsidRPr="00A13B61">
        <w:t xml:space="preserve"> to </w:t>
      </w:r>
      <w:r w:rsidR="00025999" w:rsidRPr="00A13B61">
        <w:t>Dalberg’s</w:t>
      </w:r>
      <w:r w:rsidRPr="00A13B61">
        <w:t xml:space="preserve"> servers, who had exclusive access to the raw responses. The data </w:t>
      </w:r>
      <w:r w:rsidR="00025999" w:rsidRPr="00A13B61">
        <w:t>were</w:t>
      </w:r>
      <w:r w:rsidRPr="00A13B61">
        <w:t xml:space="preserve"> cross-checked centrally to ensure plausibility of the entries (e.g. checking </w:t>
      </w:r>
      <w:r w:rsidR="0097001D" w:rsidRPr="00A13B61">
        <w:rPr>
          <w:bCs/>
        </w:rPr>
        <w:t xml:space="preserve">skip logics </w:t>
      </w:r>
      <w:r w:rsidRPr="00A13B61">
        <w:t>of questions).</w:t>
      </w:r>
      <w:bookmarkEnd w:id="32"/>
      <w:r w:rsidR="001027DC" w:rsidRPr="00A13B61">
        <w:br w:type="page"/>
      </w:r>
    </w:p>
    <w:p w14:paraId="1BD814A2" w14:textId="5BE4246A" w:rsidR="0023070A" w:rsidRPr="00D70CB0" w:rsidRDefault="00D944E8" w:rsidP="00B11419">
      <w:pPr>
        <w:pStyle w:val="Heading2"/>
      </w:pPr>
      <w:bookmarkStart w:id="36" w:name="_Hlk25056339"/>
      <w:bookmarkStart w:id="37" w:name="_Toc25484978"/>
      <w:r>
        <w:lastRenderedPageBreak/>
        <w:t xml:space="preserve">2.2 </w:t>
      </w:r>
      <w:r w:rsidR="0023070A" w:rsidRPr="00D70CB0">
        <w:t xml:space="preserve">Pulse </w:t>
      </w:r>
      <w:r w:rsidR="0023070A" w:rsidRPr="00B11419">
        <w:t>Survey</w:t>
      </w:r>
      <w:bookmarkEnd w:id="37"/>
    </w:p>
    <w:p w14:paraId="62426721" w14:textId="77777777" w:rsidR="00672487" w:rsidRPr="00A13B61" w:rsidRDefault="00672487" w:rsidP="000065E0">
      <w:pPr>
        <w:pStyle w:val="Heading3"/>
      </w:pPr>
      <w:bookmarkStart w:id="38" w:name="_Toc25484979"/>
      <w:bookmarkEnd w:id="36"/>
      <w:r w:rsidRPr="00A13B61">
        <w:t>Questionnaire design</w:t>
      </w:r>
      <w:bookmarkEnd w:id="38"/>
    </w:p>
    <w:p w14:paraId="287B58EC" w14:textId="295A1CFE" w:rsidR="00672487" w:rsidRPr="00A13B61" w:rsidRDefault="00672487" w:rsidP="00F511BC">
      <w:r w:rsidRPr="00A13B61">
        <w:t xml:space="preserve">In the pulse survey, we focussed on a subset of key themes covered in the in-depth survey. This not only allowed us to use the pulse survey to corroborate our findings in the in-depth survey, but also to generate more reliable statistics given the pulse survey larger </w:t>
      </w:r>
      <w:r w:rsidR="00025999" w:rsidRPr="00A13B61">
        <w:t>sample size</w:t>
      </w:r>
      <w:r w:rsidRPr="00A13B61">
        <w:t>. The key themes are</w:t>
      </w:r>
    </w:p>
    <w:p w14:paraId="1F0F19D9" w14:textId="77777777" w:rsidR="00672487" w:rsidRPr="00A13B61" w:rsidRDefault="00672487" w:rsidP="00F511BC">
      <w:pPr>
        <w:pStyle w:val="ListParagraph"/>
        <w:numPr>
          <w:ilvl w:val="0"/>
          <w:numId w:val="32"/>
        </w:numPr>
      </w:pPr>
      <w:r w:rsidRPr="00A13B61">
        <w:t>Aadhaar enrolment</w:t>
      </w:r>
    </w:p>
    <w:p w14:paraId="215F5195" w14:textId="77777777" w:rsidR="00672487" w:rsidRPr="00A13B61" w:rsidRDefault="00672487" w:rsidP="00F511BC">
      <w:pPr>
        <w:pStyle w:val="ListParagraph"/>
        <w:numPr>
          <w:ilvl w:val="0"/>
          <w:numId w:val="32"/>
        </w:numPr>
      </w:pPr>
      <w:r w:rsidRPr="00A13B61">
        <w:t>Aadhaar error rate (name, date of birth, gender, address, photograph, mobile number)</w:t>
      </w:r>
    </w:p>
    <w:p w14:paraId="60C979FF" w14:textId="77777777" w:rsidR="00672487" w:rsidRPr="00A13B61" w:rsidRDefault="00672487" w:rsidP="00F511BC">
      <w:pPr>
        <w:pStyle w:val="ListParagraph"/>
        <w:numPr>
          <w:ilvl w:val="0"/>
          <w:numId w:val="32"/>
        </w:numPr>
      </w:pPr>
      <w:r w:rsidRPr="00A13B61">
        <w:t>Aadhaar usage (e.g., MGNREGS, PDS, Social Security and Pensions, SIM card, age proof)</w:t>
      </w:r>
    </w:p>
    <w:p w14:paraId="2C5A26AC" w14:textId="77777777" w:rsidR="00672487" w:rsidRPr="00A13B61" w:rsidRDefault="00672487" w:rsidP="00F511BC">
      <w:pPr>
        <w:pStyle w:val="ListParagraph"/>
        <w:numPr>
          <w:ilvl w:val="0"/>
          <w:numId w:val="32"/>
        </w:numPr>
      </w:pPr>
      <w:r w:rsidRPr="00A13B61">
        <w:t xml:space="preserve">Whether it is easier or more difficult to access welfare services (MGNREGS, PDS, Social Security and Pensions) due to Aadhaar </w:t>
      </w:r>
    </w:p>
    <w:p w14:paraId="198A51B4" w14:textId="01170ED9" w:rsidR="00672487" w:rsidRPr="00A13B61" w:rsidRDefault="00672487" w:rsidP="00F511BC">
      <w:pPr>
        <w:pStyle w:val="ListParagraph"/>
        <w:numPr>
          <w:ilvl w:val="0"/>
          <w:numId w:val="32"/>
        </w:numPr>
      </w:pPr>
      <w:r w:rsidRPr="00A13B61">
        <w:t>Reasons why residents are not receiving welfare services (MGNREGS, PDS, Social Security and Pensions), categorized into Aadhaar and non-Aadhaar related reasons</w:t>
      </w:r>
    </w:p>
    <w:p w14:paraId="6A6D2939" w14:textId="77777777" w:rsidR="00672487" w:rsidRPr="00A13B61" w:rsidRDefault="00672487" w:rsidP="00F511BC">
      <w:pPr>
        <w:pStyle w:val="ListParagraph"/>
        <w:numPr>
          <w:ilvl w:val="0"/>
          <w:numId w:val="32"/>
        </w:numPr>
      </w:pPr>
      <w:r w:rsidRPr="00A13B61">
        <w:t>Satisfaction with Aadhaar</w:t>
      </w:r>
    </w:p>
    <w:p w14:paraId="78D370CE" w14:textId="77777777" w:rsidR="00672487" w:rsidRPr="00A13B61" w:rsidRDefault="00672487" w:rsidP="00F511BC"/>
    <w:p w14:paraId="629B8DC3" w14:textId="4A26D503" w:rsidR="00672487" w:rsidRPr="00A13B61" w:rsidRDefault="00672487" w:rsidP="00F511BC">
      <w:r w:rsidRPr="00A13B61">
        <w:t>Furthermore, in addition to demographic variables obtained in the in-depth survey (e.g., age, gender, education level), we also obtained important financial and economic inclusion variables through the pulse survey. These include</w:t>
      </w:r>
    </w:p>
    <w:p w14:paraId="049A66A8" w14:textId="77777777" w:rsidR="00672487" w:rsidRPr="00A13B61" w:rsidRDefault="00672487" w:rsidP="00F511BC">
      <w:pPr>
        <w:pStyle w:val="ListParagraph"/>
        <w:numPr>
          <w:ilvl w:val="0"/>
          <w:numId w:val="34"/>
        </w:numPr>
      </w:pPr>
      <w:r w:rsidRPr="00A13B61">
        <w:t>Financial inclusion (e.g. whether resident has credit card, bank account, provident fund account, life insurance, savings in any source, and mobile phone)</w:t>
      </w:r>
    </w:p>
    <w:p w14:paraId="4CB05721" w14:textId="72D3E7F2" w:rsidR="00672487" w:rsidRPr="000065E0" w:rsidRDefault="00672487" w:rsidP="00F511BC">
      <w:pPr>
        <w:pStyle w:val="ListParagraph"/>
        <w:numPr>
          <w:ilvl w:val="0"/>
          <w:numId w:val="33"/>
        </w:numPr>
        <w:rPr>
          <w:rFonts w:cs="Lato"/>
        </w:rPr>
      </w:pPr>
      <w:r w:rsidRPr="00A13B61">
        <w:t>Economic inclusion (e.g. total household income, household income from government transfers, total household expenditure, total household health expenditure)</w:t>
      </w:r>
    </w:p>
    <w:p w14:paraId="240B6EFF" w14:textId="77777777" w:rsidR="00672487" w:rsidRPr="00A13B61" w:rsidRDefault="00672487" w:rsidP="000065E0">
      <w:pPr>
        <w:pStyle w:val="Heading3"/>
      </w:pPr>
      <w:bookmarkStart w:id="39" w:name="_Toc25484980"/>
      <w:r w:rsidRPr="00A13B61">
        <w:t>Sampling design</w:t>
      </w:r>
      <w:bookmarkEnd w:id="39"/>
    </w:p>
    <w:p w14:paraId="65ADF697" w14:textId="77777777" w:rsidR="00672487" w:rsidRPr="00A13B61" w:rsidRDefault="00672487" w:rsidP="00F511BC">
      <w:r w:rsidRPr="00A13B61">
        <w:t>CMIE conducted the survey across the country, except for some relatively small north eastern states, namely Arunachal Pradesh, Nagaland, Manipur, Mizoram, Andaman &amp; Nicobar Islands, Lakshadweep, Dadra &amp; Nagar Haveli, Daman &amp; Diu. It was conducted between May and August 2019.</w:t>
      </w:r>
    </w:p>
    <w:p w14:paraId="5DD9E368" w14:textId="77777777" w:rsidR="00672487" w:rsidRPr="00A13B61" w:rsidRDefault="00672487" w:rsidP="00F511BC">
      <w:r w:rsidRPr="00A13B61">
        <w:t>CMIE deployed a stratified multi-stage survey design draw its sample of households, with weights based on the projected population as of May 2019.</w:t>
      </w:r>
    </w:p>
    <w:p w14:paraId="0AF603D9" w14:textId="77777777" w:rsidR="00672487" w:rsidRPr="00A13B61" w:rsidRDefault="00672487" w:rsidP="00F511BC">
      <w:r w:rsidRPr="00A13B61">
        <w:t xml:space="preserve">CMIE stratified the country into Homogeneous Regions (HRs), which is a set of neighbouring districts that have similar </w:t>
      </w:r>
      <w:proofErr w:type="spellStart"/>
      <w:r w:rsidRPr="00A13B61">
        <w:t>agro</w:t>
      </w:r>
      <w:proofErr w:type="spellEnd"/>
      <w:r w:rsidRPr="00A13B61">
        <w:t xml:space="preserve">-climatic conditions, urbanisation levels and female literacy, approximately of the same size. </w:t>
      </w:r>
    </w:p>
    <w:p w14:paraId="27105413" w14:textId="5A3BA6DF" w:rsidR="00672487" w:rsidRPr="00A13B61" w:rsidRDefault="00672487" w:rsidP="00F511BC">
      <w:r w:rsidRPr="00A13B61">
        <w:t>For urban areas, HRs were split further into four strata of towns, namely small towns (less than 20,000 households), medium-size towns (20-60,000 households), large towns (60-200,000 households), and very large towns (more than 200,000 households). CMIE then randomly selected towns from each of these strata, for a total of 329 towns. Within each town, CMIE randomly selected an average of 21 Census Enumeration Blocks (CEBs), which represented clusters of about 100-125 neighbouring households, for a total of 7,920 CEBs. 110,975 urban households were then randomly sampled from these CEBs.</w:t>
      </w:r>
    </w:p>
    <w:p w14:paraId="387623C9" w14:textId="3D7DB235" w:rsidR="00672487" w:rsidRPr="00A13B61" w:rsidRDefault="00672487" w:rsidP="00F511BC">
      <w:r w:rsidRPr="00A13B61">
        <w:t>For rural areas, HRs were split into rural villages, based on the 2011 Census, for a total of 3,965 villages. 63,430 rural households were then randomly sampled from these villages.</w:t>
      </w:r>
    </w:p>
    <w:p w14:paraId="2747A96B" w14:textId="77777777" w:rsidR="00672487" w:rsidRPr="00A13B61" w:rsidRDefault="00672487" w:rsidP="00F511BC">
      <w:r w:rsidRPr="00A13B61">
        <w:t>Overall, 110,975 urban households and 63,430 rural households were sampled, of which a total of 147,868 households representing 575,127 people responded.</w:t>
      </w:r>
    </w:p>
    <w:p w14:paraId="0F6F7A04" w14:textId="46761830" w:rsidR="00672487" w:rsidRPr="00A13B61" w:rsidRDefault="00672487" w:rsidP="00F511BC">
      <w:r w:rsidRPr="00A13B61">
        <w:rPr>
          <w:rFonts w:eastAsia="Lato" w:cs="Times New Roman"/>
        </w:rPr>
        <w:t xml:space="preserve">For more information on sampling design, visit CMIE’s website </w:t>
      </w:r>
      <w:hyperlink r:id="rId10">
        <w:r w:rsidRPr="00A13B61">
          <w:rPr>
            <w:rStyle w:val="ListLabel10"/>
          </w:rPr>
          <w:t>here</w:t>
        </w:r>
      </w:hyperlink>
      <w:r w:rsidRPr="00A13B61">
        <w:rPr>
          <w:rFonts w:eastAsia="Lato" w:cs="Times New Roman"/>
        </w:rPr>
        <w:t>.</w:t>
      </w:r>
    </w:p>
    <w:p w14:paraId="42A89976" w14:textId="77777777" w:rsidR="00672487" w:rsidRPr="00A13B61" w:rsidRDefault="00672487" w:rsidP="000065E0">
      <w:pPr>
        <w:pStyle w:val="Heading3"/>
      </w:pPr>
      <w:bookmarkStart w:id="40" w:name="_Toc25484981"/>
      <w:r w:rsidRPr="00A13B61">
        <w:t>Pilots</w:t>
      </w:r>
      <w:bookmarkEnd w:id="40"/>
    </w:p>
    <w:p w14:paraId="59142293" w14:textId="5584A068" w:rsidR="00672487" w:rsidRPr="00A13B61" w:rsidRDefault="00672487" w:rsidP="00F511BC">
      <w:r w:rsidRPr="00A13B61">
        <w:t>Once the questionnaire was finalised, CMIE translated the questions into ten regional languages and developed the software necessary to conduct the survey in CAPI. The software was tested in-house and the survey team comprising interviewers and supervisors were trained to administer the Aadhaar</w:t>
      </w:r>
      <w:r w:rsidR="00EC0A18" w:rsidRPr="00A13B61">
        <w:t>-</w:t>
      </w:r>
      <w:r w:rsidRPr="00A13B61">
        <w:t xml:space="preserve">related questions. CMIE then conducted a pilot using its field team to test the software, efficacy of the questions, </w:t>
      </w:r>
      <w:r w:rsidR="00EC0A18" w:rsidRPr="00A13B61">
        <w:t xml:space="preserve">and </w:t>
      </w:r>
      <w:r w:rsidRPr="00A13B61">
        <w:t xml:space="preserve">complications faced by respondents </w:t>
      </w:r>
      <w:r w:rsidR="00EC0A18" w:rsidRPr="00A13B61">
        <w:t>in understanding these questions.</w:t>
      </w:r>
    </w:p>
    <w:p w14:paraId="07D11E6B" w14:textId="77777777" w:rsidR="00E07D14" w:rsidRPr="00A13B61" w:rsidRDefault="00672487" w:rsidP="00F511BC">
      <w:r w:rsidRPr="00A13B61">
        <w:t>The pilot was conducted over a period of over two weeks in April</w:t>
      </w:r>
      <w:r w:rsidR="00E07D14" w:rsidRPr="00A13B61">
        <w:t>, conducted in CAPI form</w:t>
      </w:r>
      <w:r w:rsidR="00EC0A18" w:rsidRPr="00A13B61">
        <w:t xml:space="preserve">. </w:t>
      </w:r>
      <w:r w:rsidR="00E07D14" w:rsidRPr="00A13B61">
        <w:t>Responses were captured in the GPS-enabled electronic devices using a specially developed software for the purpose.</w:t>
      </w:r>
    </w:p>
    <w:p w14:paraId="537A63E1" w14:textId="7F2D4C32" w:rsidR="00672487" w:rsidRPr="00A13B61" w:rsidRDefault="00672487" w:rsidP="00F511BC">
      <w:r w:rsidRPr="00A13B61">
        <w:lastRenderedPageBreak/>
        <w:t>It was conducted in all states</w:t>
      </w:r>
      <w:r w:rsidR="00EC0A18" w:rsidRPr="00A13B61">
        <w:t xml:space="preserve">, </w:t>
      </w:r>
      <w:r w:rsidRPr="00A13B61">
        <w:t>except the few states not surveyed by CMIE. This yielded data from</w:t>
      </w:r>
      <w:r w:rsidR="00EC0A18" w:rsidRPr="00A13B61">
        <w:t xml:space="preserve"> </w:t>
      </w:r>
      <w:r w:rsidRPr="00A13B61">
        <w:t>10,253 households</w:t>
      </w:r>
      <w:r w:rsidR="00EC0A18" w:rsidRPr="00A13B61">
        <w:t xml:space="preserve">, comprising </w:t>
      </w:r>
      <w:r w:rsidRPr="00A13B61">
        <w:t>3,073 rural households and 7,180 urban households.</w:t>
      </w:r>
      <w:r w:rsidR="00E07D14" w:rsidRPr="00A13B61">
        <w:t xml:space="preserve"> This pilot sample size </w:t>
      </w:r>
      <w:r w:rsidRPr="00A13B61">
        <w:t>was large enough and diverse enough geographically to provide useful insights on the efficacy of the questions.</w:t>
      </w:r>
    </w:p>
    <w:p w14:paraId="28D3695E" w14:textId="3B8ACB38" w:rsidR="00672487" w:rsidRPr="00A13B61" w:rsidRDefault="00672487" w:rsidP="00F511BC">
      <w:r w:rsidRPr="00A13B61">
        <w:t xml:space="preserve">The pilot yielded useful insights regarding the performance of several questions. These insights led to modifications in the questionnaire. In some cases, questions that were addressed to individuals became questions for the </w:t>
      </w:r>
      <w:r w:rsidR="00E07D14" w:rsidRPr="00A13B61">
        <w:t>household</w:t>
      </w:r>
      <w:r w:rsidRPr="00A13B61">
        <w:t xml:space="preserve"> (</w:t>
      </w:r>
      <w:r w:rsidR="00E07D14" w:rsidRPr="00A13B61">
        <w:t xml:space="preserve">e.g., </w:t>
      </w:r>
      <w:r w:rsidRPr="00A13B61">
        <w:t>use of Aadhaar for PDS)</w:t>
      </w:r>
      <w:r w:rsidR="00E07D14" w:rsidRPr="00A13B61">
        <w:t xml:space="preserve">. In other cases, </w:t>
      </w:r>
      <w:r w:rsidRPr="00A13B61">
        <w:t>the nomenclature was changed (</w:t>
      </w:r>
      <w:r w:rsidR="00E07D14" w:rsidRPr="00A13B61">
        <w:t xml:space="preserve">e.g., </w:t>
      </w:r>
      <w:r w:rsidRPr="00A13B61">
        <w:t>banking and payments was changed to two options – opening a bank account and making payments)</w:t>
      </w:r>
      <w:r w:rsidR="00E07D14" w:rsidRPr="00A13B61">
        <w:t>. Furthermore, some</w:t>
      </w:r>
      <w:r w:rsidRPr="00A13B61">
        <w:t xml:space="preserve"> open-ended questions </w:t>
      </w:r>
      <w:r w:rsidR="00E07D14" w:rsidRPr="00A13B61">
        <w:t>became</w:t>
      </w:r>
      <w:r w:rsidRPr="00A13B61">
        <w:t xml:space="preserve"> specific questions (</w:t>
      </w:r>
      <w:r w:rsidR="00E07D14" w:rsidRPr="00A13B61">
        <w:t xml:space="preserve">e.g., </w:t>
      </w:r>
      <w:r w:rsidRPr="00A13B61">
        <w:t>other reasons became “age proof” and “land/vehicle/house/marriage registration”</w:t>
      </w:r>
      <w:r w:rsidR="00E07D14" w:rsidRPr="00A13B61">
        <w:t>)</w:t>
      </w:r>
      <w:r w:rsidRPr="00A13B61">
        <w:t xml:space="preserve">. </w:t>
      </w:r>
    </w:p>
    <w:p w14:paraId="517E0EFE" w14:textId="77777777" w:rsidR="00672487" w:rsidRPr="00A13B61" w:rsidRDefault="00672487" w:rsidP="000065E0">
      <w:pPr>
        <w:pStyle w:val="Heading3"/>
      </w:pPr>
      <w:bookmarkStart w:id="41" w:name="_Toc25484982"/>
      <w:r w:rsidRPr="00A13B61">
        <w:t>Data collection and quality checks</w:t>
      </w:r>
      <w:bookmarkEnd w:id="41"/>
    </w:p>
    <w:p w14:paraId="6C1209ED" w14:textId="77777777" w:rsidR="00672487" w:rsidRPr="00A13B61" w:rsidRDefault="00672487" w:rsidP="00F511BC">
      <w:r w:rsidRPr="00A13B61">
        <w:t>CMIE performed the data collection and quality checks. Specifically, data collection was performed on hand-held GPS enabled phone devices. During the data collection, quality checks were performed using multiple tools, including GPS location tracking, supervisor data-checks, call-backs, and ground supervision. GPS location tracking and supervisor data checks were conducted on 100 per cent of the respondents. Both were conducted in near real-time by supervisors close to the field execution using specially developed software. Call-backs were made regularly to random sets of households.</w:t>
      </w:r>
    </w:p>
    <w:p w14:paraId="0B13B945" w14:textId="77777777" w:rsidR="00672487" w:rsidRPr="00A13B61" w:rsidRDefault="00672487" w:rsidP="00F511BC">
      <w:r w:rsidRPr="00A13B61">
        <w:t>The survey was organised such that all data checks of households surveyed during a day are completed by the end of the day of the survey. This ensured that all clarifications are sought and obtained while the team is still in the field.</w:t>
      </w:r>
    </w:p>
    <w:p w14:paraId="0EB73C66" w14:textId="36E316F2" w:rsidR="00672487" w:rsidRPr="00A13B61" w:rsidRDefault="00672487" w:rsidP="00F511BC">
      <w:r w:rsidRPr="00A13B61">
        <w:t>This enabled CMIE to provide a website to Dalberg that was updated every</w:t>
      </w:r>
      <w:r w:rsidR="00025999" w:rsidRPr="00A13B61">
        <w:t xml:space="preserve"> </w:t>
      </w:r>
      <w:r w:rsidRPr="00A13B61">
        <w:t>day with the latest updates on survey execution and outcomes in terms of distribution of the responses for individual questions. This transparency of operations was also an indirect tool to ensure quality.</w:t>
      </w:r>
    </w:p>
    <w:p w14:paraId="2694CE9A" w14:textId="77777777" w:rsidR="00672487" w:rsidRPr="00A13B61" w:rsidRDefault="00672487" w:rsidP="00F511BC">
      <w:r w:rsidRPr="00A13B61">
        <w:t>The response rate is as follows</w:t>
      </w:r>
    </w:p>
    <w:p w14:paraId="35C6B09B" w14:textId="77777777" w:rsidR="00672487" w:rsidRPr="00A13B61" w:rsidRDefault="00672487" w:rsidP="00F511BC">
      <w:r w:rsidRPr="00A13B61">
        <w:t>Response rate (complete interviews)</w:t>
      </w:r>
    </w:p>
    <w:p w14:paraId="2271E8CD" w14:textId="77777777" w:rsidR="00672487" w:rsidRPr="00A13B61" w:rsidRDefault="00672487" w:rsidP="00F511BC"/>
    <w:tbl>
      <w:tblPr>
        <w:tblW w:w="41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79"/>
        <w:gridCol w:w="1360"/>
        <w:gridCol w:w="1054"/>
      </w:tblGrid>
      <w:tr w:rsidR="00672487" w:rsidRPr="00B11419" w14:paraId="5381EA09" w14:textId="77777777" w:rsidTr="003F3F98">
        <w:trPr>
          <w:trHeight w:val="340"/>
          <w:jc w:val="center"/>
        </w:trPr>
        <w:tc>
          <w:tcPr>
            <w:tcW w:w="1779" w:type="dxa"/>
            <w:tcBorders>
              <w:top w:val="single" w:sz="4" w:space="0" w:color="00000A"/>
              <w:left w:val="single" w:sz="4" w:space="0" w:color="00000A"/>
              <w:bottom w:val="single" w:sz="4" w:space="0" w:color="00000A"/>
              <w:right w:val="single" w:sz="4" w:space="0" w:color="00000A"/>
            </w:tcBorders>
            <w:shd w:val="clear" w:color="000000" w:fill="77B8E4"/>
            <w:vAlign w:val="center"/>
          </w:tcPr>
          <w:p w14:paraId="06FCC6AF" w14:textId="77777777" w:rsidR="00672487" w:rsidRPr="00B11419" w:rsidRDefault="00672487" w:rsidP="003F3F98">
            <w:pPr>
              <w:spacing w:after="0"/>
              <w:rPr>
                <w:b/>
                <w:bCs/>
              </w:rPr>
            </w:pPr>
            <w:r w:rsidRPr="00B11419">
              <w:rPr>
                <w:b/>
                <w:bCs/>
              </w:rPr>
              <w:t>Response rate</w:t>
            </w:r>
          </w:p>
        </w:tc>
        <w:tc>
          <w:tcPr>
            <w:tcW w:w="1360" w:type="dxa"/>
            <w:tcBorders>
              <w:top w:val="single" w:sz="4" w:space="0" w:color="00000A"/>
              <w:left w:val="single" w:sz="4" w:space="0" w:color="00000A"/>
              <w:bottom w:val="single" w:sz="4" w:space="0" w:color="00000A"/>
              <w:right w:val="single" w:sz="4" w:space="0" w:color="00000A"/>
            </w:tcBorders>
            <w:shd w:val="clear" w:color="000000" w:fill="77B8E4"/>
            <w:vAlign w:val="center"/>
          </w:tcPr>
          <w:p w14:paraId="2A5EE29F" w14:textId="77777777" w:rsidR="00672487" w:rsidRPr="00B11419" w:rsidRDefault="00672487" w:rsidP="003F3F98">
            <w:pPr>
              <w:spacing w:after="0"/>
              <w:rPr>
                <w:b/>
                <w:bCs/>
              </w:rPr>
            </w:pPr>
            <w:r w:rsidRPr="00B11419">
              <w:rPr>
                <w:b/>
                <w:bCs/>
              </w:rPr>
              <w:t>Percentage</w:t>
            </w:r>
          </w:p>
        </w:tc>
        <w:tc>
          <w:tcPr>
            <w:tcW w:w="1054" w:type="dxa"/>
            <w:tcBorders>
              <w:top w:val="single" w:sz="4" w:space="0" w:color="00000A"/>
              <w:left w:val="single" w:sz="4" w:space="0" w:color="00000A"/>
              <w:bottom w:val="single" w:sz="4" w:space="0" w:color="00000A"/>
              <w:right w:val="single" w:sz="4" w:space="0" w:color="00000A"/>
            </w:tcBorders>
            <w:shd w:val="clear" w:color="000000" w:fill="77B8E4"/>
            <w:vAlign w:val="center"/>
          </w:tcPr>
          <w:p w14:paraId="1528A656" w14:textId="77777777" w:rsidR="00672487" w:rsidRPr="00B11419" w:rsidRDefault="00672487" w:rsidP="003F3F98">
            <w:pPr>
              <w:spacing w:after="0"/>
              <w:rPr>
                <w:b/>
                <w:bCs/>
              </w:rPr>
            </w:pPr>
            <w:r w:rsidRPr="00B11419">
              <w:rPr>
                <w:b/>
                <w:bCs/>
              </w:rPr>
              <w:t>Count</w:t>
            </w:r>
          </w:p>
        </w:tc>
      </w:tr>
      <w:tr w:rsidR="00672487" w:rsidRPr="00A13B61" w14:paraId="1A01CC1E" w14:textId="77777777" w:rsidTr="003F3F98">
        <w:trPr>
          <w:trHeight w:val="244"/>
          <w:jc w:val="center"/>
        </w:trPr>
        <w:tc>
          <w:tcPr>
            <w:tcW w:w="17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FC4F56" w14:textId="77777777" w:rsidR="00672487" w:rsidRPr="00A13B61" w:rsidRDefault="00672487" w:rsidP="003F3F98">
            <w:pPr>
              <w:spacing w:after="0"/>
            </w:pPr>
            <w:r w:rsidRPr="00A13B61">
              <w:t>Yes</w:t>
            </w:r>
          </w:p>
        </w:tc>
        <w:tc>
          <w:tcPr>
            <w:tcW w:w="136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7C5795" w14:textId="77777777" w:rsidR="00672487" w:rsidRPr="00A13B61" w:rsidRDefault="00672487" w:rsidP="003F3F98">
            <w:pPr>
              <w:spacing w:after="0"/>
            </w:pPr>
            <w:r w:rsidRPr="00A13B61">
              <w:t>85%</w:t>
            </w:r>
          </w:p>
        </w:tc>
        <w:tc>
          <w:tcPr>
            <w:tcW w:w="1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38B198" w14:textId="77777777" w:rsidR="00672487" w:rsidRPr="00A13B61" w:rsidRDefault="00672487" w:rsidP="003F3F98">
            <w:pPr>
              <w:spacing w:after="0"/>
            </w:pPr>
            <w:r w:rsidRPr="00A13B61">
              <w:t>147,868</w:t>
            </w:r>
          </w:p>
        </w:tc>
      </w:tr>
      <w:tr w:rsidR="00672487" w:rsidRPr="00A13B61" w14:paraId="32B1204B" w14:textId="77777777" w:rsidTr="003F3F98">
        <w:trPr>
          <w:trHeight w:val="244"/>
          <w:jc w:val="center"/>
        </w:trPr>
        <w:tc>
          <w:tcPr>
            <w:tcW w:w="17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0061B5" w14:textId="77777777" w:rsidR="00672487" w:rsidRPr="00A13B61" w:rsidRDefault="00672487" w:rsidP="003F3F98">
            <w:pPr>
              <w:spacing w:after="0"/>
            </w:pPr>
            <w:r w:rsidRPr="00A13B61">
              <w:t>No</w:t>
            </w:r>
          </w:p>
        </w:tc>
        <w:tc>
          <w:tcPr>
            <w:tcW w:w="136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B1378C" w14:textId="77777777" w:rsidR="00672487" w:rsidRPr="00A13B61" w:rsidRDefault="00672487" w:rsidP="003F3F98">
            <w:pPr>
              <w:spacing w:after="0"/>
            </w:pPr>
            <w:r w:rsidRPr="00A13B61">
              <w:t>15%</w:t>
            </w:r>
          </w:p>
        </w:tc>
        <w:tc>
          <w:tcPr>
            <w:tcW w:w="1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ACDD42" w14:textId="77777777" w:rsidR="00672487" w:rsidRPr="00A13B61" w:rsidRDefault="00672487" w:rsidP="003F3F98">
            <w:pPr>
              <w:spacing w:after="0"/>
            </w:pPr>
            <w:r w:rsidRPr="00A13B61">
              <w:t>26,537</w:t>
            </w:r>
          </w:p>
        </w:tc>
      </w:tr>
      <w:tr w:rsidR="00672487" w:rsidRPr="00A13B61" w14:paraId="68235010" w14:textId="77777777" w:rsidTr="003F3F98">
        <w:trPr>
          <w:trHeight w:val="244"/>
          <w:jc w:val="center"/>
        </w:trPr>
        <w:tc>
          <w:tcPr>
            <w:tcW w:w="17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030A5B3" w14:textId="77777777" w:rsidR="00672487" w:rsidRPr="00A13B61" w:rsidRDefault="00672487" w:rsidP="003F3F98">
            <w:pPr>
              <w:spacing w:after="0"/>
            </w:pPr>
            <w:r w:rsidRPr="00A13B61">
              <w:t>Total</w:t>
            </w:r>
          </w:p>
        </w:tc>
        <w:tc>
          <w:tcPr>
            <w:tcW w:w="136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51B6AA" w14:textId="77777777" w:rsidR="00672487" w:rsidRPr="00A13B61" w:rsidRDefault="00672487" w:rsidP="003F3F98">
            <w:pPr>
              <w:spacing w:after="0"/>
            </w:pPr>
            <w:r w:rsidRPr="00A13B61">
              <w:t>100%</w:t>
            </w:r>
          </w:p>
        </w:tc>
        <w:tc>
          <w:tcPr>
            <w:tcW w:w="1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AD99483" w14:textId="77777777" w:rsidR="00672487" w:rsidRPr="00A13B61" w:rsidRDefault="00672487" w:rsidP="003F3F98">
            <w:pPr>
              <w:spacing w:after="0"/>
            </w:pPr>
            <w:r w:rsidRPr="00A13B61">
              <w:t>174,405</w:t>
            </w:r>
          </w:p>
        </w:tc>
      </w:tr>
    </w:tbl>
    <w:p w14:paraId="0CB4913A" w14:textId="05A9E853" w:rsidR="00EE79FA" w:rsidRPr="00A13B61" w:rsidRDefault="00EE79FA" w:rsidP="00F511BC"/>
    <w:p w14:paraId="043421E4" w14:textId="77777777" w:rsidR="00FC1FCB" w:rsidRPr="00A13B61" w:rsidRDefault="00FC1FCB" w:rsidP="00F511BC">
      <w:pPr>
        <w:pStyle w:val="Heading3"/>
      </w:pPr>
    </w:p>
    <w:p w14:paraId="3DE83572" w14:textId="67236D85" w:rsidR="00B11419" w:rsidRDefault="00B11419">
      <w:r>
        <w:br w:type="page"/>
      </w:r>
    </w:p>
    <w:p w14:paraId="3B03B7BA" w14:textId="07C7447A" w:rsidR="00B11419" w:rsidRDefault="00B11419" w:rsidP="00B11419">
      <w:pPr>
        <w:pStyle w:val="Heading2"/>
      </w:pPr>
      <w:bookmarkStart w:id="42" w:name="_Toc25484983"/>
      <w:r>
        <w:lastRenderedPageBreak/>
        <w:t>2.3 Human centred design research</w:t>
      </w:r>
      <w:bookmarkEnd w:id="42"/>
    </w:p>
    <w:p w14:paraId="21D66CA5" w14:textId="1FA4C8C0" w:rsidR="00B11419" w:rsidRDefault="00F669B1" w:rsidP="00B11419">
      <w:r>
        <w:t>Human centred design (</w:t>
      </w:r>
      <w:r w:rsidR="00B11419">
        <w:t>HCD</w:t>
      </w:r>
      <w:r>
        <w:t>)</w:t>
      </w:r>
      <w:r w:rsidR="00B11419">
        <w:t xml:space="preserve"> research uses a combination of design and qualitative research methods with an aim to deeply understand users: their underlying needs, motivations, behaviours and aspirations.</w:t>
      </w:r>
      <w:r>
        <w:t xml:space="preserve"> </w:t>
      </w:r>
      <w:r w:rsidR="00B11419">
        <w:t>We used HCD research to strengthen and deepen the survey insights by providing the “why” and “how” behind it at a smaller scale.</w:t>
      </w:r>
      <w:r w:rsidR="00AC0A4F">
        <w:t xml:space="preserve"> It was conducted after the first phase of survey analysis was completed</w:t>
      </w:r>
    </w:p>
    <w:p w14:paraId="7CF3D1C2" w14:textId="021DA4E2" w:rsidR="00B11419" w:rsidRDefault="00B11419" w:rsidP="00B11419">
      <w:r>
        <w:t>We further used HCD research to identify and fill in gaps in interpreting some of the survey data, such as highlighting the nuances around people’s sentiment towards Aadhaar. We were also able to leverage the research themes to dive deeper into some new areas such as the service providers’ perspective, as well as uncover a few new learnings that could drive further areas of research.</w:t>
      </w:r>
    </w:p>
    <w:p w14:paraId="439E0A8B" w14:textId="02BFC9D9" w:rsidR="00B11419" w:rsidRDefault="00B11419" w:rsidP="00B11419">
      <w:r>
        <w:t xml:space="preserve">We interviewed 103 individuals across the 4 states of Maharashtra, Karnataka, Bihar and Assam. While the sample size in our study is small by design, its strength lies in tracing common themes and patterns across a diverse range of Aadhaar users. For example, we were able to explore what is the enrolment experience for an ‘average’ user of Aadhaar: men and women across rural and urban divides, with differing education levels and socio-economic backgrounds; vs those with special needs such as an elderly or a disabled person; </w:t>
      </w:r>
      <w:r w:rsidR="00AC0A4F">
        <w:t>and</w:t>
      </w:r>
      <w:r>
        <w:t xml:space="preserve"> beyond to those that live at the margins of society such as a third-gender or homeless person. We were able to listen deeply to</w:t>
      </w:r>
      <w:r w:rsidR="00AC0A4F">
        <w:t xml:space="preserve"> </w:t>
      </w:r>
      <w:r>
        <w:t>the everyday experiences of these diverse people with Aadhaar, from their sources of satisfaction towards Aadhaar to their experience of denial. </w:t>
      </w:r>
    </w:p>
    <w:p w14:paraId="32764FD6" w14:textId="12AF3046" w:rsidR="00B11419" w:rsidRDefault="00B11419" w:rsidP="00B11419">
      <w:r>
        <w:t>We interviewed people in their homes, communities, and workplaces using a range of HCD research methods. This approach allowed us to not just understand what people ‘think, feel and say’ about Aadhaar, but also observe what they ‘do’ through real life observations of Aadhaar enrolment and update centres, ration shops, SIM card shops, etc. This study by no means claims to be exhaustive in capturing all of the people’s sentiments and experiences with Aadhaar. However</w:t>
      </w:r>
      <w:r w:rsidR="00AC0A4F">
        <w:t>,</w:t>
      </w:r>
      <w:r>
        <w:t xml:space="preserve"> it does aim to strengthen and deepen our survey-based understanding of the ‘State of Aadhaar’, as experienced by its everyday users.</w:t>
      </w:r>
    </w:p>
    <w:p w14:paraId="0A8E0E56" w14:textId="2441BD83" w:rsidR="00B11419" w:rsidRPr="005A34E4" w:rsidRDefault="00F669B1" w:rsidP="00AC0A4F">
      <w:pPr>
        <w:pStyle w:val="Heading3"/>
        <w:rPr>
          <w:rFonts w:ascii="Times New Roman" w:hAnsi="Times New Roman"/>
          <w:bCs/>
          <w:sz w:val="36"/>
          <w:szCs w:val="36"/>
          <w:lang w:val="en-IN"/>
        </w:rPr>
      </w:pPr>
      <w:bookmarkStart w:id="43" w:name="_Toc25484984"/>
      <w:r>
        <w:rPr>
          <w:lang w:val="en-IN"/>
        </w:rPr>
        <w:t>Key research methods</w:t>
      </w:r>
      <w:bookmarkEnd w:id="43"/>
    </w:p>
    <w:p w14:paraId="59B3F63E" w14:textId="2DCF7F51" w:rsidR="00B11419" w:rsidRPr="005A34E4" w:rsidRDefault="00B11419" w:rsidP="00AC0A4F">
      <w:pPr>
        <w:rPr>
          <w:rFonts w:ascii="Times New Roman" w:hAnsi="Times New Roman"/>
          <w:lang w:val="en-IN"/>
        </w:rPr>
      </w:pPr>
      <w:r w:rsidRPr="005A34E4">
        <w:rPr>
          <w:lang w:val="en-IN"/>
        </w:rPr>
        <w:t>We employed a mix of four distinct research methods: in-depth interviews, intercept interviews, small group discussions and observation sessions.</w:t>
      </w:r>
    </w:p>
    <w:p w14:paraId="67FCD12E" w14:textId="77777777" w:rsidR="00AC0A4F" w:rsidRPr="00AC0A4F" w:rsidRDefault="00B11419" w:rsidP="00AC0A4F">
      <w:pPr>
        <w:pStyle w:val="ListParagraph"/>
        <w:numPr>
          <w:ilvl w:val="0"/>
          <w:numId w:val="47"/>
        </w:numPr>
        <w:rPr>
          <w:rFonts w:ascii="Arial" w:hAnsi="Arial" w:cs="Arial"/>
          <w:lang w:val="en-IN"/>
        </w:rPr>
      </w:pPr>
      <w:r w:rsidRPr="00AC0A4F">
        <w:rPr>
          <w:rFonts w:cs="Arial"/>
          <w:b/>
          <w:bCs/>
          <w:lang w:val="en-IN"/>
        </w:rPr>
        <w:t>28 in-depth interviews</w:t>
      </w:r>
      <w:r w:rsidRPr="00AC0A4F">
        <w:rPr>
          <w:rFonts w:cs="Arial"/>
          <w:lang w:val="en-IN"/>
        </w:rPr>
        <w:t xml:space="preserve"> with pre-recruited participants, to observe and document attitudes and behaviours around Aadhaar. Each in-depth interview was ~2 hours long. </w:t>
      </w:r>
    </w:p>
    <w:p w14:paraId="1DEF1312" w14:textId="1D5A0EDA" w:rsidR="00B11419" w:rsidRPr="00AC0A4F" w:rsidRDefault="00AC0A4F" w:rsidP="00AC0A4F">
      <w:pPr>
        <w:pStyle w:val="ListParagraph"/>
        <w:numPr>
          <w:ilvl w:val="0"/>
          <w:numId w:val="47"/>
        </w:numPr>
        <w:rPr>
          <w:rFonts w:ascii="Arial" w:hAnsi="Arial" w:cs="Arial"/>
          <w:lang w:val="en-IN"/>
        </w:rPr>
      </w:pPr>
      <w:r>
        <w:rPr>
          <w:b/>
          <w:bCs/>
          <w:lang w:val="en-IN"/>
        </w:rPr>
        <w:t>S</w:t>
      </w:r>
      <w:r w:rsidR="00B11419" w:rsidRPr="00AC0A4F">
        <w:rPr>
          <w:b/>
          <w:bCs/>
          <w:lang w:val="en-IN"/>
        </w:rPr>
        <w:t>mall group discussion sessions</w:t>
      </w:r>
      <w:r w:rsidR="00B11419" w:rsidRPr="00AC0A4F">
        <w:rPr>
          <w:lang w:val="en-IN"/>
        </w:rPr>
        <w:t xml:space="preserve"> with 6 to 7 participants each, to understand diverse opinions, preferences and needs of a representative set of participants. Each group discussion was ~3 hours long. </w:t>
      </w:r>
    </w:p>
    <w:p w14:paraId="6769A56B" w14:textId="32D5312C" w:rsidR="00B11419" w:rsidRPr="00AC0A4F" w:rsidRDefault="00B11419" w:rsidP="00AC0A4F">
      <w:pPr>
        <w:pStyle w:val="ListParagraph"/>
        <w:numPr>
          <w:ilvl w:val="0"/>
          <w:numId w:val="47"/>
        </w:numPr>
        <w:rPr>
          <w:rFonts w:ascii="Arial" w:hAnsi="Arial" w:cs="Arial"/>
          <w:lang w:val="en-IN"/>
        </w:rPr>
      </w:pPr>
      <w:r w:rsidRPr="00AC0A4F">
        <w:rPr>
          <w:rFonts w:cs="Arial"/>
          <w:b/>
          <w:bCs/>
          <w:lang w:val="en-IN"/>
        </w:rPr>
        <w:t>50 intercept interviews</w:t>
      </w:r>
      <w:r w:rsidRPr="00AC0A4F">
        <w:rPr>
          <w:rFonts w:cs="Arial"/>
          <w:lang w:val="en-IN"/>
        </w:rPr>
        <w:t xml:space="preserve"> for quick, additional insights, conducted in a variety of settings. These were spontaneous conversations with non-recruited participants, and allowed us to connect with people while they were immersed in specific contexts. Each intercept interview was 15 to 30 minutes long.</w:t>
      </w:r>
    </w:p>
    <w:p w14:paraId="6F35FF3F" w14:textId="5ACEB101" w:rsidR="00B11419" w:rsidRPr="00AC0A4F" w:rsidRDefault="00B11419" w:rsidP="00B11419">
      <w:pPr>
        <w:pStyle w:val="ListParagraph"/>
        <w:numPr>
          <w:ilvl w:val="0"/>
          <w:numId w:val="47"/>
        </w:numPr>
        <w:rPr>
          <w:rFonts w:ascii="Arial" w:hAnsi="Arial" w:cs="Arial"/>
          <w:lang w:val="en-IN"/>
        </w:rPr>
      </w:pPr>
      <w:r w:rsidRPr="00AC0A4F">
        <w:rPr>
          <w:rFonts w:cs="Arial"/>
          <w:b/>
          <w:bCs/>
          <w:lang w:val="en-IN"/>
        </w:rPr>
        <w:t xml:space="preserve">Observational walk-throughs </w:t>
      </w:r>
      <w:r w:rsidRPr="00AC0A4F">
        <w:rPr>
          <w:rFonts w:cs="Arial"/>
          <w:lang w:val="en-IN"/>
        </w:rPr>
        <w:t>which involved shadowing select stakeholders in their natural environments (e.g. e-</w:t>
      </w:r>
      <w:proofErr w:type="spellStart"/>
      <w:r w:rsidRPr="00AC0A4F">
        <w:rPr>
          <w:rFonts w:cs="Arial"/>
          <w:lang w:val="en-IN"/>
        </w:rPr>
        <w:t>seva</w:t>
      </w:r>
      <w:proofErr w:type="spellEnd"/>
      <w:r w:rsidRPr="00AC0A4F">
        <w:rPr>
          <w:rFonts w:cs="Arial"/>
          <w:lang w:val="en-IN"/>
        </w:rPr>
        <w:t xml:space="preserve"> </w:t>
      </w:r>
      <w:proofErr w:type="spellStart"/>
      <w:r w:rsidRPr="00AC0A4F">
        <w:rPr>
          <w:rFonts w:cs="Arial"/>
          <w:lang w:val="en-IN"/>
        </w:rPr>
        <w:t>kendras</w:t>
      </w:r>
      <w:proofErr w:type="spellEnd"/>
      <w:r w:rsidRPr="00AC0A4F">
        <w:rPr>
          <w:rFonts w:cs="Arial"/>
          <w:lang w:val="en-IN"/>
        </w:rPr>
        <w:t>, ration shops, schools, SIM card shops, in both rural and urban areas), to get a nuanced understanding of their activities and interactions. Each observational walk-through was 0.5 to 1 hour long.</w:t>
      </w:r>
    </w:p>
    <w:p w14:paraId="4B0A94A5" w14:textId="058DFBF7" w:rsidR="00B11419" w:rsidRPr="005A34E4" w:rsidRDefault="00B11419" w:rsidP="00AC0A4F">
      <w:pPr>
        <w:rPr>
          <w:rFonts w:ascii="Times New Roman" w:hAnsi="Times New Roman"/>
          <w:lang w:val="en-IN"/>
        </w:rPr>
      </w:pPr>
      <w:r w:rsidRPr="005A34E4">
        <w:rPr>
          <w:lang w:val="en-IN"/>
        </w:rPr>
        <w:t>The table below shows the break-up of participants across interview types:</w:t>
      </w:r>
    </w:p>
    <w:tbl>
      <w:tblPr>
        <w:tblW w:w="5953" w:type="dxa"/>
        <w:tblInd w:w="841" w:type="dxa"/>
        <w:tblCellMar>
          <w:top w:w="15" w:type="dxa"/>
          <w:left w:w="15" w:type="dxa"/>
          <w:bottom w:w="15" w:type="dxa"/>
          <w:right w:w="15" w:type="dxa"/>
        </w:tblCellMar>
        <w:tblLook w:val="04A0" w:firstRow="1" w:lastRow="0" w:firstColumn="1" w:lastColumn="0" w:noHBand="0" w:noVBand="1"/>
      </w:tblPr>
      <w:tblGrid>
        <w:gridCol w:w="2977"/>
        <w:gridCol w:w="2976"/>
      </w:tblGrid>
      <w:tr w:rsidR="00B11419" w:rsidRPr="00AC0A4F" w14:paraId="12949A1D" w14:textId="77777777" w:rsidTr="00B11419">
        <w:trPr>
          <w:trHeight w:val="227"/>
        </w:trPr>
        <w:tc>
          <w:tcPr>
            <w:tcW w:w="2977" w:type="dxa"/>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vAlign w:val="center"/>
            <w:hideMark/>
          </w:tcPr>
          <w:p w14:paraId="6FF54C17" w14:textId="77777777" w:rsidR="00B11419" w:rsidRPr="00AC0A4F" w:rsidRDefault="00B11419" w:rsidP="00AC0A4F">
            <w:pPr>
              <w:keepNext/>
              <w:spacing w:after="0"/>
              <w:rPr>
                <w:b/>
                <w:bCs/>
              </w:rPr>
            </w:pPr>
            <w:r w:rsidRPr="00AC0A4F">
              <w:rPr>
                <w:b/>
                <w:bCs/>
              </w:rPr>
              <w:t>Method</w:t>
            </w:r>
          </w:p>
        </w:tc>
        <w:tc>
          <w:tcPr>
            <w:tcW w:w="2976" w:type="dxa"/>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vAlign w:val="center"/>
            <w:hideMark/>
          </w:tcPr>
          <w:p w14:paraId="3074F981" w14:textId="77777777" w:rsidR="00B11419" w:rsidRPr="00AC0A4F" w:rsidRDefault="00B11419" w:rsidP="00AC0A4F">
            <w:pPr>
              <w:keepNext/>
              <w:spacing w:after="0"/>
              <w:rPr>
                <w:b/>
                <w:bCs/>
              </w:rPr>
            </w:pPr>
            <w:r w:rsidRPr="00AC0A4F">
              <w:rPr>
                <w:b/>
                <w:bCs/>
              </w:rPr>
              <w:t>Number of participants</w:t>
            </w:r>
          </w:p>
        </w:tc>
      </w:tr>
      <w:tr w:rsidR="00B11419" w:rsidRPr="005A34E4" w14:paraId="0A2CF42A" w14:textId="77777777" w:rsidTr="00B11419">
        <w:trPr>
          <w:trHeight w:val="20"/>
        </w:trPr>
        <w:tc>
          <w:tcPr>
            <w:tcW w:w="297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69E9129D"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In-depth interviews</w:t>
            </w:r>
          </w:p>
        </w:tc>
        <w:tc>
          <w:tcPr>
            <w:tcW w:w="2976"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2D7C0733"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28</w:t>
            </w:r>
          </w:p>
        </w:tc>
      </w:tr>
      <w:tr w:rsidR="00B11419" w:rsidRPr="005A34E4" w14:paraId="337D3134" w14:textId="77777777" w:rsidTr="00B11419">
        <w:trPr>
          <w:trHeight w:val="20"/>
        </w:trPr>
        <w:tc>
          <w:tcPr>
            <w:tcW w:w="297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799FB16B"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Small group discussions</w:t>
            </w:r>
          </w:p>
        </w:tc>
        <w:tc>
          <w:tcPr>
            <w:tcW w:w="2976"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7E663E9E"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25</w:t>
            </w:r>
          </w:p>
        </w:tc>
      </w:tr>
      <w:tr w:rsidR="00B11419" w:rsidRPr="005A34E4" w14:paraId="6C99F102" w14:textId="77777777" w:rsidTr="00B11419">
        <w:trPr>
          <w:trHeight w:val="20"/>
        </w:trPr>
        <w:tc>
          <w:tcPr>
            <w:tcW w:w="297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64D570D4"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Intercept interviews</w:t>
            </w:r>
          </w:p>
        </w:tc>
        <w:tc>
          <w:tcPr>
            <w:tcW w:w="2976"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6B566628"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50</w:t>
            </w:r>
          </w:p>
        </w:tc>
      </w:tr>
      <w:tr w:rsidR="00B11419" w:rsidRPr="005A34E4" w14:paraId="4813BA02" w14:textId="77777777" w:rsidTr="00B11419">
        <w:trPr>
          <w:trHeight w:val="20"/>
        </w:trPr>
        <w:tc>
          <w:tcPr>
            <w:tcW w:w="2977"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68BFC9E4" w14:textId="619BE711" w:rsidR="00B11419" w:rsidRPr="005A34E4" w:rsidRDefault="00AC0A4F" w:rsidP="00AC0A4F">
            <w:pPr>
              <w:keepNext/>
              <w:spacing w:after="0"/>
              <w:rPr>
                <w:rFonts w:ascii="Times New Roman" w:eastAsia="Times New Roman" w:hAnsi="Times New Roman" w:cs="Times New Roman"/>
                <w:lang w:val="en-IN"/>
              </w:rPr>
            </w:pPr>
            <w:r>
              <w:rPr>
                <w:rFonts w:ascii="Lato" w:eastAsia="Times New Roman" w:hAnsi="Lato" w:cs="Times New Roman"/>
                <w:color w:val="000000"/>
                <w:sz w:val="16"/>
                <w:szCs w:val="16"/>
                <w:lang w:val="en-IN"/>
              </w:rPr>
              <w:t>TOTAL</w:t>
            </w:r>
          </w:p>
        </w:tc>
        <w:tc>
          <w:tcPr>
            <w:tcW w:w="2976"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hideMark/>
          </w:tcPr>
          <w:p w14:paraId="20B12CE3" w14:textId="77777777" w:rsidR="00B11419" w:rsidRPr="005A34E4" w:rsidRDefault="00B11419" w:rsidP="00AC0A4F">
            <w:pPr>
              <w:keepNext/>
              <w:spacing w:after="0"/>
              <w:rPr>
                <w:rFonts w:ascii="Times New Roman" w:eastAsia="Times New Roman" w:hAnsi="Times New Roman" w:cs="Times New Roman"/>
                <w:lang w:val="en-IN"/>
              </w:rPr>
            </w:pPr>
            <w:r w:rsidRPr="005A34E4">
              <w:rPr>
                <w:rFonts w:ascii="Lato" w:eastAsia="Times New Roman" w:hAnsi="Lato" w:cs="Times New Roman"/>
                <w:color w:val="000000"/>
                <w:sz w:val="16"/>
                <w:szCs w:val="16"/>
                <w:lang w:val="en-IN"/>
              </w:rPr>
              <w:t>103</w:t>
            </w:r>
          </w:p>
        </w:tc>
      </w:tr>
    </w:tbl>
    <w:p w14:paraId="37D3CBC0" w14:textId="77777777" w:rsidR="00B11419" w:rsidRDefault="00B11419" w:rsidP="00B11419">
      <w:pPr>
        <w:rPr>
          <w:lang w:val="en-IN"/>
        </w:rPr>
      </w:pPr>
    </w:p>
    <w:p w14:paraId="533C433D" w14:textId="461350CA" w:rsidR="00B11419" w:rsidRPr="005A34E4" w:rsidRDefault="00F669B1" w:rsidP="00AC0A4F">
      <w:pPr>
        <w:pStyle w:val="Heading3"/>
        <w:rPr>
          <w:rFonts w:ascii="Times New Roman" w:hAnsi="Times New Roman"/>
          <w:bCs/>
          <w:sz w:val="36"/>
          <w:szCs w:val="36"/>
          <w:lang w:val="en-IN"/>
        </w:rPr>
      </w:pPr>
      <w:bookmarkStart w:id="44" w:name="_Toc25484985"/>
      <w:r>
        <w:rPr>
          <w:lang w:val="en-IN"/>
        </w:rPr>
        <w:lastRenderedPageBreak/>
        <w:t>Research locations</w:t>
      </w:r>
      <w:bookmarkEnd w:id="44"/>
    </w:p>
    <w:p w14:paraId="0D545258" w14:textId="7F3CCE03" w:rsidR="00B11419" w:rsidRPr="00B11419" w:rsidRDefault="00B11419" w:rsidP="00B11419">
      <w:pPr>
        <w:keepNext/>
        <w:rPr>
          <w:rFonts w:ascii="Times New Roman" w:hAnsi="Times New Roman"/>
          <w:b/>
          <w:bCs/>
          <w:sz w:val="36"/>
          <w:szCs w:val="36"/>
          <w:lang w:val="en-IN"/>
        </w:rPr>
      </w:pPr>
      <w:r w:rsidRPr="005A34E4">
        <w:rPr>
          <w:lang w:val="en-IN"/>
        </w:rPr>
        <w:t>We selected locations that would allow us to learn from diverse contexts. We considered two key factors:</w:t>
      </w:r>
    </w:p>
    <w:p w14:paraId="76E7B289" w14:textId="77777777" w:rsidR="00B11419" w:rsidRPr="00AC0A4F" w:rsidRDefault="00B11419" w:rsidP="00B11419">
      <w:pPr>
        <w:keepNext/>
        <w:rPr>
          <w:lang w:val="en-IN"/>
        </w:rPr>
      </w:pPr>
      <w:r w:rsidRPr="00AC0A4F">
        <w:rPr>
          <w:lang w:val="en-IN"/>
        </w:rPr>
        <w:t>Geographic diversity across India, with representation from:</w:t>
      </w:r>
    </w:p>
    <w:p w14:paraId="31B9374B" w14:textId="77777777" w:rsidR="00B11419" w:rsidRPr="00B11419" w:rsidRDefault="00B11419" w:rsidP="00B11419">
      <w:pPr>
        <w:pStyle w:val="ListParagraph"/>
        <w:keepNext/>
        <w:numPr>
          <w:ilvl w:val="0"/>
          <w:numId w:val="45"/>
        </w:numPr>
        <w:rPr>
          <w:lang w:val="en-IN"/>
        </w:rPr>
      </w:pPr>
      <w:r w:rsidRPr="00B11419">
        <w:rPr>
          <w:lang w:val="en-IN"/>
        </w:rPr>
        <w:t>The North (the Hindi-belt)</w:t>
      </w:r>
    </w:p>
    <w:p w14:paraId="298B0619" w14:textId="77777777" w:rsidR="00B11419" w:rsidRPr="00B11419" w:rsidRDefault="00B11419" w:rsidP="00B11419">
      <w:pPr>
        <w:pStyle w:val="ListParagraph"/>
        <w:keepNext/>
        <w:numPr>
          <w:ilvl w:val="0"/>
          <w:numId w:val="45"/>
        </w:numPr>
        <w:rPr>
          <w:lang w:val="en-IN"/>
        </w:rPr>
      </w:pPr>
      <w:r w:rsidRPr="00B11419">
        <w:rPr>
          <w:lang w:val="en-IN"/>
        </w:rPr>
        <w:t>The South</w:t>
      </w:r>
    </w:p>
    <w:p w14:paraId="5575BC5B" w14:textId="77777777" w:rsidR="00B11419" w:rsidRPr="00B11419" w:rsidRDefault="00B11419" w:rsidP="00B11419">
      <w:pPr>
        <w:pStyle w:val="ListParagraph"/>
        <w:keepNext/>
        <w:numPr>
          <w:ilvl w:val="0"/>
          <w:numId w:val="45"/>
        </w:numPr>
        <w:rPr>
          <w:lang w:val="en-IN"/>
        </w:rPr>
      </w:pPr>
      <w:r w:rsidRPr="00B11419">
        <w:rPr>
          <w:lang w:val="en-IN"/>
        </w:rPr>
        <w:t>The Northeast</w:t>
      </w:r>
    </w:p>
    <w:p w14:paraId="20C7CFA5" w14:textId="77777777" w:rsidR="00B11419" w:rsidRPr="00B11419" w:rsidRDefault="00B11419" w:rsidP="00B11419">
      <w:pPr>
        <w:pStyle w:val="ListParagraph"/>
        <w:numPr>
          <w:ilvl w:val="0"/>
          <w:numId w:val="45"/>
        </w:numPr>
        <w:rPr>
          <w:lang w:val="en-IN"/>
        </w:rPr>
      </w:pPr>
      <w:r w:rsidRPr="00B11419">
        <w:rPr>
          <w:lang w:val="en-IN"/>
        </w:rPr>
        <w:t>The West</w:t>
      </w:r>
    </w:p>
    <w:p w14:paraId="2C75A597" w14:textId="77777777" w:rsidR="00B11419" w:rsidRPr="00AC0A4F" w:rsidRDefault="00B11419" w:rsidP="00B11419">
      <w:pPr>
        <w:rPr>
          <w:lang w:val="en-IN"/>
        </w:rPr>
      </w:pPr>
      <w:r w:rsidRPr="00AC0A4F">
        <w:rPr>
          <w:lang w:val="en-IN"/>
        </w:rPr>
        <w:t>Insights from survey data, with a focus on states that had interesting or contrasting findings across metrics like:</w:t>
      </w:r>
    </w:p>
    <w:p w14:paraId="385E519F" w14:textId="77777777" w:rsidR="00B11419" w:rsidRPr="00B11419" w:rsidRDefault="00B11419" w:rsidP="00B11419">
      <w:pPr>
        <w:pStyle w:val="ListParagraph"/>
        <w:numPr>
          <w:ilvl w:val="0"/>
          <w:numId w:val="46"/>
        </w:numPr>
        <w:rPr>
          <w:lang w:val="en-IN"/>
        </w:rPr>
      </w:pPr>
      <w:r w:rsidRPr="00B11419">
        <w:rPr>
          <w:lang w:val="en-IN"/>
        </w:rPr>
        <w:t>Aadhaar penetration</w:t>
      </w:r>
    </w:p>
    <w:p w14:paraId="156E0A58" w14:textId="77777777" w:rsidR="00B11419" w:rsidRPr="00B11419" w:rsidRDefault="00B11419" w:rsidP="00B11419">
      <w:pPr>
        <w:pStyle w:val="ListParagraph"/>
        <w:numPr>
          <w:ilvl w:val="0"/>
          <w:numId w:val="46"/>
        </w:numPr>
        <w:rPr>
          <w:lang w:val="en-IN"/>
        </w:rPr>
      </w:pPr>
      <w:r w:rsidRPr="00B11419">
        <w:rPr>
          <w:lang w:val="en-IN"/>
        </w:rPr>
        <w:t>Awareness around Aadhaar</w:t>
      </w:r>
    </w:p>
    <w:p w14:paraId="398F93AE" w14:textId="77777777" w:rsidR="00B11419" w:rsidRPr="00B11419" w:rsidRDefault="00B11419" w:rsidP="00B11419">
      <w:pPr>
        <w:pStyle w:val="ListParagraph"/>
        <w:numPr>
          <w:ilvl w:val="0"/>
          <w:numId w:val="46"/>
        </w:numPr>
        <w:rPr>
          <w:lang w:val="en-IN"/>
        </w:rPr>
      </w:pPr>
      <w:r w:rsidRPr="00B11419">
        <w:rPr>
          <w:lang w:val="en-IN"/>
        </w:rPr>
        <w:t>Access to and exclusion from services due to Aadhaar</w:t>
      </w:r>
    </w:p>
    <w:p w14:paraId="1F5A149C" w14:textId="71983898" w:rsidR="00B11419" w:rsidRPr="00AC0A4F" w:rsidRDefault="00B11419" w:rsidP="00B11419">
      <w:pPr>
        <w:pStyle w:val="ListParagraph"/>
        <w:numPr>
          <w:ilvl w:val="0"/>
          <w:numId w:val="46"/>
        </w:numPr>
        <w:rPr>
          <w:lang w:val="en-IN"/>
        </w:rPr>
      </w:pPr>
      <w:r w:rsidRPr="00B11419">
        <w:rPr>
          <w:lang w:val="en-IN"/>
        </w:rPr>
        <w:t>Trust in Aadhaar, among others</w:t>
      </w:r>
    </w:p>
    <w:p w14:paraId="5DD56D5A" w14:textId="785717A0" w:rsidR="00B11419" w:rsidRPr="00AC0A4F" w:rsidRDefault="00F669B1" w:rsidP="00F669B1">
      <w:pPr>
        <w:pStyle w:val="Caption"/>
      </w:pPr>
      <w:r>
        <w:t xml:space="preserve">Figure </w:t>
      </w:r>
      <w:r>
        <w:fldChar w:fldCharType="begin"/>
      </w:r>
      <w:r>
        <w:instrText xml:space="preserve"> SEQ Figure \* ARABIC </w:instrText>
      </w:r>
      <w:r>
        <w:fldChar w:fldCharType="separate"/>
      </w:r>
      <w:r w:rsidR="007C5E3A">
        <w:rPr>
          <w:noProof/>
        </w:rPr>
        <w:t>3</w:t>
      </w:r>
      <w:r>
        <w:fldChar w:fldCharType="end"/>
      </w:r>
      <w:r>
        <w:t>:D</w:t>
      </w:r>
      <w:r w:rsidRPr="0086705E">
        <w:t>ata used to shortlist</w:t>
      </w:r>
      <w:r>
        <w:t xml:space="preserve"> HCD</w:t>
      </w:r>
      <w:r w:rsidRPr="0086705E">
        <w:t xml:space="preserve"> locations (Source: Dalberg State of Aadhaar survey)</w:t>
      </w:r>
    </w:p>
    <w:tbl>
      <w:tblPr>
        <w:tblW w:w="0" w:type="auto"/>
        <w:tblCellMar>
          <w:top w:w="15" w:type="dxa"/>
          <w:left w:w="15" w:type="dxa"/>
          <w:bottom w:w="15" w:type="dxa"/>
          <w:right w:w="15" w:type="dxa"/>
        </w:tblCellMar>
        <w:tblLook w:val="04A0" w:firstRow="1" w:lastRow="0" w:firstColumn="1" w:lastColumn="0" w:noHBand="0" w:noVBand="1"/>
      </w:tblPr>
      <w:tblGrid>
        <w:gridCol w:w="1412"/>
        <w:gridCol w:w="1158"/>
        <w:gridCol w:w="1161"/>
        <w:gridCol w:w="1107"/>
        <w:gridCol w:w="836"/>
        <w:gridCol w:w="836"/>
        <w:gridCol w:w="983"/>
        <w:gridCol w:w="1174"/>
        <w:gridCol w:w="915"/>
      </w:tblGrid>
      <w:tr w:rsidR="00AC0A4F" w:rsidRPr="00AC0A4F" w14:paraId="53BB6D9F" w14:textId="77777777" w:rsidTr="00AC0A4F">
        <w:trPr>
          <w:trHeight w:val="737"/>
        </w:trPr>
        <w:tc>
          <w:tcPr>
            <w:tcW w:w="1550" w:type="dxa"/>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5FD0F6E0" w14:textId="77777777" w:rsidR="00B11419" w:rsidRPr="00AC0A4F" w:rsidRDefault="00B11419" w:rsidP="00AC0A4F">
            <w:pPr>
              <w:keepNext/>
              <w:spacing w:after="0" w:line="240" w:lineRule="auto"/>
              <w:jc w:val="center"/>
              <w:rPr>
                <w:b/>
                <w:bCs/>
                <w:sz w:val="18"/>
                <w:lang w:val="en-IN"/>
              </w:rPr>
            </w:pPr>
            <w:r w:rsidRPr="00AC0A4F">
              <w:rPr>
                <w:b/>
                <w:bCs/>
                <w:sz w:val="18"/>
                <w:lang w:val="en-IN"/>
              </w:rPr>
              <w:t>Location</w:t>
            </w:r>
          </w:p>
        </w:tc>
        <w:tc>
          <w:tcPr>
            <w:tcW w:w="861" w:type="dxa"/>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6E9BDFC4" w14:textId="77777777" w:rsidR="00B11419" w:rsidRPr="00AC0A4F" w:rsidRDefault="00B11419" w:rsidP="00AC0A4F">
            <w:pPr>
              <w:keepNext/>
              <w:spacing w:after="0" w:line="240" w:lineRule="auto"/>
              <w:jc w:val="center"/>
              <w:rPr>
                <w:b/>
                <w:bCs/>
                <w:sz w:val="18"/>
                <w:lang w:val="en-IN"/>
              </w:rPr>
            </w:pPr>
            <w:r w:rsidRPr="00AC0A4F">
              <w:rPr>
                <w:b/>
                <w:bCs/>
                <w:sz w:val="18"/>
                <w:lang w:val="en-IN"/>
              </w:rPr>
              <w:t>Geographic region</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6CE44DB9" w14:textId="77777777" w:rsidR="00B11419" w:rsidRPr="00AC0A4F" w:rsidRDefault="00B11419" w:rsidP="00AC0A4F">
            <w:pPr>
              <w:keepNext/>
              <w:spacing w:after="0" w:line="240" w:lineRule="auto"/>
              <w:jc w:val="center"/>
              <w:rPr>
                <w:b/>
                <w:bCs/>
                <w:sz w:val="18"/>
                <w:lang w:val="en-IN"/>
              </w:rPr>
            </w:pPr>
            <w:r w:rsidRPr="00AC0A4F">
              <w:rPr>
                <w:b/>
                <w:bCs/>
                <w:sz w:val="18"/>
                <w:lang w:val="en-IN"/>
              </w:rPr>
              <w:t>Penetration</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0D86A53A" w14:textId="77777777" w:rsidR="00B11419" w:rsidRPr="00AC0A4F" w:rsidRDefault="00B11419" w:rsidP="00AC0A4F">
            <w:pPr>
              <w:keepNext/>
              <w:spacing w:after="0" w:line="240" w:lineRule="auto"/>
              <w:jc w:val="center"/>
              <w:rPr>
                <w:b/>
                <w:bCs/>
                <w:sz w:val="18"/>
                <w:lang w:val="en-IN"/>
              </w:rPr>
            </w:pPr>
            <w:r w:rsidRPr="00AC0A4F">
              <w:rPr>
                <w:b/>
                <w:bCs/>
                <w:sz w:val="18"/>
                <w:lang w:val="en-IN"/>
              </w:rPr>
              <w:t>Awareness around Aadhaar</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017D4EA8" w14:textId="77777777" w:rsidR="00B11419" w:rsidRPr="00AC0A4F" w:rsidRDefault="00B11419" w:rsidP="00AC0A4F">
            <w:pPr>
              <w:keepNext/>
              <w:spacing w:after="0" w:line="240" w:lineRule="auto"/>
              <w:jc w:val="center"/>
              <w:rPr>
                <w:b/>
                <w:bCs/>
                <w:sz w:val="18"/>
                <w:lang w:val="en-IN"/>
              </w:rPr>
            </w:pPr>
            <w:r w:rsidRPr="00AC0A4F">
              <w:rPr>
                <w:b/>
                <w:bCs/>
                <w:sz w:val="18"/>
                <w:lang w:val="en-IN"/>
              </w:rPr>
              <w:t>Tried to enrol but failed</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778B05DA" w14:textId="08AD1ADE" w:rsidR="00B11419" w:rsidRPr="00AC0A4F" w:rsidRDefault="00AC0A4F" w:rsidP="00AC0A4F">
            <w:pPr>
              <w:keepNext/>
              <w:spacing w:after="0" w:line="240" w:lineRule="auto"/>
              <w:jc w:val="center"/>
              <w:rPr>
                <w:b/>
                <w:bCs/>
                <w:sz w:val="18"/>
                <w:lang w:val="en-IN"/>
              </w:rPr>
            </w:pPr>
            <w:r w:rsidRPr="00AC0A4F">
              <w:rPr>
                <w:b/>
                <w:bCs/>
                <w:sz w:val="18"/>
                <w:lang w:val="en-IN"/>
              </w:rPr>
              <w:t xml:space="preserve">Denial of </w:t>
            </w:r>
            <w:r w:rsidR="00B11419" w:rsidRPr="00AC0A4F">
              <w:rPr>
                <w:b/>
                <w:bCs/>
                <w:sz w:val="18"/>
                <w:lang w:val="en-IN"/>
              </w:rPr>
              <w:t>midday meals</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2B6C8025" w14:textId="77777777" w:rsidR="00B11419" w:rsidRPr="00AC0A4F" w:rsidRDefault="00B11419" w:rsidP="00AC0A4F">
            <w:pPr>
              <w:keepNext/>
              <w:spacing w:after="0" w:line="240" w:lineRule="auto"/>
              <w:jc w:val="center"/>
              <w:rPr>
                <w:b/>
                <w:bCs/>
                <w:sz w:val="18"/>
                <w:lang w:val="en-IN"/>
              </w:rPr>
            </w:pPr>
            <w:r w:rsidRPr="00AC0A4F">
              <w:rPr>
                <w:b/>
                <w:bCs/>
                <w:sz w:val="18"/>
                <w:lang w:val="en-IN"/>
              </w:rPr>
              <w:t>Exclusion from PDS (ration)</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7C7CE055" w14:textId="77777777" w:rsidR="00B11419" w:rsidRPr="00AC0A4F" w:rsidRDefault="00B11419" w:rsidP="00AC0A4F">
            <w:pPr>
              <w:keepNext/>
              <w:spacing w:after="0" w:line="240" w:lineRule="auto"/>
              <w:jc w:val="center"/>
              <w:rPr>
                <w:b/>
                <w:bCs/>
                <w:sz w:val="18"/>
                <w:lang w:val="en-IN"/>
              </w:rPr>
            </w:pPr>
            <w:r w:rsidRPr="00AC0A4F">
              <w:rPr>
                <w:b/>
                <w:bCs/>
                <w:sz w:val="18"/>
                <w:lang w:val="en-IN"/>
              </w:rPr>
              <w:t>Satisfaction with Aadhaar</w:t>
            </w:r>
          </w:p>
        </w:tc>
        <w:tc>
          <w:tcPr>
            <w:tcW w:w="0" w:type="auto"/>
            <w:tcBorders>
              <w:top w:val="single" w:sz="8" w:space="0" w:color="CCCCCC"/>
              <w:left w:val="single" w:sz="8" w:space="0" w:color="CCCCCC"/>
              <w:bottom w:val="single" w:sz="8" w:space="0" w:color="CCCCCC"/>
              <w:right w:val="single" w:sz="8" w:space="0" w:color="CCCCCC"/>
            </w:tcBorders>
            <w:shd w:val="clear" w:color="auto" w:fill="68B7E9"/>
            <w:tcMar>
              <w:top w:w="100" w:type="dxa"/>
              <w:left w:w="100" w:type="dxa"/>
              <w:bottom w:w="100" w:type="dxa"/>
              <w:right w:w="100" w:type="dxa"/>
            </w:tcMar>
            <w:hideMark/>
          </w:tcPr>
          <w:p w14:paraId="5DB7155D" w14:textId="77777777" w:rsidR="00B11419" w:rsidRPr="00AC0A4F" w:rsidRDefault="00B11419" w:rsidP="00AC0A4F">
            <w:pPr>
              <w:keepNext/>
              <w:spacing w:after="0" w:line="240" w:lineRule="auto"/>
              <w:jc w:val="center"/>
              <w:rPr>
                <w:b/>
                <w:bCs/>
                <w:sz w:val="18"/>
                <w:lang w:val="en-IN"/>
              </w:rPr>
            </w:pPr>
            <w:r w:rsidRPr="00AC0A4F">
              <w:rPr>
                <w:b/>
                <w:bCs/>
                <w:sz w:val="18"/>
                <w:lang w:val="en-IN"/>
              </w:rPr>
              <w:t>Trust in Aadhaar</w:t>
            </w:r>
          </w:p>
        </w:tc>
      </w:tr>
      <w:tr w:rsidR="00AC0A4F" w:rsidRPr="00AC0A4F" w14:paraId="38538868" w14:textId="77777777" w:rsidTr="00AC0A4F">
        <w:trPr>
          <w:trHeight w:val="20"/>
        </w:trPr>
        <w:tc>
          <w:tcPr>
            <w:tcW w:w="155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5869489F" w14:textId="77777777" w:rsidR="00B11419" w:rsidRPr="00AC0A4F" w:rsidRDefault="00B11419" w:rsidP="00AC0A4F">
            <w:pPr>
              <w:keepNext/>
              <w:spacing w:after="0" w:line="240" w:lineRule="auto"/>
              <w:rPr>
                <w:sz w:val="18"/>
                <w:lang w:val="en-IN"/>
              </w:rPr>
            </w:pPr>
            <w:r w:rsidRPr="00AC0A4F">
              <w:rPr>
                <w:sz w:val="18"/>
                <w:lang w:val="en-IN"/>
              </w:rPr>
              <w:t>1. Bihar</w:t>
            </w:r>
          </w:p>
        </w:tc>
        <w:tc>
          <w:tcPr>
            <w:tcW w:w="861"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5A13F020" w14:textId="77777777" w:rsidR="00B11419" w:rsidRPr="00AC0A4F" w:rsidRDefault="00B11419" w:rsidP="00AC0A4F">
            <w:pPr>
              <w:keepNext/>
              <w:spacing w:after="0" w:line="240" w:lineRule="auto"/>
              <w:rPr>
                <w:sz w:val="18"/>
                <w:lang w:val="en-IN"/>
              </w:rPr>
            </w:pPr>
            <w:r w:rsidRPr="00AC0A4F">
              <w:rPr>
                <w:sz w:val="18"/>
                <w:lang w:val="en-IN"/>
              </w:rPr>
              <w:t>North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49EFD8D6" w14:textId="77777777" w:rsidR="00B11419" w:rsidRPr="00AC0A4F" w:rsidRDefault="00B11419" w:rsidP="00AC0A4F">
            <w:pPr>
              <w:keepNext/>
              <w:spacing w:after="0" w:line="240" w:lineRule="auto"/>
              <w:rPr>
                <w:sz w:val="18"/>
                <w:lang w:val="en-IN"/>
              </w:rPr>
            </w:pPr>
            <w:r w:rsidRPr="00AC0A4F">
              <w:rPr>
                <w:sz w:val="18"/>
                <w:lang w:val="en-IN"/>
              </w:rPr>
              <w:t>95.5%</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115E6216" w14:textId="77777777" w:rsidR="00B11419" w:rsidRPr="00AC0A4F" w:rsidRDefault="00B11419" w:rsidP="00AC0A4F">
            <w:pPr>
              <w:keepNext/>
              <w:spacing w:after="0" w:line="240" w:lineRule="auto"/>
              <w:rPr>
                <w:sz w:val="18"/>
                <w:lang w:val="en-IN"/>
              </w:rPr>
            </w:pPr>
            <w:r w:rsidRPr="00AC0A4F">
              <w:rPr>
                <w:sz w:val="18"/>
                <w:lang w:val="en-IN"/>
              </w:rPr>
              <w:t>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6CE59F63" w14:textId="77777777" w:rsidR="00B11419" w:rsidRPr="00AC0A4F" w:rsidRDefault="00B11419" w:rsidP="00AC0A4F">
            <w:pPr>
              <w:keepNext/>
              <w:spacing w:after="0" w:line="240" w:lineRule="auto"/>
              <w:rPr>
                <w:sz w:val="18"/>
                <w:lang w:val="en-IN"/>
              </w:rPr>
            </w:pPr>
            <w:r w:rsidRPr="00AC0A4F">
              <w:rPr>
                <w:sz w:val="18"/>
                <w:lang w:val="en-IN"/>
              </w:rPr>
              <w:t>Very 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38AA5188" w14:textId="77777777" w:rsidR="00B11419" w:rsidRPr="00AC0A4F" w:rsidRDefault="00B11419" w:rsidP="00AC0A4F">
            <w:pPr>
              <w:keepNext/>
              <w:spacing w:after="0" w:line="240" w:lineRule="auto"/>
              <w:rPr>
                <w:sz w:val="18"/>
                <w:lang w:val="en-IN"/>
              </w:rPr>
            </w:pPr>
            <w:r w:rsidRPr="00AC0A4F">
              <w:rPr>
                <w:sz w:val="18"/>
                <w:lang w:val="en-IN"/>
              </w:rPr>
              <w:t>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79069AD4" w14:textId="77777777" w:rsidR="00B11419" w:rsidRPr="00AC0A4F" w:rsidRDefault="00B11419" w:rsidP="00AC0A4F">
            <w:pPr>
              <w:keepNext/>
              <w:spacing w:after="0" w:line="240" w:lineRule="auto"/>
              <w:rPr>
                <w:sz w:val="18"/>
                <w:lang w:val="en-IN"/>
              </w:rPr>
            </w:pPr>
            <w:r w:rsidRPr="00AC0A4F">
              <w:rPr>
                <w:sz w:val="18"/>
                <w:lang w:val="en-IN"/>
              </w:rPr>
              <w:t>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D6EC1B6" w14:textId="77777777" w:rsidR="00B11419" w:rsidRPr="00AC0A4F" w:rsidRDefault="00B11419" w:rsidP="00AC0A4F">
            <w:pPr>
              <w:keepNext/>
              <w:spacing w:after="0" w:line="240" w:lineRule="auto"/>
              <w:rPr>
                <w:sz w:val="18"/>
                <w:lang w:val="en-IN"/>
              </w:rPr>
            </w:pPr>
            <w:r w:rsidRPr="00AC0A4F">
              <w:rPr>
                <w:sz w:val="18"/>
                <w:lang w:val="en-IN"/>
              </w:rPr>
              <w:t>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6D0A1EFC" w14:textId="77777777" w:rsidR="00B11419" w:rsidRPr="00AC0A4F" w:rsidRDefault="00B11419" w:rsidP="00AC0A4F">
            <w:pPr>
              <w:keepNext/>
              <w:spacing w:after="0" w:line="240" w:lineRule="auto"/>
              <w:rPr>
                <w:sz w:val="18"/>
                <w:lang w:val="en-IN"/>
              </w:rPr>
            </w:pPr>
            <w:r w:rsidRPr="00AC0A4F">
              <w:rPr>
                <w:sz w:val="18"/>
                <w:lang w:val="en-IN"/>
              </w:rPr>
              <w:t>Medium</w:t>
            </w:r>
          </w:p>
        </w:tc>
      </w:tr>
      <w:tr w:rsidR="00AC0A4F" w:rsidRPr="00AC0A4F" w14:paraId="299D509D" w14:textId="77777777" w:rsidTr="00AC0A4F">
        <w:trPr>
          <w:trHeight w:val="20"/>
        </w:trPr>
        <w:tc>
          <w:tcPr>
            <w:tcW w:w="155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77A4D61E" w14:textId="77777777" w:rsidR="00B11419" w:rsidRPr="00AC0A4F" w:rsidRDefault="00B11419" w:rsidP="00AC0A4F">
            <w:pPr>
              <w:keepNext/>
              <w:spacing w:after="0" w:line="240" w:lineRule="auto"/>
              <w:rPr>
                <w:sz w:val="18"/>
                <w:lang w:val="en-IN"/>
              </w:rPr>
            </w:pPr>
            <w:r w:rsidRPr="00AC0A4F">
              <w:rPr>
                <w:sz w:val="18"/>
                <w:lang w:val="en-IN"/>
              </w:rPr>
              <w:t>2. Karnataka</w:t>
            </w:r>
          </w:p>
        </w:tc>
        <w:tc>
          <w:tcPr>
            <w:tcW w:w="861"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9B74306" w14:textId="77777777" w:rsidR="00B11419" w:rsidRPr="00AC0A4F" w:rsidRDefault="00B11419" w:rsidP="00AC0A4F">
            <w:pPr>
              <w:keepNext/>
              <w:spacing w:after="0" w:line="240" w:lineRule="auto"/>
              <w:rPr>
                <w:sz w:val="18"/>
                <w:lang w:val="en-IN"/>
              </w:rPr>
            </w:pPr>
            <w:r w:rsidRPr="00AC0A4F">
              <w:rPr>
                <w:sz w:val="18"/>
                <w:lang w:val="en-IN"/>
              </w:rPr>
              <w:t>South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5692F60D" w14:textId="77777777" w:rsidR="00B11419" w:rsidRPr="00AC0A4F" w:rsidRDefault="00B11419" w:rsidP="00AC0A4F">
            <w:pPr>
              <w:keepNext/>
              <w:spacing w:after="0" w:line="240" w:lineRule="auto"/>
              <w:rPr>
                <w:sz w:val="18"/>
                <w:lang w:val="en-IN"/>
              </w:rPr>
            </w:pPr>
            <w:r w:rsidRPr="00AC0A4F">
              <w:rPr>
                <w:sz w:val="18"/>
                <w:lang w:val="en-IN"/>
              </w:rPr>
              <w:t>98.2%</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5EF62564" w14:textId="77777777" w:rsidR="00B11419" w:rsidRPr="00AC0A4F" w:rsidRDefault="00B11419" w:rsidP="00AC0A4F">
            <w:pPr>
              <w:keepNext/>
              <w:spacing w:after="0" w:line="240" w:lineRule="auto"/>
              <w:rPr>
                <w:sz w:val="18"/>
                <w:lang w:val="en-IN"/>
              </w:rPr>
            </w:pPr>
            <w:r w:rsidRPr="00AC0A4F">
              <w:rPr>
                <w:sz w:val="18"/>
                <w:lang w:val="en-IN"/>
              </w:rPr>
              <w:t>Very 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240550E9" w14:textId="77777777" w:rsidR="00B11419" w:rsidRPr="00AC0A4F" w:rsidRDefault="00B11419" w:rsidP="00AC0A4F">
            <w:pPr>
              <w:keepNext/>
              <w:spacing w:after="0" w:line="240" w:lineRule="auto"/>
              <w:rPr>
                <w:sz w:val="18"/>
                <w:lang w:val="en-IN"/>
              </w:rPr>
            </w:pPr>
            <w:r w:rsidRPr="00AC0A4F">
              <w:rPr>
                <w:sz w:val="18"/>
                <w:lang w:val="en-IN"/>
              </w:rPr>
              <w:t>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735AF26B" w14:textId="77777777" w:rsidR="00B11419" w:rsidRPr="00AC0A4F" w:rsidRDefault="00B11419" w:rsidP="00AC0A4F">
            <w:pPr>
              <w:keepNext/>
              <w:spacing w:after="0" w:line="240" w:lineRule="auto"/>
              <w:rPr>
                <w:sz w:val="18"/>
                <w:lang w:val="en-IN"/>
              </w:rPr>
            </w:pPr>
            <w:r w:rsidRPr="00AC0A4F">
              <w:rPr>
                <w:sz w:val="18"/>
                <w:lang w:val="en-IN"/>
              </w:rPr>
              <w:t>Very 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312F1E1" w14:textId="77777777" w:rsidR="00B11419" w:rsidRPr="00AC0A4F" w:rsidRDefault="00B11419" w:rsidP="00AC0A4F">
            <w:pPr>
              <w:keepNext/>
              <w:spacing w:after="0" w:line="240" w:lineRule="auto"/>
              <w:rPr>
                <w:sz w:val="18"/>
                <w:lang w:val="en-IN"/>
              </w:rPr>
            </w:pPr>
            <w:r w:rsidRPr="00AC0A4F">
              <w:rPr>
                <w:sz w:val="18"/>
                <w:lang w:val="en-IN"/>
              </w:rPr>
              <w:t>Medium</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8D5F3B9" w14:textId="77777777" w:rsidR="00B11419" w:rsidRPr="00AC0A4F" w:rsidRDefault="00B11419" w:rsidP="00AC0A4F">
            <w:pPr>
              <w:keepNext/>
              <w:spacing w:after="0" w:line="240" w:lineRule="auto"/>
              <w:rPr>
                <w:sz w:val="18"/>
                <w:lang w:val="en-IN"/>
              </w:rPr>
            </w:pPr>
            <w:r w:rsidRPr="00AC0A4F">
              <w:rPr>
                <w:sz w:val="18"/>
                <w:lang w:val="en-IN"/>
              </w:rPr>
              <w:t>Medium</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12F3AF6B" w14:textId="77777777" w:rsidR="00B11419" w:rsidRPr="00AC0A4F" w:rsidRDefault="00B11419" w:rsidP="00AC0A4F">
            <w:pPr>
              <w:keepNext/>
              <w:spacing w:after="0" w:line="240" w:lineRule="auto"/>
              <w:rPr>
                <w:sz w:val="18"/>
                <w:lang w:val="en-IN"/>
              </w:rPr>
            </w:pPr>
            <w:r w:rsidRPr="00AC0A4F">
              <w:rPr>
                <w:sz w:val="18"/>
                <w:lang w:val="en-IN"/>
              </w:rPr>
              <w:t>Medium</w:t>
            </w:r>
          </w:p>
        </w:tc>
      </w:tr>
      <w:tr w:rsidR="00AC0A4F" w:rsidRPr="00AC0A4F" w14:paraId="2297E77C" w14:textId="77777777" w:rsidTr="00AC0A4F">
        <w:trPr>
          <w:trHeight w:val="20"/>
        </w:trPr>
        <w:tc>
          <w:tcPr>
            <w:tcW w:w="155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132A5CD5" w14:textId="77777777" w:rsidR="00B11419" w:rsidRPr="00AC0A4F" w:rsidRDefault="00B11419" w:rsidP="00AC0A4F">
            <w:pPr>
              <w:keepNext/>
              <w:spacing w:after="0" w:line="240" w:lineRule="auto"/>
              <w:rPr>
                <w:sz w:val="18"/>
                <w:lang w:val="en-IN"/>
              </w:rPr>
            </w:pPr>
            <w:r w:rsidRPr="00AC0A4F">
              <w:rPr>
                <w:sz w:val="18"/>
                <w:lang w:val="en-IN"/>
              </w:rPr>
              <w:t>3. Assam </w:t>
            </w:r>
          </w:p>
          <w:p w14:paraId="5B3825A4" w14:textId="77777777" w:rsidR="00B11419" w:rsidRPr="00AC0A4F" w:rsidRDefault="00B11419" w:rsidP="00AC0A4F">
            <w:pPr>
              <w:keepNext/>
              <w:spacing w:after="0" w:line="240" w:lineRule="auto"/>
              <w:rPr>
                <w:sz w:val="18"/>
                <w:lang w:val="en-IN"/>
              </w:rPr>
            </w:pPr>
            <w:r w:rsidRPr="00AC0A4F">
              <w:rPr>
                <w:i/>
                <w:iCs/>
                <w:sz w:val="18"/>
                <w:lang w:val="en-IN"/>
              </w:rPr>
              <w:t>(only those who have Aadhaar)</w:t>
            </w:r>
          </w:p>
        </w:tc>
        <w:tc>
          <w:tcPr>
            <w:tcW w:w="861"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1408E700" w14:textId="77777777" w:rsidR="00B11419" w:rsidRPr="00AC0A4F" w:rsidRDefault="00B11419" w:rsidP="00AC0A4F">
            <w:pPr>
              <w:keepNext/>
              <w:spacing w:after="0" w:line="240" w:lineRule="auto"/>
              <w:rPr>
                <w:sz w:val="18"/>
                <w:lang w:val="en-IN"/>
              </w:rPr>
            </w:pPr>
            <w:r w:rsidRPr="00AC0A4F">
              <w:rPr>
                <w:sz w:val="18"/>
                <w:lang w:val="en-IN"/>
              </w:rPr>
              <w:t>Northeast</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3492A1B3" w14:textId="77777777" w:rsidR="00B11419" w:rsidRPr="00AC0A4F" w:rsidRDefault="00B11419" w:rsidP="00AC0A4F">
            <w:pPr>
              <w:keepNext/>
              <w:spacing w:after="0" w:line="240" w:lineRule="auto"/>
              <w:rPr>
                <w:sz w:val="18"/>
                <w:lang w:val="en-IN"/>
              </w:rPr>
            </w:pPr>
            <w:r w:rsidRPr="00AC0A4F">
              <w:rPr>
                <w:sz w:val="18"/>
                <w:lang w:val="en-IN"/>
              </w:rPr>
              <w:t>18%</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78521A6E" w14:textId="77777777" w:rsidR="00B11419" w:rsidRPr="00AC0A4F" w:rsidRDefault="00B11419" w:rsidP="00AC0A4F">
            <w:pPr>
              <w:keepNext/>
              <w:spacing w:after="0" w:line="240" w:lineRule="auto"/>
              <w:rPr>
                <w:sz w:val="18"/>
                <w:lang w:val="en-IN"/>
              </w:rPr>
            </w:pPr>
            <w:r w:rsidRPr="00AC0A4F">
              <w:rPr>
                <w:sz w:val="18"/>
                <w:lang w:val="en-IN"/>
              </w:rPr>
              <w:t>Very 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0CCD5F7" w14:textId="77777777" w:rsidR="00B11419" w:rsidRPr="00AC0A4F" w:rsidRDefault="00B11419" w:rsidP="00AC0A4F">
            <w:pPr>
              <w:keepNext/>
              <w:spacing w:after="0" w:line="240" w:lineRule="auto"/>
              <w:rPr>
                <w:sz w:val="18"/>
                <w:lang w:val="en-IN"/>
              </w:rPr>
            </w:pPr>
            <w:r w:rsidRPr="00AC0A4F">
              <w:rPr>
                <w:sz w:val="18"/>
                <w:lang w:val="en-IN"/>
              </w:rPr>
              <w:t>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230EF32B" w14:textId="77777777" w:rsidR="00B11419" w:rsidRPr="00AC0A4F" w:rsidRDefault="00B11419" w:rsidP="00AC0A4F">
            <w:pPr>
              <w:keepNext/>
              <w:spacing w:after="0" w:line="240" w:lineRule="auto"/>
              <w:rPr>
                <w:sz w:val="18"/>
                <w:lang w:val="en-IN"/>
              </w:rPr>
            </w:pPr>
            <w:r w:rsidRPr="00AC0A4F">
              <w:rPr>
                <w:sz w:val="18"/>
                <w:lang w:val="en-IN"/>
              </w:rPr>
              <w:t>Very 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F938C65" w14:textId="77777777" w:rsidR="00B11419" w:rsidRPr="00AC0A4F" w:rsidRDefault="00B11419" w:rsidP="00AC0A4F">
            <w:pPr>
              <w:keepNext/>
              <w:spacing w:after="0" w:line="240" w:lineRule="auto"/>
              <w:rPr>
                <w:sz w:val="18"/>
                <w:lang w:val="en-IN"/>
              </w:rPr>
            </w:pPr>
            <w:r w:rsidRPr="00AC0A4F">
              <w:rPr>
                <w:sz w:val="18"/>
                <w:lang w:val="en-IN"/>
              </w:rPr>
              <w:t>Very 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2A7DB504" w14:textId="77777777" w:rsidR="00B11419" w:rsidRPr="00AC0A4F" w:rsidRDefault="00B11419" w:rsidP="00AC0A4F">
            <w:pPr>
              <w:keepNext/>
              <w:spacing w:after="0" w:line="240" w:lineRule="auto"/>
              <w:rPr>
                <w:sz w:val="18"/>
                <w:lang w:val="en-IN"/>
              </w:rPr>
            </w:pPr>
            <w:r w:rsidRPr="00AC0A4F">
              <w:rPr>
                <w:sz w:val="18"/>
                <w:lang w:val="en-IN"/>
              </w:rPr>
              <w:t>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33962861" w14:textId="77777777" w:rsidR="00B11419" w:rsidRPr="00AC0A4F" w:rsidRDefault="00B11419" w:rsidP="00AC0A4F">
            <w:pPr>
              <w:keepNext/>
              <w:spacing w:after="0" w:line="240" w:lineRule="auto"/>
              <w:rPr>
                <w:sz w:val="18"/>
                <w:lang w:val="en-IN"/>
              </w:rPr>
            </w:pPr>
            <w:r w:rsidRPr="00AC0A4F">
              <w:rPr>
                <w:sz w:val="18"/>
                <w:lang w:val="en-IN"/>
              </w:rPr>
              <w:t>Low</w:t>
            </w:r>
          </w:p>
        </w:tc>
      </w:tr>
      <w:tr w:rsidR="00AC0A4F" w:rsidRPr="00AC0A4F" w14:paraId="499389C1" w14:textId="77777777" w:rsidTr="00AC0A4F">
        <w:trPr>
          <w:trHeight w:val="20"/>
        </w:trPr>
        <w:tc>
          <w:tcPr>
            <w:tcW w:w="155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38983625" w14:textId="77777777" w:rsidR="00B11419" w:rsidRPr="00AC0A4F" w:rsidRDefault="00B11419" w:rsidP="00AC0A4F">
            <w:pPr>
              <w:keepNext/>
              <w:spacing w:after="0" w:line="240" w:lineRule="auto"/>
              <w:rPr>
                <w:sz w:val="18"/>
                <w:lang w:val="en-IN"/>
              </w:rPr>
            </w:pPr>
            <w:r w:rsidRPr="00AC0A4F">
              <w:rPr>
                <w:sz w:val="18"/>
                <w:lang w:val="en-IN"/>
              </w:rPr>
              <w:t>4. Maharashtra</w:t>
            </w:r>
          </w:p>
        </w:tc>
        <w:tc>
          <w:tcPr>
            <w:tcW w:w="861"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426208D3" w14:textId="77777777" w:rsidR="00B11419" w:rsidRPr="00AC0A4F" w:rsidRDefault="00B11419" w:rsidP="00AC0A4F">
            <w:pPr>
              <w:keepNext/>
              <w:spacing w:after="0" w:line="240" w:lineRule="auto"/>
              <w:rPr>
                <w:sz w:val="18"/>
                <w:lang w:val="en-IN"/>
              </w:rPr>
            </w:pPr>
            <w:r w:rsidRPr="00AC0A4F">
              <w:rPr>
                <w:sz w:val="18"/>
                <w:lang w:val="en-IN"/>
              </w:rPr>
              <w:t>West</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45F96942" w14:textId="77777777" w:rsidR="00B11419" w:rsidRPr="00AC0A4F" w:rsidRDefault="00B11419" w:rsidP="00AC0A4F">
            <w:pPr>
              <w:keepNext/>
              <w:spacing w:after="0" w:line="240" w:lineRule="auto"/>
              <w:rPr>
                <w:sz w:val="18"/>
                <w:lang w:val="en-IN"/>
              </w:rPr>
            </w:pPr>
            <w:r w:rsidRPr="00AC0A4F">
              <w:rPr>
                <w:sz w:val="18"/>
                <w:lang w:val="en-IN"/>
              </w:rPr>
              <w:t>95.5%</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C47E451" w14:textId="77777777" w:rsidR="00B11419" w:rsidRPr="00AC0A4F" w:rsidRDefault="00B11419" w:rsidP="00AC0A4F">
            <w:pPr>
              <w:keepNext/>
              <w:spacing w:after="0" w:line="240" w:lineRule="auto"/>
              <w:rPr>
                <w:sz w:val="18"/>
                <w:lang w:val="en-IN"/>
              </w:rPr>
            </w:pPr>
            <w:r w:rsidRPr="00AC0A4F">
              <w:rPr>
                <w:sz w:val="18"/>
                <w:lang w:val="en-IN"/>
              </w:rPr>
              <w:t>Low</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3D0EBB03" w14:textId="77777777" w:rsidR="00B11419" w:rsidRPr="00AC0A4F" w:rsidRDefault="00B11419" w:rsidP="00AC0A4F">
            <w:pPr>
              <w:keepNext/>
              <w:spacing w:after="0" w:line="240" w:lineRule="auto"/>
              <w:rPr>
                <w:sz w:val="18"/>
                <w:lang w:val="en-IN"/>
              </w:rPr>
            </w:pPr>
            <w:r w:rsidRPr="00AC0A4F">
              <w:rPr>
                <w:sz w:val="18"/>
                <w:lang w:val="en-IN"/>
              </w:rPr>
              <w:t>Medium</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3D0135BD" w14:textId="77777777" w:rsidR="00B11419" w:rsidRPr="00AC0A4F" w:rsidRDefault="00B11419" w:rsidP="00AC0A4F">
            <w:pPr>
              <w:keepNext/>
              <w:spacing w:after="0" w:line="240" w:lineRule="auto"/>
              <w:rPr>
                <w:sz w:val="18"/>
                <w:lang w:val="en-IN"/>
              </w:rPr>
            </w:pPr>
            <w:r w:rsidRPr="00AC0A4F">
              <w:rPr>
                <w:sz w:val="18"/>
                <w:lang w:val="en-IN"/>
              </w:rPr>
              <w:t>Medium</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727765B4" w14:textId="77777777" w:rsidR="00B11419" w:rsidRPr="00AC0A4F" w:rsidRDefault="00B11419" w:rsidP="00AC0A4F">
            <w:pPr>
              <w:keepNext/>
              <w:spacing w:after="0" w:line="240" w:lineRule="auto"/>
              <w:rPr>
                <w:sz w:val="18"/>
                <w:lang w:val="en-IN"/>
              </w:rPr>
            </w:pPr>
            <w:r w:rsidRPr="00AC0A4F">
              <w:rPr>
                <w:sz w:val="18"/>
                <w:lang w:val="en-IN"/>
              </w:rPr>
              <w:t>Medium</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6985A69F" w14:textId="77777777" w:rsidR="00B11419" w:rsidRPr="00AC0A4F" w:rsidRDefault="00B11419" w:rsidP="00AC0A4F">
            <w:pPr>
              <w:keepNext/>
              <w:spacing w:after="0" w:line="240" w:lineRule="auto"/>
              <w:rPr>
                <w:sz w:val="18"/>
                <w:lang w:val="en-IN"/>
              </w:rPr>
            </w:pPr>
            <w:r w:rsidRPr="00AC0A4F">
              <w:rPr>
                <w:sz w:val="18"/>
                <w:lang w:val="en-IN"/>
              </w:rPr>
              <w:t>High</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475601E5" w14:textId="77777777" w:rsidR="00B11419" w:rsidRPr="00AC0A4F" w:rsidRDefault="00B11419" w:rsidP="00AC0A4F">
            <w:pPr>
              <w:keepNext/>
              <w:spacing w:after="0" w:line="240" w:lineRule="auto"/>
              <w:rPr>
                <w:sz w:val="18"/>
                <w:lang w:val="en-IN"/>
              </w:rPr>
            </w:pPr>
            <w:r w:rsidRPr="00AC0A4F">
              <w:rPr>
                <w:sz w:val="18"/>
                <w:lang w:val="en-IN"/>
              </w:rPr>
              <w:t>High</w:t>
            </w:r>
          </w:p>
        </w:tc>
      </w:tr>
    </w:tbl>
    <w:p w14:paraId="3C18899B" w14:textId="77777777" w:rsidR="00B11419" w:rsidRPr="00B11419" w:rsidRDefault="00B11419" w:rsidP="00B11419"/>
    <w:p w14:paraId="1463C6A5" w14:textId="77777777" w:rsidR="00B11419" w:rsidRPr="00B11419" w:rsidRDefault="00B11419" w:rsidP="00B11419">
      <w:r w:rsidRPr="00B11419">
        <w:t>Note: Other states on our shortlist included Rajasthan (high performance with Aadhaar and related services), Orissa (high performance with Aadhaar and related services, but poor grievance redressal), Jharkhand (poor performance with Aadhaar and related services but already heavily researched), Kerala (moderate performance with Aadhaar and related services), Meghalaya (poor penetration of Aadhaar but not part of Dalberg’s survey). These were eliminated to ensure geographic diversity and cover a range of interesting insights from the survey data.</w:t>
      </w:r>
    </w:p>
    <w:p w14:paraId="35C8543F" w14:textId="258985AF" w:rsidR="00B11419" w:rsidRPr="005A34E4" w:rsidRDefault="00F669B1" w:rsidP="00AC0A4F">
      <w:pPr>
        <w:pStyle w:val="Heading3"/>
        <w:rPr>
          <w:rFonts w:ascii="Times New Roman" w:hAnsi="Times New Roman"/>
          <w:bCs/>
          <w:sz w:val="36"/>
          <w:szCs w:val="36"/>
          <w:lang w:val="en-IN"/>
        </w:rPr>
      </w:pPr>
      <w:bookmarkStart w:id="45" w:name="_Toc25484986"/>
      <w:r>
        <w:rPr>
          <w:lang w:val="en-IN"/>
        </w:rPr>
        <w:t>People we met</w:t>
      </w:r>
      <w:bookmarkEnd w:id="45"/>
    </w:p>
    <w:p w14:paraId="0DC224CA" w14:textId="30AA05E3" w:rsidR="00B11419" w:rsidRPr="005A34E4" w:rsidRDefault="00B11419" w:rsidP="00AC0A4F">
      <w:pPr>
        <w:rPr>
          <w:rFonts w:ascii="Times New Roman" w:hAnsi="Times New Roman"/>
          <w:lang w:val="en-IN"/>
        </w:rPr>
      </w:pPr>
      <w:r w:rsidRPr="005A34E4">
        <w:rPr>
          <w:lang w:val="en-IN"/>
        </w:rPr>
        <w:t>Participants were recruited for both in-depth interviews and small group discussions. We focused on participants with a range of experiences, diverse backgrounds, varying literacy levels and age groups. We laid down precise baseline criteria for participant recruitment:</w:t>
      </w:r>
    </w:p>
    <w:p w14:paraId="6C0A0AD5" w14:textId="77777777" w:rsidR="00B11419" w:rsidRPr="005A34E4" w:rsidRDefault="00B11419" w:rsidP="00AC0A4F">
      <w:pPr>
        <w:rPr>
          <w:lang w:val="en-IN"/>
        </w:rPr>
      </w:pPr>
      <w:r w:rsidRPr="005A34E4">
        <w:rPr>
          <w:b/>
          <w:bCs/>
          <w:lang w:val="en-IN"/>
        </w:rPr>
        <w:t>Gender</w:t>
      </w:r>
      <w:r w:rsidRPr="005A34E4">
        <w:rPr>
          <w:lang w:val="en-IN"/>
        </w:rPr>
        <w:t>: Equal representation of male and female, and a few third gender participants</w:t>
      </w:r>
    </w:p>
    <w:p w14:paraId="584E8916" w14:textId="77777777" w:rsidR="00B11419" w:rsidRPr="005A34E4" w:rsidRDefault="00B11419" w:rsidP="00AC0A4F">
      <w:pPr>
        <w:rPr>
          <w:lang w:val="en-IN"/>
        </w:rPr>
      </w:pPr>
      <w:r w:rsidRPr="005A34E4">
        <w:rPr>
          <w:b/>
          <w:bCs/>
          <w:lang w:val="en-IN"/>
        </w:rPr>
        <w:t>Age</w:t>
      </w:r>
      <w:r w:rsidRPr="005A34E4">
        <w:rPr>
          <w:lang w:val="en-IN"/>
        </w:rPr>
        <w:t>: Mix of age groups (18+ years)</w:t>
      </w:r>
    </w:p>
    <w:p w14:paraId="57EDE6A2" w14:textId="77777777" w:rsidR="00B11419" w:rsidRPr="005A34E4" w:rsidRDefault="00B11419" w:rsidP="00AC0A4F">
      <w:pPr>
        <w:rPr>
          <w:lang w:val="en-IN"/>
        </w:rPr>
      </w:pPr>
      <w:r w:rsidRPr="005A34E4">
        <w:rPr>
          <w:b/>
          <w:bCs/>
          <w:lang w:val="en-IN"/>
        </w:rPr>
        <w:t>Location</w:t>
      </w:r>
      <w:r w:rsidRPr="005A34E4">
        <w:rPr>
          <w:lang w:val="en-IN"/>
        </w:rPr>
        <w:t>: Equal representation of rural and urban participants</w:t>
      </w:r>
    </w:p>
    <w:p w14:paraId="5CB5C64B" w14:textId="77777777" w:rsidR="00B11419" w:rsidRPr="005A34E4" w:rsidRDefault="00B11419" w:rsidP="00AC0A4F">
      <w:pPr>
        <w:rPr>
          <w:lang w:val="en-IN"/>
        </w:rPr>
      </w:pPr>
      <w:r w:rsidRPr="005A34E4">
        <w:rPr>
          <w:b/>
          <w:bCs/>
          <w:lang w:val="en-IN"/>
        </w:rPr>
        <w:t>Income levels</w:t>
      </w:r>
      <w:r w:rsidRPr="005A34E4">
        <w:rPr>
          <w:lang w:val="en-IN"/>
        </w:rPr>
        <w:t xml:space="preserve">: Mix of income levels with a focus on low income consumers. We did not have a strict guideline for SEC classification, but made sure there was a preference for SEC C, D and E, with no more than 2 people from SEC A and SEC </w:t>
      </w:r>
      <w:proofErr w:type="spellStart"/>
      <w:r w:rsidRPr="005A34E4">
        <w:rPr>
          <w:lang w:val="en-IN"/>
        </w:rPr>
        <w:t>B each</w:t>
      </w:r>
      <w:proofErr w:type="spellEnd"/>
      <w:r w:rsidRPr="005A34E4">
        <w:rPr>
          <w:lang w:val="en-IN"/>
        </w:rPr>
        <w:t xml:space="preserve"> per region</w:t>
      </w:r>
    </w:p>
    <w:p w14:paraId="4485053C" w14:textId="77777777" w:rsidR="00B11419" w:rsidRPr="005A34E4" w:rsidRDefault="00B11419" w:rsidP="00AC0A4F">
      <w:pPr>
        <w:rPr>
          <w:lang w:val="en-IN"/>
        </w:rPr>
      </w:pPr>
      <w:r w:rsidRPr="005A34E4">
        <w:rPr>
          <w:b/>
          <w:bCs/>
          <w:lang w:val="en-IN"/>
        </w:rPr>
        <w:t>Professions</w:t>
      </w:r>
      <w:r w:rsidRPr="005A34E4">
        <w:rPr>
          <w:lang w:val="en-IN"/>
        </w:rPr>
        <w:t>: Mix of professions, such as farmers, daily wage labourers, entry level service professionals, taxi/auto drivers, tailors, women from SHGs (</w:t>
      </w:r>
      <w:proofErr w:type="spellStart"/>
      <w:r w:rsidRPr="005A34E4">
        <w:rPr>
          <w:lang w:val="en-IN"/>
        </w:rPr>
        <w:t>self help</w:t>
      </w:r>
      <w:proofErr w:type="spellEnd"/>
      <w:r w:rsidRPr="005A34E4">
        <w:rPr>
          <w:lang w:val="en-IN"/>
        </w:rPr>
        <w:t xml:space="preserve"> groups), women involved with MFIs (micro finance institutions). We also included interviews with migrants and homeless people.</w:t>
      </w:r>
    </w:p>
    <w:p w14:paraId="3E26AE68" w14:textId="77777777" w:rsidR="00B11419" w:rsidRPr="005A34E4" w:rsidRDefault="00B11419" w:rsidP="00AC0A4F">
      <w:pPr>
        <w:rPr>
          <w:lang w:val="en-IN"/>
        </w:rPr>
      </w:pPr>
      <w:r w:rsidRPr="005A34E4">
        <w:rPr>
          <w:b/>
          <w:bCs/>
          <w:lang w:val="en-IN"/>
        </w:rPr>
        <w:lastRenderedPageBreak/>
        <w:t>Family structure</w:t>
      </w:r>
      <w:r w:rsidRPr="005A34E4">
        <w:rPr>
          <w:lang w:val="en-IN"/>
        </w:rPr>
        <w:t>: Mix of joint family, nuclear family, families with and without children, people living alone, etc.</w:t>
      </w:r>
    </w:p>
    <w:p w14:paraId="6CFD9CED" w14:textId="77777777" w:rsidR="00B11419" w:rsidRPr="005A34E4" w:rsidRDefault="00B11419" w:rsidP="00AC0A4F">
      <w:pPr>
        <w:rPr>
          <w:lang w:val="en-IN"/>
        </w:rPr>
      </w:pPr>
      <w:r w:rsidRPr="005A34E4">
        <w:rPr>
          <w:b/>
          <w:bCs/>
          <w:lang w:val="en-IN"/>
        </w:rPr>
        <w:t>Religion</w:t>
      </w:r>
      <w:r w:rsidRPr="005A34E4">
        <w:rPr>
          <w:lang w:val="en-IN"/>
        </w:rPr>
        <w:t>: Mix of religious beliefs- Hindus, Muslims, Sikhs, Christians, etc.</w:t>
      </w:r>
    </w:p>
    <w:p w14:paraId="587A256F" w14:textId="77777777" w:rsidR="00B11419" w:rsidRPr="005A34E4" w:rsidRDefault="00B11419" w:rsidP="00AC0A4F">
      <w:pPr>
        <w:rPr>
          <w:lang w:val="en-IN"/>
        </w:rPr>
      </w:pPr>
      <w:proofErr w:type="spellStart"/>
      <w:r w:rsidRPr="005A34E4">
        <w:rPr>
          <w:b/>
          <w:bCs/>
          <w:lang w:val="en-IN"/>
        </w:rPr>
        <w:t>Caste</w:t>
      </w:r>
      <w:proofErr w:type="spellEnd"/>
      <w:r w:rsidRPr="005A34E4">
        <w:rPr>
          <w:lang w:val="en-IN"/>
        </w:rPr>
        <w:t>: Mix of people from general category, ST, SC and OBC</w:t>
      </w:r>
    </w:p>
    <w:p w14:paraId="60FAFE8B" w14:textId="77777777" w:rsidR="00B11419" w:rsidRPr="005A34E4" w:rsidRDefault="00B11419" w:rsidP="00AC0A4F">
      <w:pPr>
        <w:rPr>
          <w:lang w:val="en-IN"/>
        </w:rPr>
      </w:pPr>
      <w:r w:rsidRPr="005A34E4">
        <w:rPr>
          <w:b/>
          <w:bCs/>
          <w:lang w:val="en-IN"/>
        </w:rPr>
        <w:t>Literacy</w:t>
      </w:r>
      <w:r w:rsidRPr="005A34E4">
        <w:rPr>
          <w:lang w:val="en-IN"/>
        </w:rPr>
        <w:t>: Mix of literacy levels– graduate, diploma, high/secondary/primary school, no formal education</w:t>
      </w:r>
    </w:p>
    <w:p w14:paraId="7016BB7B" w14:textId="6A271771" w:rsidR="00B11419" w:rsidRPr="00AC0A4F" w:rsidRDefault="00B11419" w:rsidP="00AC0A4F">
      <w:pPr>
        <w:rPr>
          <w:lang w:val="en-IN"/>
        </w:rPr>
      </w:pPr>
      <w:r w:rsidRPr="005A34E4">
        <w:rPr>
          <w:b/>
          <w:bCs/>
          <w:lang w:val="en-IN"/>
        </w:rPr>
        <w:t>Mobile and internet usage</w:t>
      </w:r>
      <w:r w:rsidRPr="005A34E4">
        <w:rPr>
          <w:lang w:val="en-IN"/>
        </w:rPr>
        <w:t>: Mix of no mobile, feature phones and smartphone owning participants. Mix of participants who use the internet and those who don’t.</w:t>
      </w:r>
    </w:p>
    <w:p w14:paraId="6E9F0197" w14:textId="78BB4169" w:rsidR="00B11419" w:rsidRPr="005A34E4" w:rsidRDefault="00B11419" w:rsidP="00AC0A4F">
      <w:pPr>
        <w:rPr>
          <w:rFonts w:ascii="Times New Roman" w:hAnsi="Times New Roman"/>
          <w:lang w:val="en-IN"/>
        </w:rPr>
      </w:pPr>
      <w:r w:rsidRPr="005A34E4">
        <w:rPr>
          <w:lang w:val="en-IN"/>
        </w:rPr>
        <w:t>Recruiters filled a screener document for each participant prior to the interview, to ensure a sufficiently diverse set of people. The screener includes a high degree of specificity (e.g. access to mobile phone, including type of mobile phone), so that we could cross-check and verify the screener responses with the interview participants themselves.</w:t>
      </w:r>
    </w:p>
    <w:p w14:paraId="7E311361" w14:textId="4DAE1CD7" w:rsidR="00B11419" w:rsidRPr="005A34E4" w:rsidRDefault="00B11419" w:rsidP="00AC0A4F">
      <w:pPr>
        <w:rPr>
          <w:rFonts w:ascii="Times New Roman" w:hAnsi="Times New Roman"/>
          <w:lang w:val="en-IN"/>
        </w:rPr>
      </w:pPr>
      <w:r w:rsidRPr="005A34E4">
        <w:rPr>
          <w:lang w:val="en-IN"/>
        </w:rPr>
        <w:t>In addition to the demographic characteristics listed above, we detailed illustrative participant profiles, detailing specific behaviours and experiences, for the recruiters to keep in mind while selecting people. This was to ensure that we included both the average and the more ‘extreme’ experiences in enrolling in, updating and using Aadhaar. Some of the illustrative participant profiles were:</w:t>
      </w:r>
    </w:p>
    <w:p w14:paraId="32232727" w14:textId="77777777" w:rsidR="00B11419" w:rsidRPr="00AC0A4F" w:rsidRDefault="00B11419" w:rsidP="00AC0A4F">
      <w:pPr>
        <w:pStyle w:val="ListParagraph"/>
        <w:numPr>
          <w:ilvl w:val="0"/>
          <w:numId w:val="48"/>
        </w:numPr>
        <w:rPr>
          <w:lang w:val="en-IN"/>
        </w:rPr>
      </w:pPr>
      <w:r w:rsidRPr="00AC0A4F">
        <w:rPr>
          <w:lang w:val="en-IN"/>
        </w:rPr>
        <w:t>Someone who is homeless and has Aadhaar</w:t>
      </w:r>
    </w:p>
    <w:p w14:paraId="09A1C82E" w14:textId="77777777" w:rsidR="00B11419" w:rsidRPr="00AC0A4F" w:rsidRDefault="00B11419" w:rsidP="00AC0A4F">
      <w:pPr>
        <w:pStyle w:val="ListParagraph"/>
        <w:numPr>
          <w:ilvl w:val="0"/>
          <w:numId w:val="48"/>
        </w:numPr>
        <w:rPr>
          <w:lang w:val="en-IN"/>
        </w:rPr>
      </w:pPr>
      <w:r w:rsidRPr="00AC0A4F">
        <w:rPr>
          <w:lang w:val="en-IN"/>
        </w:rPr>
        <w:t>A migrant worker/daily wage labourer who has been unable to get an Aadhaar/unable to access services due to Aadhaar related issues</w:t>
      </w:r>
    </w:p>
    <w:p w14:paraId="1E894B5A" w14:textId="77777777" w:rsidR="00B11419" w:rsidRPr="00AC0A4F" w:rsidRDefault="00B11419" w:rsidP="00AC0A4F">
      <w:pPr>
        <w:pStyle w:val="ListParagraph"/>
        <w:numPr>
          <w:ilvl w:val="0"/>
          <w:numId w:val="48"/>
        </w:numPr>
        <w:rPr>
          <w:lang w:val="en-IN"/>
        </w:rPr>
      </w:pPr>
      <w:r w:rsidRPr="00AC0A4F">
        <w:rPr>
          <w:lang w:val="en-IN"/>
        </w:rPr>
        <w:t>A third gender individual who doesn’t have Aadhaar and has never tried to enrol</w:t>
      </w:r>
    </w:p>
    <w:p w14:paraId="141C8FD8" w14:textId="1EB099D6" w:rsidR="00B11419" w:rsidRPr="00AC0A4F" w:rsidRDefault="00B11419" w:rsidP="00AC0A4F">
      <w:pPr>
        <w:pStyle w:val="ListParagraph"/>
        <w:numPr>
          <w:ilvl w:val="0"/>
          <w:numId w:val="48"/>
        </w:numPr>
        <w:rPr>
          <w:lang w:val="en-IN"/>
        </w:rPr>
      </w:pPr>
      <w:r w:rsidRPr="00AC0A4F">
        <w:rPr>
          <w:lang w:val="en-IN"/>
        </w:rPr>
        <w:t>Someone who was able to apply for agricultural/fertilizer subsidy due to Aadhaar</w:t>
      </w:r>
    </w:p>
    <w:p w14:paraId="26C70446" w14:textId="0941CA8F" w:rsidR="00B11419" w:rsidRPr="00AC0A4F" w:rsidRDefault="00B11419" w:rsidP="00AC0A4F">
      <w:pPr>
        <w:pStyle w:val="ListParagraph"/>
        <w:numPr>
          <w:ilvl w:val="0"/>
          <w:numId w:val="48"/>
        </w:numPr>
        <w:rPr>
          <w:lang w:val="en-IN"/>
        </w:rPr>
      </w:pPr>
      <w:r w:rsidRPr="00AC0A4F">
        <w:rPr>
          <w:lang w:val="en-IN"/>
        </w:rPr>
        <w:t>Someone who started receiving pension due to Aadhaar</w:t>
      </w:r>
    </w:p>
    <w:p w14:paraId="3BFBAAC0" w14:textId="7CAD7852" w:rsidR="00B11419" w:rsidRPr="00AC0A4F" w:rsidRDefault="00B11419" w:rsidP="00AC0A4F">
      <w:pPr>
        <w:pStyle w:val="ListParagraph"/>
        <w:numPr>
          <w:ilvl w:val="0"/>
          <w:numId w:val="48"/>
        </w:numPr>
        <w:rPr>
          <w:lang w:val="en-IN"/>
        </w:rPr>
      </w:pPr>
      <w:r w:rsidRPr="00AC0A4F">
        <w:rPr>
          <w:lang w:val="en-IN"/>
        </w:rPr>
        <w:t>Someone who has not received their pension due to Aadhaar related issues</w:t>
      </w:r>
    </w:p>
    <w:p w14:paraId="40D25FDE" w14:textId="5F358F6D" w:rsidR="00B11419" w:rsidRPr="00AC0A4F" w:rsidRDefault="00B11419" w:rsidP="00AC0A4F">
      <w:pPr>
        <w:pStyle w:val="ListParagraph"/>
        <w:numPr>
          <w:ilvl w:val="0"/>
          <w:numId w:val="48"/>
        </w:numPr>
        <w:rPr>
          <w:lang w:val="en-IN"/>
        </w:rPr>
      </w:pPr>
      <w:r w:rsidRPr="00AC0A4F">
        <w:rPr>
          <w:lang w:val="en-IN"/>
        </w:rPr>
        <w:t>Someone who was denied a service due to Aadhaar</w:t>
      </w:r>
    </w:p>
    <w:p w14:paraId="61B49280" w14:textId="3139DBDD" w:rsidR="00B11419" w:rsidRPr="00AC0A4F" w:rsidRDefault="00B11419" w:rsidP="00AC0A4F">
      <w:pPr>
        <w:pStyle w:val="ListParagraph"/>
        <w:numPr>
          <w:ilvl w:val="0"/>
          <w:numId w:val="48"/>
        </w:numPr>
        <w:rPr>
          <w:lang w:val="en-IN"/>
        </w:rPr>
      </w:pPr>
      <w:r w:rsidRPr="00AC0A4F">
        <w:rPr>
          <w:lang w:val="en-IN"/>
        </w:rPr>
        <w:t>Someone whose biometric/fingerprint authentication failed while using Aadhaar</w:t>
      </w:r>
    </w:p>
    <w:p w14:paraId="676523F2" w14:textId="77575098" w:rsidR="00B11419" w:rsidRDefault="00B11419" w:rsidP="00AC0A4F">
      <w:pPr>
        <w:pStyle w:val="ListParagraph"/>
        <w:numPr>
          <w:ilvl w:val="0"/>
          <w:numId w:val="48"/>
        </w:numPr>
        <w:rPr>
          <w:lang w:val="en-IN"/>
        </w:rPr>
      </w:pPr>
      <w:r w:rsidRPr="00AC0A4F">
        <w:rPr>
          <w:lang w:val="en-IN"/>
        </w:rPr>
        <w:t>Someone who was denied ration due to Aadhaar related problem</w:t>
      </w:r>
    </w:p>
    <w:p w14:paraId="1EC5CD42" w14:textId="77777777" w:rsidR="00AC0A4F" w:rsidRPr="00AC0A4F" w:rsidRDefault="00AC0A4F" w:rsidP="00AC0A4F">
      <w:pPr>
        <w:pStyle w:val="ListParagraph"/>
        <w:numPr>
          <w:ilvl w:val="0"/>
          <w:numId w:val="48"/>
        </w:numPr>
        <w:rPr>
          <w:lang w:val="en-IN"/>
        </w:rPr>
      </w:pPr>
      <w:r w:rsidRPr="00AC0A4F">
        <w:rPr>
          <w:lang w:val="en-IN"/>
        </w:rPr>
        <w:t>Someone whose child has benefited from the midday meal scheme for the first time post-Aadhaar</w:t>
      </w:r>
    </w:p>
    <w:p w14:paraId="32C4FA1A" w14:textId="4BACDFCF" w:rsidR="00B11419" w:rsidRPr="00AC0A4F" w:rsidRDefault="00AC0A4F" w:rsidP="00AC0A4F">
      <w:pPr>
        <w:pStyle w:val="ListParagraph"/>
        <w:numPr>
          <w:ilvl w:val="0"/>
          <w:numId w:val="48"/>
        </w:numPr>
        <w:rPr>
          <w:lang w:val="en-IN"/>
        </w:rPr>
      </w:pPr>
      <w:r w:rsidRPr="00AC0A4F">
        <w:rPr>
          <w:lang w:val="en-IN"/>
        </w:rPr>
        <w:t>Someone whose child has been denied enrolment in school due to lack of Aadhaar/Aadhaar related problem</w:t>
      </w:r>
    </w:p>
    <w:p w14:paraId="1BB9C92D" w14:textId="77777777" w:rsidR="00B11419" w:rsidRPr="00A13B61" w:rsidRDefault="00B11419" w:rsidP="00AC0A4F"/>
    <w:p w14:paraId="6BFBCBD8" w14:textId="2DC2F029" w:rsidR="008A0B95" w:rsidRPr="00A13B61" w:rsidRDefault="008A0B95" w:rsidP="00F511BC">
      <w:pPr>
        <w:rPr>
          <w:rFonts w:eastAsiaTheme="majorEastAsia" w:cs="Times New Roman (Headings CS)"/>
          <w:color w:val="018AAA" w:themeColor="accent2"/>
        </w:rPr>
      </w:pPr>
      <w:r w:rsidRPr="00A13B61">
        <w:br w:type="page"/>
      </w:r>
    </w:p>
    <w:p w14:paraId="7A4AE2D3" w14:textId="0FA94654" w:rsidR="00B64CBC" w:rsidRPr="00A13B61" w:rsidRDefault="00B64CBC" w:rsidP="00F511BC">
      <w:pPr>
        <w:pStyle w:val="Heading1"/>
      </w:pPr>
      <w:bookmarkStart w:id="46" w:name="_Toc25484987"/>
      <w:r w:rsidRPr="00A13B61">
        <w:lastRenderedPageBreak/>
        <w:t>Analysis</w:t>
      </w:r>
      <w:bookmarkEnd w:id="46"/>
    </w:p>
    <w:p w14:paraId="5279D1D9" w14:textId="5A55E4F3" w:rsidR="005A1CD2" w:rsidRPr="00A13B61" w:rsidRDefault="009E6C28" w:rsidP="00F511BC">
      <w:r w:rsidRPr="00AC0A4F">
        <w:rPr>
          <w:b/>
          <w:bCs/>
        </w:rPr>
        <w:t>We followed a hypothesis-led, statistically</w:t>
      </w:r>
      <w:r w:rsidR="00025999" w:rsidRPr="00AC0A4F">
        <w:rPr>
          <w:b/>
          <w:bCs/>
        </w:rPr>
        <w:t xml:space="preserve"> </w:t>
      </w:r>
      <w:r w:rsidR="00F44088" w:rsidRPr="00AC0A4F">
        <w:rPr>
          <w:b/>
          <w:bCs/>
        </w:rPr>
        <w:t>rigorous</w:t>
      </w:r>
      <w:r w:rsidR="00F73669" w:rsidRPr="00AC0A4F">
        <w:rPr>
          <w:b/>
          <w:bCs/>
        </w:rPr>
        <w:t>,</w:t>
      </w:r>
      <w:r w:rsidRPr="00AC0A4F">
        <w:rPr>
          <w:b/>
          <w:bCs/>
        </w:rPr>
        <w:t xml:space="preserve"> and reproducible approach towards </w:t>
      </w:r>
      <w:r w:rsidR="0034527B" w:rsidRPr="00AC0A4F">
        <w:rPr>
          <w:b/>
          <w:bCs/>
        </w:rPr>
        <w:t>analysing</w:t>
      </w:r>
      <w:r w:rsidRPr="00AC0A4F">
        <w:rPr>
          <w:b/>
          <w:bCs/>
        </w:rPr>
        <w:t xml:space="preserve"> the data.</w:t>
      </w:r>
      <w:r w:rsidR="008D2525" w:rsidRPr="00A13B61">
        <w:t xml:space="preserve"> I</w:t>
      </w:r>
      <w:r w:rsidRPr="00A13B61">
        <w:t xml:space="preserve">nitial </w:t>
      </w:r>
      <w:r w:rsidR="008D2525" w:rsidRPr="00A13B61">
        <w:t>hypotheses</w:t>
      </w:r>
      <w:r w:rsidRPr="00A13B61">
        <w:t xml:space="preserve"> </w:t>
      </w:r>
      <w:r w:rsidR="008D2525" w:rsidRPr="00A13B61">
        <w:t xml:space="preserve">- </w:t>
      </w:r>
      <w:r w:rsidR="00D80C6F" w:rsidRPr="00A13B61">
        <w:t xml:space="preserve">based on </w:t>
      </w:r>
      <w:r w:rsidR="008D2525" w:rsidRPr="00A13B61">
        <w:t xml:space="preserve">expert interviews </w:t>
      </w:r>
      <w:r w:rsidR="004760CD" w:rsidRPr="00A13B61">
        <w:t xml:space="preserve">and </w:t>
      </w:r>
      <w:r w:rsidR="008D2525" w:rsidRPr="00A13B61">
        <w:t xml:space="preserve">secondary research - </w:t>
      </w:r>
      <w:r w:rsidRPr="00A13B61">
        <w:t xml:space="preserve">were iterated </w:t>
      </w:r>
      <w:r w:rsidR="008D2525" w:rsidRPr="00A13B61">
        <w:t>up</w:t>
      </w:r>
      <w:r w:rsidRPr="00A13B61">
        <w:t>on, refined</w:t>
      </w:r>
      <w:r w:rsidR="000461FA" w:rsidRPr="00A13B61">
        <w:t>,</w:t>
      </w:r>
      <w:r w:rsidRPr="00A13B61">
        <w:t xml:space="preserve"> and tested</w:t>
      </w:r>
      <w:r w:rsidR="008D2525" w:rsidRPr="00A13B61">
        <w:t>. While doing so,</w:t>
      </w:r>
      <w:r w:rsidR="009924B2" w:rsidRPr="00A13B61">
        <w:t xml:space="preserve"> we strived to achieve rigor and transparency, </w:t>
      </w:r>
      <w:r w:rsidR="004760CD" w:rsidRPr="00A13B61">
        <w:t xml:space="preserve">performing comprehensive quality checks, </w:t>
      </w:r>
      <w:r w:rsidR="009924B2" w:rsidRPr="00A13B61">
        <w:t>using commonly</w:t>
      </w:r>
      <w:r w:rsidR="00025999" w:rsidRPr="00A13B61">
        <w:t xml:space="preserve"> </w:t>
      </w:r>
      <w:r w:rsidR="009924B2" w:rsidRPr="00A13B61">
        <w:t>accepted statistical tools</w:t>
      </w:r>
      <w:r w:rsidR="004760CD" w:rsidRPr="00A13B61">
        <w:t>,</w:t>
      </w:r>
      <w:r w:rsidR="009924B2" w:rsidRPr="00A13B61">
        <w:t xml:space="preserve"> </w:t>
      </w:r>
      <w:r w:rsidR="00643A9F" w:rsidRPr="00A13B61">
        <w:t>and publishing our assumptions and business rules in an open-source manner.</w:t>
      </w:r>
    </w:p>
    <w:p w14:paraId="2424F4FF" w14:textId="0ACE4F03" w:rsidR="00086D25" w:rsidRPr="00A13B61" w:rsidRDefault="00086D25" w:rsidP="00F511BC">
      <w:pPr>
        <w:pStyle w:val="Heading3"/>
      </w:pPr>
      <w:bookmarkStart w:id="47" w:name="_Toc25484988"/>
      <w:r w:rsidRPr="00A13B61">
        <w:t>Quality Checks</w:t>
      </w:r>
      <w:bookmarkEnd w:id="47"/>
    </w:p>
    <w:p w14:paraId="5DD6D7F9" w14:textId="2D895B28" w:rsidR="00235FF5" w:rsidRPr="00A13B61" w:rsidRDefault="00086D25" w:rsidP="00F511BC">
      <w:r w:rsidRPr="00A13B61">
        <w:t>W</w:t>
      </w:r>
      <w:r w:rsidR="009924B2" w:rsidRPr="00A13B61">
        <w:t xml:space="preserve">e </w:t>
      </w:r>
      <w:r w:rsidR="009858A4" w:rsidRPr="00A13B61">
        <w:t xml:space="preserve">conducted </w:t>
      </w:r>
      <w:r w:rsidR="007F0D0F" w:rsidRPr="00A13B61">
        <w:t>comprehensive quality checks.</w:t>
      </w:r>
      <w:r w:rsidR="000461FA" w:rsidRPr="00A13B61">
        <w:t xml:space="preserve"> </w:t>
      </w:r>
    </w:p>
    <w:p w14:paraId="2E485994" w14:textId="0648DA4E" w:rsidR="009858A4" w:rsidRPr="00A13B61" w:rsidRDefault="00235FF5" w:rsidP="00F511BC">
      <w:r w:rsidRPr="00A13B61">
        <w:t xml:space="preserve">We checked </w:t>
      </w:r>
      <w:r w:rsidR="005A1CD2" w:rsidRPr="00A13B61">
        <w:t xml:space="preserve">for </w:t>
      </w:r>
      <w:r w:rsidR="009858A4" w:rsidRPr="00A13B61">
        <w:t xml:space="preserve">inconsistencies within responses. For example, </w:t>
      </w:r>
      <w:r w:rsidR="00CC455B" w:rsidRPr="00A13B61">
        <w:t xml:space="preserve">we asked residents for their first, second, and third-ever ID, </w:t>
      </w:r>
      <w:r w:rsidR="009858A4" w:rsidRPr="00A13B61">
        <w:t xml:space="preserve">among a list of IDs, such as an Aadhaar card, PDS ration card, and MGNREGS job card. We also asked residents for the exact date that they received these </w:t>
      </w:r>
      <w:r w:rsidR="00CC455B" w:rsidRPr="00A13B61">
        <w:t xml:space="preserve">IDs. Therefore, we performed quality checks to ensure that what respondents reported as their first, second, and third-ever ID matched to the dates </w:t>
      </w:r>
      <w:r w:rsidR="00025999" w:rsidRPr="00A13B61">
        <w:t>when</w:t>
      </w:r>
      <w:r w:rsidR="00CC455B" w:rsidRPr="00A13B61">
        <w:t xml:space="preserve"> they reported </w:t>
      </w:r>
      <w:r w:rsidR="00025999" w:rsidRPr="00A13B61">
        <w:t xml:space="preserve">receiving </w:t>
      </w:r>
      <w:r w:rsidR="00CC455B" w:rsidRPr="00A13B61">
        <w:t>these IDs.</w:t>
      </w:r>
      <w:r w:rsidR="00D0245B" w:rsidRPr="00A13B61">
        <w:t xml:space="preserve"> </w:t>
      </w:r>
      <w:r w:rsidR="008E6C1F" w:rsidRPr="00A13B61">
        <w:t>No inconsistencies were identified.</w:t>
      </w:r>
    </w:p>
    <w:p w14:paraId="52DCF6FD" w14:textId="56A2FEC1" w:rsidR="00CC455B" w:rsidRPr="00A13B61" w:rsidRDefault="00C269DC" w:rsidP="00F511BC">
      <w:r w:rsidRPr="00A13B61">
        <w:t xml:space="preserve">In addition, we </w:t>
      </w:r>
      <w:r w:rsidR="00235FF5" w:rsidRPr="00A13B61">
        <w:t xml:space="preserve">checked </w:t>
      </w:r>
      <w:r w:rsidR="005A3D92" w:rsidRPr="00A13B61">
        <w:t>and removed some outliers</w:t>
      </w:r>
      <w:r w:rsidRPr="00A13B61">
        <w:t xml:space="preserve"> in the </w:t>
      </w:r>
      <w:r w:rsidR="008212AE" w:rsidRPr="00A13B61">
        <w:t>in-depth</w:t>
      </w:r>
      <w:r w:rsidRPr="00A13B61">
        <w:t xml:space="preserve"> survey, following the rules outlined in Table 1. We also checked for outliers in the pulse survey, </w:t>
      </w:r>
      <w:r w:rsidR="0034527B" w:rsidRPr="00A13B61">
        <w:t>analysing</w:t>
      </w:r>
      <w:r w:rsidRPr="00A13B61">
        <w:t xml:space="preserve"> statistics such as household income, household expenditure, and government transfers, among others. No outliers were identified in the pulse survey.</w:t>
      </w:r>
      <w:r w:rsidR="005A3D92" w:rsidRPr="00A13B61">
        <w:t xml:space="preserve"> </w:t>
      </w:r>
    </w:p>
    <w:p w14:paraId="36030E88" w14:textId="28161DBF" w:rsidR="00DC222D" w:rsidRPr="00A13B61" w:rsidRDefault="00DC222D" w:rsidP="003F3F98">
      <w:pPr>
        <w:pStyle w:val="Caption"/>
      </w:pPr>
      <w:r w:rsidRPr="00A13B61">
        <w:t xml:space="preserve">Table </w:t>
      </w:r>
      <w:r w:rsidR="003337BB" w:rsidRPr="00A13B61">
        <w:fldChar w:fldCharType="begin"/>
      </w:r>
      <w:r w:rsidR="003337BB" w:rsidRPr="00A13B61">
        <w:instrText xml:space="preserve"> SEQ Table \* ARABIC </w:instrText>
      </w:r>
      <w:r w:rsidR="003337BB" w:rsidRPr="00A13B61">
        <w:fldChar w:fldCharType="separate"/>
      </w:r>
      <w:r w:rsidR="007C5E3A">
        <w:rPr>
          <w:noProof/>
        </w:rPr>
        <w:t>2</w:t>
      </w:r>
      <w:r w:rsidR="003337BB" w:rsidRPr="00A13B61">
        <w:fldChar w:fldCharType="end"/>
      </w:r>
      <w:r w:rsidRPr="00A13B61">
        <w:t>: List of outlier thresholds</w:t>
      </w:r>
    </w:p>
    <w:tbl>
      <w:tblPr>
        <w:tblW w:w="9209" w:type="dxa"/>
        <w:jc w:val="center"/>
        <w:tblLook w:val="04A0" w:firstRow="1" w:lastRow="0" w:firstColumn="1" w:lastColumn="0" w:noHBand="0" w:noVBand="1"/>
      </w:tblPr>
      <w:tblGrid>
        <w:gridCol w:w="508"/>
        <w:gridCol w:w="6717"/>
        <w:gridCol w:w="1134"/>
        <w:gridCol w:w="850"/>
      </w:tblGrid>
      <w:tr w:rsidR="0024369E" w:rsidRPr="00A13B61" w14:paraId="2F51E522" w14:textId="77777777" w:rsidTr="003F3F98">
        <w:trPr>
          <w:trHeight w:val="244"/>
          <w:jc w:val="center"/>
        </w:trPr>
        <w:tc>
          <w:tcPr>
            <w:tcW w:w="508" w:type="dxa"/>
            <w:tcBorders>
              <w:top w:val="single" w:sz="4" w:space="0" w:color="auto"/>
              <w:left w:val="single" w:sz="4" w:space="0" w:color="auto"/>
              <w:bottom w:val="single" w:sz="4" w:space="0" w:color="auto"/>
              <w:right w:val="single" w:sz="4" w:space="0" w:color="auto"/>
            </w:tcBorders>
            <w:shd w:val="clear" w:color="000000" w:fill="77B8E4"/>
            <w:noWrap/>
            <w:vAlign w:val="center"/>
            <w:hideMark/>
          </w:tcPr>
          <w:p w14:paraId="63823552" w14:textId="77777777" w:rsidR="0024369E" w:rsidRPr="00A13B61" w:rsidRDefault="0024369E" w:rsidP="00D944E8">
            <w:pPr>
              <w:spacing w:after="0"/>
            </w:pPr>
            <w:r w:rsidRPr="00A13B61">
              <w:t>#</w:t>
            </w:r>
          </w:p>
        </w:tc>
        <w:tc>
          <w:tcPr>
            <w:tcW w:w="6717" w:type="dxa"/>
            <w:tcBorders>
              <w:top w:val="single" w:sz="4" w:space="0" w:color="auto"/>
              <w:left w:val="nil"/>
              <w:bottom w:val="single" w:sz="4" w:space="0" w:color="auto"/>
              <w:right w:val="single" w:sz="4" w:space="0" w:color="auto"/>
            </w:tcBorders>
            <w:shd w:val="clear" w:color="000000" w:fill="77B8E4"/>
            <w:noWrap/>
            <w:vAlign w:val="center"/>
            <w:hideMark/>
          </w:tcPr>
          <w:p w14:paraId="15447F3B" w14:textId="77777777" w:rsidR="0024369E" w:rsidRPr="00A13B61" w:rsidRDefault="0024369E" w:rsidP="00D944E8">
            <w:pPr>
              <w:spacing w:after="0"/>
            </w:pPr>
            <w:r w:rsidRPr="00A13B61">
              <w:t>Metric</w:t>
            </w:r>
          </w:p>
        </w:tc>
        <w:tc>
          <w:tcPr>
            <w:tcW w:w="1134" w:type="dxa"/>
            <w:tcBorders>
              <w:top w:val="single" w:sz="4" w:space="0" w:color="auto"/>
              <w:left w:val="nil"/>
              <w:bottom w:val="single" w:sz="4" w:space="0" w:color="auto"/>
              <w:right w:val="single" w:sz="4" w:space="0" w:color="auto"/>
            </w:tcBorders>
            <w:shd w:val="clear" w:color="000000" w:fill="77B8E4"/>
            <w:noWrap/>
            <w:vAlign w:val="center"/>
            <w:hideMark/>
          </w:tcPr>
          <w:p w14:paraId="7FD1B83F" w14:textId="71B326CA" w:rsidR="0024369E" w:rsidRPr="00A13B61" w:rsidRDefault="004C04B7" w:rsidP="00D944E8">
            <w:pPr>
              <w:spacing w:after="0"/>
            </w:pPr>
            <w:r w:rsidRPr="00A13B61">
              <w:t>Maximum t</w:t>
            </w:r>
            <w:r w:rsidR="0024369E" w:rsidRPr="00A13B61">
              <w:t>hreshold</w:t>
            </w:r>
          </w:p>
        </w:tc>
        <w:tc>
          <w:tcPr>
            <w:tcW w:w="850" w:type="dxa"/>
            <w:tcBorders>
              <w:top w:val="single" w:sz="4" w:space="0" w:color="auto"/>
              <w:left w:val="nil"/>
              <w:bottom w:val="single" w:sz="4" w:space="0" w:color="auto"/>
              <w:right w:val="single" w:sz="4" w:space="0" w:color="auto"/>
            </w:tcBorders>
            <w:shd w:val="clear" w:color="000000" w:fill="77B8E4"/>
            <w:noWrap/>
            <w:vAlign w:val="center"/>
            <w:hideMark/>
          </w:tcPr>
          <w:p w14:paraId="2B964379" w14:textId="77777777" w:rsidR="0024369E" w:rsidRPr="00A13B61" w:rsidRDefault="0024369E" w:rsidP="00D944E8">
            <w:pPr>
              <w:spacing w:after="0"/>
            </w:pPr>
            <w:r w:rsidRPr="00A13B61">
              <w:t>Units</w:t>
            </w:r>
          </w:p>
        </w:tc>
      </w:tr>
      <w:tr w:rsidR="0024369E" w:rsidRPr="00A13B61" w14:paraId="3401D10E" w14:textId="77777777" w:rsidTr="003F3F98">
        <w:trPr>
          <w:trHeight w:val="244"/>
          <w:jc w:val="center"/>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73D021D7" w14:textId="77777777" w:rsidR="0024369E" w:rsidRPr="00A13B61" w:rsidRDefault="0024369E" w:rsidP="00D944E8">
            <w:pPr>
              <w:spacing w:after="0"/>
            </w:pPr>
            <w:r w:rsidRPr="00A13B61">
              <w:t>1</w:t>
            </w:r>
          </w:p>
        </w:tc>
        <w:tc>
          <w:tcPr>
            <w:tcW w:w="6717" w:type="dxa"/>
            <w:tcBorders>
              <w:top w:val="nil"/>
              <w:left w:val="nil"/>
              <w:bottom w:val="single" w:sz="4" w:space="0" w:color="auto"/>
              <w:right w:val="single" w:sz="4" w:space="0" w:color="auto"/>
            </w:tcBorders>
            <w:shd w:val="clear" w:color="auto" w:fill="auto"/>
            <w:vAlign w:val="center"/>
            <w:hideMark/>
          </w:tcPr>
          <w:p w14:paraId="12AF22CE" w14:textId="77777777" w:rsidR="0024369E" w:rsidRPr="00A13B61" w:rsidRDefault="0024369E" w:rsidP="00D944E8">
            <w:pPr>
              <w:spacing w:after="0"/>
            </w:pPr>
            <w:r w:rsidRPr="00A13B61">
              <w:t>Total area of the PSU</w:t>
            </w:r>
          </w:p>
        </w:tc>
        <w:tc>
          <w:tcPr>
            <w:tcW w:w="1134" w:type="dxa"/>
            <w:tcBorders>
              <w:top w:val="nil"/>
              <w:left w:val="nil"/>
              <w:bottom w:val="single" w:sz="4" w:space="0" w:color="auto"/>
              <w:right w:val="single" w:sz="4" w:space="0" w:color="auto"/>
            </w:tcBorders>
            <w:shd w:val="clear" w:color="auto" w:fill="auto"/>
            <w:noWrap/>
            <w:vAlign w:val="center"/>
            <w:hideMark/>
          </w:tcPr>
          <w:p w14:paraId="63D6E950" w14:textId="77777777" w:rsidR="0024369E" w:rsidRPr="00A13B61" w:rsidRDefault="0024369E" w:rsidP="00D944E8">
            <w:pPr>
              <w:spacing w:after="0"/>
            </w:pPr>
            <w:r w:rsidRPr="00A13B61">
              <w:t>1000</w:t>
            </w:r>
          </w:p>
        </w:tc>
        <w:tc>
          <w:tcPr>
            <w:tcW w:w="850" w:type="dxa"/>
            <w:tcBorders>
              <w:top w:val="nil"/>
              <w:left w:val="nil"/>
              <w:bottom w:val="single" w:sz="4" w:space="0" w:color="auto"/>
              <w:right w:val="single" w:sz="4" w:space="0" w:color="auto"/>
            </w:tcBorders>
            <w:shd w:val="clear" w:color="auto" w:fill="auto"/>
            <w:noWrap/>
            <w:vAlign w:val="center"/>
            <w:hideMark/>
          </w:tcPr>
          <w:p w14:paraId="46C18FE8" w14:textId="727F7342" w:rsidR="0024369E" w:rsidRPr="00A13B61" w:rsidRDefault="0034527B" w:rsidP="00D944E8">
            <w:pPr>
              <w:spacing w:after="0"/>
            </w:pPr>
            <w:r w:rsidRPr="00A13B61">
              <w:t>sq.</w:t>
            </w:r>
            <w:r w:rsidR="0024369E" w:rsidRPr="00A13B61">
              <w:t xml:space="preserve"> kms</w:t>
            </w:r>
          </w:p>
        </w:tc>
      </w:tr>
      <w:tr w:rsidR="0024369E" w:rsidRPr="00A13B61" w14:paraId="132F6615" w14:textId="77777777" w:rsidTr="003F3F98">
        <w:trPr>
          <w:trHeight w:val="244"/>
          <w:jc w:val="center"/>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6C020888" w14:textId="29468F77" w:rsidR="0024369E" w:rsidRPr="00A13B61" w:rsidRDefault="00025999" w:rsidP="00D944E8">
            <w:pPr>
              <w:spacing w:after="0"/>
            </w:pPr>
            <w:r w:rsidRPr="00A13B61">
              <w:t>2</w:t>
            </w:r>
          </w:p>
        </w:tc>
        <w:tc>
          <w:tcPr>
            <w:tcW w:w="6717" w:type="dxa"/>
            <w:tcBorders>
              <w:top w:val="nil"/>
              <w:left w:val="nil"/>
              <w:bottom w:val="single" w:sz="4" w:space="0" w:color="auto"/>
              <w:right w:val="single" w:sz="4" w:space="0" w:color="auto"/>
            </w:tcBorders>
            <w:shd w:val="clear" w:color="auto" w:fill="auto"/>
            <w:vAlign w:val="center"/>
            <w:hideMark/>
          </w:tcPr>
          <w:p w14:paraId="250E3920" w14:textId="78676D75" w:rsidR="0024369E" w:rsidRPr="00A13B61" w:rsidRDefault="0024369E" w:rsidP="00D944E8">
            <w:pPr>
              <w:spacing w:after="0"/>
            </w:pPr>
            <w:r w:rsidRPr="00A13B61">
              <w:t>Number of Aadhaar enrolment centres that are present in the village</w:t>
            </w:r>
            <w:r w:rsidR="00025999" w:rsidRPr="00A13B61">
              <w:t>/ward</w:t>
            </w:r>
          </w:p>
        </w:tc>
        <w:tc>
          <w:tcPr>
            <w:tcW w:w="1134" w:type="dxa"/>
            <w:tcBorders>
              <w:top w:val="nil"/>
              <w:left w:val="nil"/>
              <w:bottom w:val="single" w:sz="4" w:space="0" w:color="auto"/>
              <w:right w:val="single" w:sz="4" w:space="0" w:color="auto"/>
            </w:tcBorders>
            <w:shd w:val="clear" w:color="auto" w:fill="auto"/>
            <w:noWrap/>
            <w:vAlign w:val="center"/>
            <w:hideMark/>
          </w:tcPr>
          <w:p w14:paraId="2DB253DF" w14:textId="4E438046" w:rsidR="0024369E" w:rsidRPr="00A13B61" w:rsidRDefault="0024369E" w:rsidP="00D944E8">
            <w:pPr>
              <w:spacing w:after="0"/>
            </w:pPr>
            <w:r w:rsidRPr="00A13B61">
              <w:t>1</w:t>
            </w:r>
            <w:r w:rsidR="00025999" w:rsidRPr="00A13B61">
              <w:t>000</w:t>
            </w:r>
          </w:p>
        </w:tc>
        <w:tc>
          <w:tcPr>
            <w:tcW w:w="850" w:type="dxa"/>
            <w:tcBorders>
              <w:top w:val="nil"/>
              <w:left w:val="nil"/>
              <w:bottom w:val="single" w:sz="4" w:space="0" w:color="auto"/>
              <w:right w:val="single" w:sz="4" w:space="0" w:color="auto"/>
            </w:tcBorders>
            <w:shd w:val="clear" w:color="auto" w:fill="auto"/>
            <w:noWrap/>
            <w:vAlign w:val="center"/>
            <w:hideMark/>
          </w:tcPr>
          <w:p w14:paraId="2D486449" w14:textId="77777777" w:rsidR="0024369E" w:rsidRPr="00A13B61" w:rsidRDefault="0024369E" w:rsidP="00D944E8">
            <w:pPr>
              <w:spacing w:after="0"/>
            </w:pPr>
            <w:r w:rsidRPr="00A13B61">
              <w:t>centres</w:t>
            </w:r>
          </w:p>
        </w:tc>
      </w:tr>
      <w:tr w:rsidR="0024369E" w:rsidRPr="00A13B61" w14:paraId="37F03EDD" w14:textId="77777777" w:rsidTr="003F3F98">
        <w:trPr>
          <w:trHeight w:val="244"/>
          <w:jc w:val="center"/>
        </w:trPr>
        <w:tc>
          <w:tcPr>
            <w:tcW w:w="508" w:type="dxa"/>
            <w:tcBorders>
              <w:top w:val="nil"/>
              <w:left w:val="single" w:sz="4" w:space="0" w:color="auto"/>
              <w:bottom w:val="single" w:sz="4" w:space="0" w:color="auto"/>
              <w:right w:val="single" w:sz="4" w:space="0" w:color="auto"/>
            </w:tcBorders>
            <w:shd w:val="clear" w:color="auto" w:fill="auto"/>
            <w:noWrap/>
            <w:vAlign w:val="center"/>
            <w:hideMark/>
          </w:tcPr>
          <w:p w14:paraId="47BC3F50" w14:textId="3430FDD3" w:rsidR="0024369E" w:rsidRPr="00A13B61" w:rsidRDefault="00025999" w:rsidP="00D944E8">
            <w:pPr>
              <w:spacing w:after="0"/>
            </w:pPr>
            <w:r w:rsidRPr="00A13B61">
              <w:t>3</w:t>
            </w:r>
          </w:p>
        </w:tc>
        <w:tc>
          <w:tcPr>
            <w:tcW w:w="6717" w:type="dxa"/>
            <w:tcBorders>
              <w:top w:val="nil"/>
              <w:left w:val="nil"/>
              <w:bottom w:val="single" w:sz="4" w:space="0" w:color="auto"/>
              <w:right w:val="single" w:sz="4" w:space="0" w:color="auto"/>
            </w:tcBorders>
            <w:shd w:val="clear" w:color="auto" w:fill="auto"/>
            <w:vAlign w:val="center"/>
            <w:hideMark/>
          </w:tcPr>
          <w:p w14:paraId="1BD5C704" w14:textId="677C9AC8" w:rsidR="0024369E" w:rsidRPr="00A13B61" w:rsidRDefault="0024369E" w:rsidP="00D944E8">
            <w:pPr>
              <w:spacing w:after="0"/>
            </w:pPr>
            <w:r w:rsidRPr="00A13B61">
              <w:t>No of trips required for linking or accessing a service (such as PDS, MGNREGS, SIM cards) with Aadhaar</w:t>
            </w:r>
          </w:p>
        </w:tc>
        <w:tc>
          <w:tcPr>
            <w:tcW w:w="1134" w:type="dxa"/>
            <w:tcBorders>
              <w:top w:val="nil"/>
              <w:left w:val="nil"/>
              <w:bottom w:val="single" w:sz="4" w:space="0" w:color="auto"/>
              <w:right w:val="single" w:sz="4" w:space="0" w:color="auto"/>
            </w:tcBorders>
            <w:shd w:val="clear" w:color="auto" w:fill="auto"/>
            <w:noWrap/>
            <w:vAlign w:val="center"/>
            <w:hideMark/>
          </w:tcPr>
          <w:p w14:paraId="7340ADF4" w14:textId="46142308" w:rsidR="0024369E" w:rsidRPr="00A13B61" w:rsidRDefault="008B1859" w:rsidP="00D944E8">
            <w:pPr>
              <w:spacing w:after="0"/>
            </w:pPr>
            <w:r>
              <w:t>5</w:t>
            </w:r>
            <w:r w:rsidRPr="00A13B61">
              <w:t>0</w:t>
            </w:r>
          </w:p>
        </w:tc>
        <w:tc>
          <w:tcPr>
            <w:tcW w:w="850" w:type="dxa"/>
            <w:tcBorders>
              <w:top w:val="nil"/>
              <w:left w:val="nil"/>
              <w:bottom w:val="single" w:sz="4" w:space="0" w:color="auto"/>
              <w:right w:val="single" w:sz="4" w:space="0" w:color="auto"/>
            </w:tcBorders>
            <w:shd w:val="clear" w:color="auto" w:fill="auto"/>
            <w:noWrap/>
            <w:vAlign w:val="center"/>
            <w:hideMark/>
          </w:tcPr>
          <w:p w14:paraId="135E711D" w14:textId="77777777" w:rsidR="0024369E" w:rsidRPr="00A13B61" w:rsidRDefault="0024369E" w:rsidP="00D944E8">
            <w:pPr>
              <w:spacing w:after="0"/>
            </w:pPr>
            <w:r w:rsidRPr="00A13B61">
              <w:t>trips</w:t>
            </w:r>
          </w:p>
        </w:tc>
      </w:tr>
    </w:tbl>
    <w:p w14:paraId="17D24E17" w14:textId="15177F7E" w:rsidR="00946A50" w:rsidRPr="00A13B61" w:rsidRDefault="005430D3" w:rsidP="00F511BC">
      <w:r w:rsidRPr="00A13B61">
        <w:t xml:space="preserve"> </w:t>
      </w:r>
    </w:p>
    <w:p w14:paraId="3DEFFBEE" w14:textId="1152DC4A" w:rsidR="00933223" w:rsidRPr="00A13B61" w:rsidRDefault="00933223" w:rsidP="00F511BC">
      <w:pPr>
        <w:pStyle w:val="Heading3"/>
      </w:pPr>
      <w:bookmarkStart w:id="48" w:name="_Toc25484989"/>
      <w:r w:rsidRPr="00A13B61">
        <w:t>Statistical Analyses</w:t>
      </w:r>
      <w:bookmarkEnd w:id="48"/>
    </w:p>
    <w:p w14:paraId="41D340C1" w14:textId="6D0D9A93" w:rsidR="00B7431D" w:rsidRPr="00A13B61" w:rsidRDefault="00B7431D" w:rsidP="00F511BC">
      <w:r w:rsidRPr="00A13B61">
        <w:rPr>
          <w:bCs/>
        </w:rPr>
        <w:t>We performed rigorous statistical analyses to</w:t>
      </w:r>
      <w:r w:rsidRPr="00A13B61">
        <w:t xml:space="preserve"> identify the most salient insights from the data. </w:t>
      </w:r>
    </w:p>
    <w:p w14:paraId="144C8EFD" w14:textId="042879C8" w:rsidR="000F637E" w:rsidRPr="00A13B61" w:rsidRDefault="004760CD" w:rsidP="00F511BC">
      <w:r w:rsidRPr="00A13B61">
        <w:t>We first developed a set of hypotheses, based on expert interviews and secondary research, which formed the foundation of our analyses. This limited the scope for data dredging</w:t>
      </w:r>
      <w:r w:rsidR="00DA1314" w:rsidRPr="00A13B61">
        <w:t xml:space="preserve"> and reduce</w:t>
      </w:r>
      <w:r w:rsidR="000065E0">
        <w:t>d</w:t>
      </w:r>
      <w:r w:rsidR="00DA1314" w:rsidRPr="00A13B61">
        <w:t xml:space="preserve"> the risk of identifying spurious correlations in the data</w:t>
      </w:r>
      <w:r w:rsidRPr="00A13B61">
        <w:t xml:space="preserve">. </w:t>
      </w:r>
      <w:r w:rsidR="00DC0732" w:rsidRPr="00A13B61">
        <w:t xml:space="preserve">We then undertook analyses that allowed us to identify statistically significant findings, which accounted for the effects of </w:t>
      </w:r>
      <w:r w:rsidR="00B7431D" w:rsidRPr="00A13B61">
        <w:t>stratification, clustering, sample weights</w:t>
      </w:r>
      <w:r w:rsidR="00DC0732" w:rsidRPr="00A13B61">
        <w:t>, and confounding variables.</w:t>
      </w:r>
    </w:p>
    <w:p w14:paraId="3BC0F63E" w14:textId="513F876A" w:rsidR="00D0245B" w:rsidRPr="00A13B61" w:rsidRDefault="00D0245B" w:rsidP="00F511BC">
      <w:r w:rsidRPr="00A13B61">
        <w:t>I</w:t>
      </w:r>
      <w:r w:rsidR="00B7431D" w:rsidRPr="00A13B61">
        <w:t>n the pulse survey, we accounted for cluster</w:t>
      </w:r>
      <w:r w:rsidR="008B1859">
        <w:t>ing</w:t>
      </w:r>
      <w:r w:rsidR="00B7431D" w:rsidRPr="00A13B61">
        <w:t xml:space="preserve"> at </w:t>
      </w:r>
      <w:r w:rsidR="008B1859">
        <w:t>a</w:t>
      </w:r>
      <w:r w:rsidR="008B1859" w:rsidRPr="00A13B61">
        <w:t xml:space="preserve"> </w:t>
      </w:r>
      <w:r w:rsidR="00B7431D" w:rsidRPr="00A13B61">
        <w:t>town and village level</w:t>
      </w:r>
      <w:r w:rsidR="008B1859">
        <w:t>,</w:t>
      </w:r>
      <w:r w:rsidR="00B7431D" w:rsidRPr="00A13B61">
        <w:t xml:space="preserve"> </w:t>
      </w:r>
      <w:r w:rsidR="008B1859" w:rsidRPr="00A13B61">
        <w:t>a</w:t>
      </w:r>
      <w:r w:rsidR="008B1859">
        <w:t>long</w:t>
      </w:r>
      <w:r w:rsidR="008B1859" w:rsidRPr="00A13B61">
        <w:t xml:space="preserve"> </w:t>
      </w:r>
      <w:r w:rsidR="008B1859">
        <w:t xml:space="preserve">with </w:t>
      </w:r>
      <w:r w:rsidR="00B7431D" w:rsidRPr="00A13B61">
        <w:t>stratifi</w:t>
      </w:r>
      <w:r w:rsidR="008B1859">
        <w:t>cation</w:t>
      </w:r>
      <w:r w:rsidR="00B7431D" w:rsidRPr="00A13B61">
        <w:t xml:space="preserve"> at the leve</w:t>
      </w:r>
      <w:r w:rsidR="000F637E" w:rsidRPr="00A13B61">
        <w:t>l</w:t>
      </w:r>
      <w:r w:rsidR="000065E0">
        <w:t xml:space="preserve"> of homogeneous regions</w:t>
      </w:r>
      <w:r w:rsidR="000F637E" w:rsidRPr="00A13B61">
        <w:t xml:space="preserve">, to prevent spurious correlation. We also used sampling weights to ensure that our findings were nationally representative. Furthermore, we performed </w:t>
      </w:r>
      <w:r w:rsidR="00DC0732" w:rsidRPr="00A13B61">
        <w:t xml:space="preserve">linear </w:t>
      </w:r>
      <w:r w:rsidR="000F637E" w:rsidRPr="00A13B61">
        <w:t>regression</w:t>
      </w:r>
      <w:r w:rsidR="004760CD" w:rsidRPr="00A13B61">
        <w:t>s</w:t>
      </w:r>
      <w:r w:rsidR="000F637E" w:rsidRPr="00A13B61">
        <w:t xml:space="preserve"> to control for variables, such as gender, religion, caste, and </w:t>
      </w:r>
      <w:r w:rsidR="004760CD" w:rsidRPr="00A13B61">
        <w:t xml:space="preserve">years of education, </w:t>
      </w:r>
      <w:r w:rsidRPr="00A13B61">
        <w:t>to identify spurious correlations from confounding variables</w:t>
      </w:r>
      <w:r w:rsidR="00DC0732" w:rsidRPr="00A13B61">
        <w:t xml:space="preserve">. </w:t>
      </w:r>
    </w:p>
    <w:p w14:paraId="1BFB18B3" w14:textId="215FCECE" w:rsidR="000D087E" w:rsidRPr="00A13B61" w:rsidRDefault="00D0245B" w:rsidP="00F511BC">
      <w:r w:rsidRPr="00A13B61">
        <w:t xml:space="preserve">In the </w:t>
      </w:r>
      <w:r w:rsidR="008212AE" w:rsidRPr="00A13B61">
        <w:t>in-depth</w:t>
      </w:r>
      <w:r w:rsidRPr="00A13B61">
        <w:t xml:space="preserve"> survey, we </w:t>
      </w:r>
      <w:r w:rsidR="00F07128">
        <w:t>accounted</w:t>
      </w:r>
      <w:r w:rsidRPr="00A13B61">
        <w:t xml:space="preserve"> for stratification, clustering, and sample weights. </w:t>
      </w:r>
      <w:r w:rsidR="00DE7455">
        <w:t xml:space="preserve">We calculated state-level normalised weights for the over-sampled dataset for increased precision of the results.  </w:t>
      </w:r>
      <w:r w:rsidRPr="00A13B61">
        <w:t xml:space="preserve">Moreover, given the </w:t>
      </w:r>
      <w:r w:rsidR="008212AE" w:rsidRPr="00A13B61">
        <w:t>in-depth</w:t>
      </w:r>
      <w:r w:rsidRPr="00A13B61">
        <w:t xml:space="preserve"> survey consists more granular data relative to the pulse survey, w</w:t>
      </w:r>
      <w:r w:rsidR="00DC0732" w:rsidRPr="00A13B61">
        <w:t>e also used non-linear tools such as classification and regression trees</w:t>
      </w:r>
      <w:r w:rsidR="00CA2DC7">
        <w:t xml:space="preserve"> (CART)</w:t>
      </w:r>
      <w:r w:rsidR="00DC0732" w:rsidRPr="00A13B61">
        <w:t xml:space="preserve"> to identify homogenous segments of key indicators</w:t>
      </w:r>
      <w:r w:rsidR="00AC2DB4" w:rsidRPr="00A13B61">
        <w:t>, to capture non-linear relationships in the data.</w:t>
      </w:r>
    </w:p>
    <w:p w14:paraId="4109605C" w14:textId="3941BCDF" w:rsidR="001D08DA" w:rsidRPr="00A13B61" w:rsidRDefault="001D08DA" w:rsidP="00F511BC"/>
    <w:p w14:paraId="29F778F3" w14:textId="65631079" w:rsidR="001D08DA" w:rsidRPr="00A13B61" w:rsidRDefault="001D08DA" w:rsidP="001E6177">
      <w:pPr>
        <w:pStyle w:val="Heading4"/>
      </w:pPr>
      <w:r w:rsidRPr="00A13B61">
        <w:t>Statistics behind our analyses</w:t>
      </w:r>
    </w:p>
    <w:p w14:paraId="1FB16594" w14:textId="7F8CC4A2" w:rsidR="00CF239B" w:rsidRPr="00A13B61" w:rsidRDefault="00CF2BF0" w:rsidP="00F511BC">
      <w:r w:rsidRPr="00A13B61">
        <w:t>In general, w</w:t>
      </w:r>
      <w:r w:rsidR="00827413" w:rsidRPr="00A13B61">
        <w:t xml:space="preserve">e follow </w:t>
      </w:r>
      <w:proofErr w:type="gramStart"/>
      <w:r w:rsidR="009316B2" w:rsidRPr="00A13B61">
        <w:t>commonly-accepted</w:t>
      </w:r>
      <w:proofErr w:type="gramEnd"/>
      <w:r w:rsidR="009316B2" w:rsidRPr="00A13B61">
        <w:t xml:space="preserve"> </w:t>
      </w:r>
      <w:r w:rsidR="00827413" w:rsidRPr="00A13B61">
        <w:t>statistical methods</w:t>
      </w:r>
      <w:r w:rsidR="004762E8" w:rsidRPr="00A13B61">
        <w:t>,</w:t>
      </w:r>
      <w:r w:rsidR="00827413" w:rsidRPr="00A13B61">
        <w:t xml:space="preserve"> outlined in the Lumley (2019) through the </w:t>
      </w:r>
      <w:r w:rsidR="00492043" w:rsidRPr="00A13B61">
        <w:t>“</w:t>
      </w:r>
      <w:r w:rsidR="00827413" w:rsidRPr="00A13B61">
        <w:t>survey</w:t>
      </w:r>
      <w:r w:rsidR="00492043" w:rsidRPr="00A13B61">
        <w:t>”</w:t>
      </w:r>
      <w:r w:rsidR="00827413" w:rsidRPr="00A13B61">
        <w:t xml:space="preserve"> package in R. For details, se</w:t>
      </w:r>
      <w:r w:rsidR="00F07128">
        <w:t xml:space="preserve">e </w:t>
      </w:r>
      <w:r w:rsidR="00F07128" w:rsidRPr="00F07128">
        <w:t>https://cran.r-project.org/web/packages/survey/survey.pdf</w:t>
      </w:r>
      <w:r w:rsidR="00827413" w:rsidRPr="00A13B61">
        <w:t>.</w:t>
      </w:r>
      <w:r w:rsidR="00F0215C" w:rsidRPr="00A13B61">
        <w:t xml:space="preserve"> </w:t>
      </w:r>
    </w:p>
    <w:p w14:paraId="6CFBE36F" w14:textId="7C4E9A2B" w:rsidR="00D0245B" w:rsidRPr="00A13B61" w:rsidRDefault="00CF2BF0" w:rsidP="00F511BC">
      <w:r w:rsidRPr="00A13B61">
        <w:t>We first calculated s</w:t>
      </w:r>
      <w:r w:rsidR="00827413" w:rsidRPr="00A13B61">
        <w:t xml:space="preserve">tandard errors </w:t>
      </w:r>
      <w:r w:rsidRPr="00A13B61">
        <w:t xml:space="preserve">using </w:t>
      </w:r>
      <w:r w:rsidR="00827413" w:rsidRPr="00A13B61">
        <w:t>the delta method or from re-sampling</w:t>
      </w:r>
      <w:r w:rsidRPr="00A13B61">
        <w:t>, to account for the clusters, strata, and weights of the survey design. We then used Welch’s unequal variances t-test, to test if differences between averages of two groups are statistically significant. We also used a generalized linear model to incorporate these design-based standard errors and inverse-probability weighting, to test for statistical significance whil</w:t>
      </w:r>
      <w:r w:rsidR="00F07128">
        <w:t>e</w:t>
      </w:r>
      <w:r w:rsidRPr="00A13B61">
        <w:t xml:space="preserve"> controlling for confounding variables.</w:t>
      </w:r>
      <w:r w:rsidR="008F1DB5" w:rsidRPr="00A13B61">
        <w:t xml:space="preserve"> Finally, we used classification and regression trees to create decision trees that outline sequences of criteria</w:t>
      </w:r>
      <w:r w:rsidR="000D474D" w:rsidRPr="00A13B61">
        <w:t xml:space="preserve"> (e.g. </w:t>
      </w:r>
      <w:r w:rsidR="008F1DB5" w:rsidRPr="00A13B61">
        <w:t>whether a resident is literate or illiterate</w:t>
      </w:r>
      <w:r w:rsidR="000D474D" w:rsidRPr="00A13B61">
        <w:t>)</w:t>
      </w:r>
      <w:r w:rsidR="008F1DB5" w:rsidRPr="00A13B61">
        <w:t xml:space="preserve"> </w:t>
      </w:r>
      <w:r w:rsidR="000D474D" w:rsidRPr="00A13B61">
        <w:t>to estimate different statistics (e.g. whether a resident has Aadhaar or not)</w:t>
      </w:r>
      <w:r w:rsidR="00EF2953" w:rsidRPr="00A13B61">
        <w:t>, to identify homogenous segments of key indicators.</w:t>
      </w:r>
    </w:p>
    <w:p w14:paraId="7D1F2996" w14:textId="3302635B" w:rsidR="00D80C6F" w:rsidRPr="00A13B61" w:rsidRDefault="00C931E9" w:rsidP="00F511BC">
      <w:pPr>
        <w:pStyle w:val="Heading3"/>
      </w:pPr>
      <w:bookmarkStart w:id="49" w:name="_Toc25484990"/>
      <w:r w:rsidRPr="00A13B61">
        <w:lastRenderedPageBreak/>
        <w:t>Business rules and a</w:t>
      </w:r>
      <w:r w:rsidR="0026627D" w:rsidRPr="00A13B61">
        <w:t>s</w:t>
      </w:r>
      <w:r w:rsidRPr="00A13B61">
        <w:t>sumptions</w:t>
      </w:r>
      <w:bookmarkEnd w:id="49"/>
    </w:p>
    <w:p w14:paraId="10FF15FF" w14:textId="0D7ACB09" w:rsidR="00BB1D7F" w:rsidRPr="00A13B61" w:rsidRDefault="0082150F" w:rsidP="00F511BC">
      <w:r w:rsidRPr="00A13B61">
        <w:t xml:space="preserve">We </w:t>
      </w:r>
      <w:r w:rsidR="00C323FD" w:rsidRPr="00A13B61">
        <w:t>followed</w:t>
      </w:r>
      <w:r w:rsidRPr="00A13B61">
        <w:t xml:space="preserve"> certain </w:t>
      </w:r>
      <w:r w:rsidR="00C323FD" w:rsidRPr="00A13B61">
        <w:t>assumption</w:t>
      </w:r>
      <w:r w:rsidR="00AF77F0" w:rsidRPr="00A13B61">
        <w:t>s</w:t>
      </w:r>
      <w:r w:rsidR="00C323FD" w:rsidRPr="00A13B61">
        <w:t xml:space="preserve"> in the defining variables and segments of interest </w:t>
      </w:r>
      <w:r w:rsidR="0034527B" w:rsidRPr="00A13B61">
        <w:t>in</w:t>
      </w:r>
      <w:r w:rsidR="00C323FD" w:rsidRPr="00A13B61">
        <w:t xml:space="preserve"> our analysis</w:t>
      </w:r>
      <w:r w:rsidR="00AF77F0" w:rsidRPr="00A13B61">
        <w:t>, listed in Table 2.</w:t>
      </w:r>
    </w:p>
    <w:p w14:paraId="63005074" w14:textId="1DACF753" w:rsidR="003C2EB2" w:rsidRPr="00A13B61" w:rsidRDefault="003C2EB2" w:rsidP="003F3F98">
      <w:pPr>
        <w:pStyle w:val="Caption"/>
      </w:pPr>
      <w:r w:rsidRPr="00A13B61">
        <w:t xml:space="preserve">Table </w:t>
      </w:r>
      <w:r w:rsidR="003337BB" w:rsidRPr="00A13B61">
        <w:fldChar w:fldCharType="begin"/>
      </w:r>
      <w:r w:rsidR="003337BB" w:rsidRPr="00A13B61">
        <w:instrText xml:space="preserve"> SEQ Table \* ARABIC </w:instrText>
      </w:r>
      <w:r w:rsidR="003337BB" w:rsidRPr="00A13B61">
        <w:fldChar w:fldCharType="separate"/>
      </w:r>
      <w:r w:rsidR="007C5E3A">
        <w:rPr>
          <w:noProof/>
        </w:rPr>
        <w:t>3</w:t>
      </w:r>
      <w:r w:rsidR="003337BB" w:rsidRPr="00A13B61">
        <w:fldChar w:fldCharType="end"/>
      </w:r>
      <w:r w:rsidRPr="00A13B61">
        <w:t>: Description of business rules</w:t>
      </w:r>
    </w:p>
    <w:tbl>
      <w:tblPr>
        <w:tblW w:w="0" w:type="auto"/>
        <w:jc w:val="center"/>
        <w:tblLayout w:type="fixed"/>
        <w:tblLook w:val="04A0" w:firstRow="1" w:lastRow="0" w:firstColumn="1" w:lastColumn="0" w:noHBand="0" w:noVBand="1"/>
      </w:tblPr>
      <w:tblGrid>
        <w:gridCol w:w="535"/>
        <w:gridCol w:w="2970"/>
        <w:gridCol w:w="6087"/>
      </w:tblGrid>
      <w:tr w:rsidR="003C2EB2" w:rsidRPr="00D944E8" w14:paraId="70E33B51" w14:textId="77777777" w:rsidTr="003F3F98">
        <w:trPr>
          <w:cantSplit/>
          <w:trHeight w:val="340"/>
          <w:tblHeader/>
          <w:jc w:val="center"/>
        </w:trPr>
        <w:tc>
          <w:tcPr>
            <w:tcW w:w="535" w:type="dxa"/>
            <w:tcBorders>
              <w:top w:val="single" w:sz="4" w:space="0" w:color="auto"/>
              <w:left w:val="single" w:sz="4" w:space="0" w:color="auto"/>
              <w:bottom w:val="single" w:sz="4" w:space="0" w:color="auto"/>
              <w:right w:val="single" w:sz="4" w:space="0" w:color="auto"/>
            </w:tcBorders>
            <w:shd w:val="clear" w:color="000000" w:fill="77B8E4"/>
            <w:noWrap/>
            <w:vAlign w:val="center"/>
            <w:hideMark/>
          </w:tcPr>
          <w:p w14:paraId="1E1B6216" w14:textId="77777777" w:rsidR="003C2EB2" w:rsidRPr="00D944E8" w:rsidRDefault="003C2EB2" w:rsidP="003F3F98">
            <w:pPr>
              <w:spacing w:beforeLines="60" w:before="144" w:afterLines="60" w:after="144" w:line="240" w:lineRule="auto"/>
              <w:rPr>
                <w:b/>
                <w:bCs/>
              </w:rPr>
            </w:pPr>
            <w:r w:rsidRPr="00D944E8">
              <w:rPr>
                <w:b/>
                <w:bCs/>
              </w:rPr>
              <w:t>#</w:t>
            </w:r>
          </w:p>
        </w:tc>
        <w:tc>
          <w:tcPr>
            <w:tcW w:w="2970" w:type="dxa"/>
            <w:tcBorders>
              <w:top w:val="single" w:sz="4" w:space="0" w:color="auto"/>
              <w:left w:val="nil"/>
              <w:bottom w:val="single" w:sz="4" w:space="0" w:color="auto"/>
              <w:right w:val="single" w:sz="4" w:space="0" w:color="auto"/>
            </w:tcBorders>
            <w:shd w:val="clear" w:color="000000" w:fill="77B8E4"/>
            <w:noWrap/>
            <w:vAlign w:val="center"/>
            <w:hideMark/>
          </w:tcPr>
          <w:p w14:paraId="1B8EA7B5" w14:textId="77777777" w:rsidR="003C2EB2" w:rsidRPr="00D944E8" w:rsidRDefault="003C2EB2" w:rsidP="003F3F98">
            <w:pPr>
              <w:spacing w:beforeLines="60" w:before="144" w:afterLines="60" w:after="144" w:line="240" w:lineRule="auto"/>
              <w:rPr>
                <w:b/>
                <w:bCs/>
              </w:rPr>
            </w:pPr>
            <w:r w:rsidRPr="00D944E8">
              <w:rPr>
                <w:b/>
                <w:bCs/>
              </w:rPr>
              <w:t>Metric</w:t>
            </w:r>
          </w:p>
        </w:tc>
        <w:tc>
          <w:tcPr>
            <w:tcW w:w="6087" w:type="dxa"/>
            <w:tcBorders>
              <w:top w:val="single" w:sz="4" w:space="0" w:color="auto"/>
              <w:left w:val="nil"/>
              <w:bottom w:val="single" w:sz="4" w:space="0" w:color="auto"/>
              <w:right w:val="single" w:sz="4" w:space="0" w:color="auto"/>
            </w:tcBorders>
            <w:shd w:val="clear" w:color="000000" w:fill="77B8E4"/>
            <w:noWrap/>
            <w:vAlign w:val="center"/>
            <w:hideMark/>
          </w:tcPr>
          <w:p w14:paraId="4AC489B1" w14:textId="77777777" w:rsidR="003C2EB2" w:rsidRPr="00D944E8" w:rsidRDefault="003C2EB2" w:rsidP="003F3F98">
            <w:pPr>
              <w:spacing w:beforeLines="60" w:before="144" w:afterLines="60" w:after="144" w:line="240" w:lineRule="auto"/>
              <w:rPr>
                <w:b/>
                <w:bCs/>
              </w:rPr>
            </w:pPr>
            <w:r w:rsidRPr="00D944E8">
              <w:rPr>
                <w:b/>
                <w:bCs/>
              </w:rPr>
              <w:t>Description of assumption</w:t>
            </w:r>
          </w:p>
        </w:tc>
      </w:tr>
      <w:tr w:rsidR="003C2EB2" w:rsidRPr="00A13B61" w14:paraId="15DEB9EE" w14:textId="77777777" w:rsidTr="003F3F98">
        <w:trPr>
          <w:cantSplit/>
          <w:trHeight w:val="340"/>
          <w:jc w:val="center"/>
        </w:trPr>
        <w:tc>
          <w:tcPr>
            <w:tcW w:w="9592"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678178" w14:textId="77777777" w:rsidR="003C2EB2" w:rsidRPr="00A13B61" w:rsidRDefault="003C2EB2" w:rsidP="003F3F98">
            <w:pPr>
              <w:spacing w:beforeLines="60" w:before="144" w:afterLines="60" w:after="144" w:line="240" w:lineRule="auto"/>
            </w:pPr>
            <w:proofErr w:type="spellStart"/>
            <w:r w:rsidRPr="00A13B61">
              <w:t>SoA</w:t>
            </w:r>
            <w:proofErr w:type="spellEnd"/>
            <w:r w:rsidRPr="00A13B61">
              <w:t xml:space="preserve"> In-depth survey</w:t>
            </w:r>
          </w:p>
        </w:tc>
      </w:tr>
      <w:tr w:rsidR="003C2EB2" w:rsidRPr="00A13B61" w14:paraId="1922C539"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C8F9111" w14:textId="77777777" w:rsidR="003C2EB2" w:rsidRPr="00A13B61" w:rsidRDefault="003C2EB2" w:rsidP="003F3F98">
            <w:pPr>
              <w:spacing w:beforeLines="60" w:before="144" w:afterLines="60" w:after="144" w:line="240" w:lineRule="auto"/>
            </w:pPr>
            <w:r w:rsidRPr="00A13B61">
              <w:t>1</w:t>
            </w:r>
          </w:p>
        </w:tc>
        <w:tc>
          <w:tcPr>
            <w:tcW w:w="2970" w:type="dxa"/>
            <w:tcBorders>
              <w:top w:val="nil"/>
              <w:left w:val="nil"/>
              <w:bottom w:val="single" w:sz="4" w:space="0" w:color="auto"/>
              <w:right w:val="single" w:sz="4" w:space="0" w:color="auto"/>
            </w:tcBorders>
            <w:shd w:val="clear" w:color="auto" w:fill="auto"/>
            <w:vAlign w:val="center"/>
            <w:hideMark/>
          </w:tcPr>
          <w:p w14:paraId="4ABCF618" w14:textId="1596109D" w:rsidR="003C2EB2" w:rsidRPr="00A13B61" w:rsidRDefault="003C2EB2" w:rsidP="003F3F98">
            <w:pPr>
              <w:spacing w:beforeLines="60" w:before="144" w:afterLines="60" w:after="144" w:line="240" w:lineRule="auto"/>
            </w:pPr>
            <w:r w:rsidRPr="00A13B61">
              <w:t xml:space="preserve">First time access to a bank account, </w:t>
            </w:r>
            <w:r w:rsidR="00025999" w:rsidRPr="00A13B61">
              <w:t>after getting</w:t>
            </w:r>
            <w:r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4E39C40B" w14:textId="12D44A31" w:rsidR="003C2EB2" w:rsidRPr="00A13B61" w:rsidRDefault="003C2EB2" w:rsidP="003F3F98">
            <w:pPr>
              <w:spacing w:beforeLines="60" w:before="144" w:afterLines="60" w:after="144" w:line="240" w:lineRule="auto"/>
            </w:pPr>
            <w:r w:rsidRPr="00A13B61">
              <w:rPr>
                <w:b/>
                <w:bCs/>
              </w:rPr>
              <w:t>YES</w:t>
            </w:r>
            <w:r w:rsidRPr="00A13B61">
              <w:t xml:space="preserve">, if the respondent has Aadhaar, they have a bank account currently, they got Aadhaar before the </w:t>
            </w:r>
            <w:r w:rsidR="00F07128">
              <w:t xml:space="preserve">first </w:t>
            </w:r>
            <w:r w:rsidRPr="00A13B61">
              <w:t xml:space="preserve">bank account, </w:t>
            </w:r>
            <w:r w:rsidRPr="00A13B61">
              <w:rPr>
                <w:b/>
                <w:bCs/>
              </w:rPr>
              <w:t>and</w:t>
            </w:r>
            <w:r w:rsidRPr="00A13B61">
              <w:t xml:space="preserve"> used Aadhaar for their most recent access to the account</w:t>
            </w:r>
          </w:p>
        </w:tc>
      </w:tr>
      <w:tr w:rsidR="003C2EB2" w:rsidRPr="00A13B61" w14:paraId="13876805"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5F4CC69" w14:textId="77777777" w:rsidR="003C2EB2" w:rsidRPr="00A13B61" w:rsidRDefault="003C2EB2" w:rsidP="003F3F98">
            <w:pPr>
              <w:spacing w:beforeLines="60" w:before="144" w:afterLines="60" w:after="144" w:line="240" w:lineRule="auto"/>
            </w:pPr>
            <w:r w:rsidRPr="00A13B61">
              <w:t>2</w:t>
            </w:r>
          </w:p>
        </w:tc>
        <w:tc>
          <w:tcPr>
            <w:tcW w:w="2970" w:type="dxa"/>
            <w:tcBorders>
              <w:top w:val="nil"/>
              <w:left w:val="nil"/>
              <w:bottom w:val="single" w:sz="4" w:space="0" w:color="auto"/>
              <w:right w:val="single" w:sz="4" w:space="0" w:color="auto"/>
            </w:tcBorders>
            <w:shd w:val="clear" w:color="auto" w:fill="auto"/>
            <w:vAlign w:val="center"/>
            <w:hideMark/>
          </w:tcPr>
          <w:p w14:paraId="7B52B487" w14:textId="6FD0370D" w:rsidR="003C2EB2" w:rsidRPr="00A13B61" w:rsidRDefault="003C2EB2" w:rsidP="003F3F98">
            <w:pPr>
              <w:spacing w:beforeLines="60" w:before="144" w:afterLines="60" w:after="144" w:line="240" w:lineRule="auto"/>
            </w:pPr>
            <w:r w:rsidRPr="00A13B61">
              <w:t xml:space="preserve">First time access to a SIM card, </w:t>
            </w:r>
            <w:r w:rsidR="00025999" w:rsidRPr="00A13B61">
              <w:t>after getting</w:t>
            </w:r>
            <w:r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2EE49DD3" w14:textId="409BBA82" w:rsidR="003C2EB2" w:rsidRPr="00A13B61" w:rsidRDefault="003C2EB2" w:rsidP="003F3F98">
            <w:pPr>
              <w:spacing w:beforeLines="60" w:before="144" w:afterLines="60" w:after="144" w:line="240" w:lineRule="auto"/>
            </w:pPr>
            <w:r w:rsidRPr="00A13B61">
              <w:rPr>
                <w:b/>
                <w:bCs/>
              </w:rPr>
              <w:t>YES</w:t>
            </w:r>
            <w:r w:rsidRPr="00A13B61">
              <w:t xml:space="preserve">, if the respondent has Aadhaar, they have a SIM currently, they got Aadhaar before the </w:t>
            </w:r>
            <w:r w:rsidR="00F07128">
              <w:t xml:space="preserve">first </w:t>
            </w:r>
            <w:r w:rsidRPr="00A13B61">
              <w:t xml:space="preserve">SIM card, </w:t>
            </w:r>
            <w:r w:rsidRPr="00A13B61">
              <w:rPr>
                <w:b/>
                <w:bCs/>
              </w:rPr>
              <w:t>and</w:t>
            </w:r>
            <w:r w:rsidRPr="00A13B61">
              <w:t xml:space="preserve"> used Aadhaar for most recent access to a SIM.</w:t>
            </w:r>
          </w:p>
        </w:tc>
      </w:tr>
      <w:tr w:rsidR="003C2EB2" w:rsidRPr="00A13B61" w14:paraId="0830AF1C"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AE3C6A" w14:textId="77777777" w:rsidR="003C2EB2" w:rsidRPr="00A13B61" w:rsidRDefault="003C2EB2" w:rsidP="003F3F98">
            <w:pPr>
              <w:spacing w:beforeLines="60" w:before="144" w:afterLines="60" w:after="144" w:line="240" w:lineRule="auto"/>
            </w:pPr>
            <w:r w:rsidRPr="00A13B61">
              <w:t>3</w:t>
            </w:r>
          </w:p>
        </w:tc>
        <w:tc>
          <w:tcPr>
            <w:tcW w:w="2970" w:type="dxa"/>
            <w:tcBorders>
              <w:top w:val="nil"/>
              <w:left w:val="nil"/>
              <w:bottom w:val="single" w:sz="4" w:space="0" w:color="auto"/>
              <w:right w:val="single" w:sz="4" w:space="0" w:color="auto"/>
            </w:tcBorders>
            <w:shd w:val="clear" w:color="auto" w:fill="auto"/>
            <w:vAlign w:val="center"/>
            <w:hideMark/>
          </w:tcPr>
          <w:p w14:paraId="53509BFA" w14:textId="2A18477F" w:rsidR="003C2EB2" w:rsidRPr="00A13B61" w:rsidRDefault="003C2EB2" w:rsidP="003F3F98">
            <w:pPr>
              <w:spacing w:beforeLines="60" w:before="144" w:afterLines="60" w:after="144" w:line="240" w:lineRule="auto"/>
            </w:pPr>
            <w:r w:rsidRPr="00A13B61">
              <w:t xml:space="preserve">First time access to MGNREGS, </w:t>
            </w:r>
            <w:r w:rsidR="00025999" w:rsidRPr="00A13B61">
              <w:t>after getting</w:t>
            </w:r>
            <w:r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567CAE1F" w14:textId="77777777" w:rsidR="003C2EB2" w:rsidRPr="00A13B61" w:rsidRDefault="003C2EB2" w:rsidP="003F3F98">
            <w:pPr>
              <w:spacing w:beforeLines="60" w:before="144" w:afterLines="60" w:after="144" w:line="240" w:lineRule="auto"/>
            </w:pPr>
            <w:r w:rsidRPr="00A13B61">
              <w:rPr>
                <w:b/>
                <w:bCs/>
              </w:rPr>
              <w:t>YES</w:t>
            </w:r>
            <w:r w:rsidRPr="00A13B61">
              <w:t>, if the respondent has Aadhaar, they have MGNREGS currently, they got Aadhaar before MGNREGS, and used Aadhaar for most recent access to the service.</w:t>
            </w:r>
          </w:p>
        </w:tc>
      </w:tr>
      <w:tr w:rsidR="003C2EB2" w:rsidRPr="00A13B61" w14:paraId="76F25167"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EBA8276" w14:textId="77777777" w:rsidR="003C2EB2" w:rsidRPr="00A13B61" w:rsidRDefault="003C2EB2" w:rsidP="003F3F98">
            <w:pPr>
              <w:spacing w:beforeLines="60" w:before="144" w:afterLines="60" w:after="144" w:line="240" w:lineRule="auto"/>
            </w:pPr>
            <w:r w:rsidRPr="00A13B61">
              <w:t>4</w:t>
            </w:r>
          </w:p>
        </w:tc>
        <w:tc>
          <w:tcPr>
            <w:tcW w:w="2970" w:type="dxa"/>
            <w:tcBorders>
              <w:top w:val="nil"/>
              <w:left w:val="nil"/>
              <w:bottom w:val="single" w:sz="4" w:space="0" w:color="auto"/>
              <w:right w:val="single" w:sz="4" w:space="0" w:color="auto"/>
            </w:tcBorders>
            <w:shd w:val="clear" w:color="auto" w:fill="auto"/>
            <w:vAlign w:val="center"/>
            <w:hideMark/>
          </w:tcPr>
          <w:p w14:paraId="642BD908" w14:textId="6E6DA3AE" w:rsidR="003C2EB2" w:rsidRPr="00A13B61" w:rsidRDefault="003C2EB2" w:rsidP="003F3F98">
            <w:pPr>
              <w:spacing w:beforeLines="60" w:before="144" w:afterLines="60" w:after="144" w:line="240" w:lineRule="auto"/>
            </w:pPr>
            <w:r w:rsidRPr="00A13B61">
              <w:t xml:space="preserve">First time access to PDS </w:t>
            </w:r>
            <w:r w:rsidR="00025999" w:rsidRPr="00A13B61">
              <w:t>after getting</w:t>
            </w:r>
            <w:r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013204E4" w14:textId="77777777" w:rsidR="003C2EB2" w:rsidRPr="00A13B61" w:rsidRDefault="003C2EB2" w:rsidP="003F3F98">
            <w:pPr>
              <w:spacing w:beforeLines="60" w:before="144" w:afterLines="60" w:after="144" w:line="240" w:lineRule="auto"/>
            </w:pPr>
            <w:r w:rsidRPr="00A13B61">
              <w:rPr>
                <w:b/>
                <w:bCs/>
              </w:rPr>
              <w:t>YES</w:t>
            </w:r>
            <w:r w:rsidRPr="00A13B61">
              <w:t>, if the respondent has Aadhaar, they currently receive PDS rations, they got Aadhaar before getting PDS, and used Aadhaar for most recent access to the service.</w:t>
            </w:r>
          </w:p>
        </w:tc>
      </w:tr>
      <w:tr w:rsidR="003C2EB2" w:rsidRPr="00A13B61" w14:paraId="02D87D1E"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929CD90" w14:textId="77777777" w:rsidR="003C2EB2" w:rsidRPr="00A13B61" w:rsidRDefault="003C2EB2" w:rsidP="003F3F98">
            <w:pPr>
              <w:spacing w:beforeLines="60" w:before="144" w:afterLines="60" w:after="144" w:line="240" w:lineRule="auto"/>
            </w:pPr>
            <w:r w:rsidRPr="00A13B61">
              <w:t>5</w:t>
            </w:r>
          </w:p>
        </w:tc>
        <w:tc>
          <w:tcPr>
            <w:tcW w:w="2970" w:type="dxa"/>
            <w:tcBorders>
              <w:top w:val="nil"/>
              <w:left w:val="nil"/>
              <w:bottom w:val="single" w:sz="4" w:space="0" w:color="auto"/>
              <w:right w:val="single" w:sz="4" w:space="0" w:color="auto"/>
            </w:tcBorders>
            <w:shd w:val="clear" w:color="auto" w:fill="auto"/>
            <w:vAlign w:val="center"/>
            <w:hideMark/>
          </w:tcPr>
          <w:p w14:paraId="63BFD6F7" w14:textId="5828BB19" w:rsidR="003C2EB2" w:rsidRPr="00A13B61" w:rsidRDefault="003C2EB2" w:rsidP="003F3F98">
            <w:pPr>
              <w:spacing w:beforeLines="60" w:before="144" w:afterLines="60" w:after="144" w:line="240" w:lineRule="auto"/>
            </w:pPr>
            <w:r w:rsidRPr="00A13B61">
              <w:t xml:space="preserve">First time access to social pensions, </w:t>
            </w:r>
            <w:r w:rsidR="00025999" w:rsidRPr="00A13B61">
              <w:t>after getting</w:t>
            </w:r>
            <w:r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51A6B0C6" w14:textId="77777777" w:rsidR="003C2EB2" w:rsidRPr="00A13B61" w:rsidRDefault="003C2EB2" w:rsidP="003F3F98">
            <w:pPr>
              <w:spacing w:beforeLines="60" w:before="144" w:afterLines="60" w:after="144" w:line="240" w:lineRule="auto"/>
            </w:pPr>
            <w:r w:rsidRPr="00A13B61">
              <w:rPr>
                <w:b/>
                <w:bCs/>
              </w:rPr>
              <w:t>YES</w:t>
            </w:r>
            <w:r w:rsidRPr="00A13B61">
              <w:t>, if the respondent has Aadhaar, they get social pensions currently, they got Aadhaar before getting the pensions, and used Aadhaar for most recent access to the service.</w:t>
            </w:r>
          </w:p>
        </w:tc>
      </w:tr>
      <w:tr w:rsidR="003C2EB2" w:rsidRPr="00A13B61" w14:paraId="2A93A1FD"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6448B90" w14:textId="77777777" w:rsidR="003C2EB2" w:rsidRPr="00A13B61" w:rsidRDefault="003C2EB2" w:rsidP="003F3F98">
            <w:pPr>
              <w:spacing w:beforeLines="60" w:before="144" w:afterLines="60" w:after="144" w:line="240" w:lineRule="auto"/>
            </w:pPr>
            <w:r w:rsidRPr="00A13B61">
              <w:t>6</w:t>
            </w:r>
          </w:p>
        </w:tc>
        <w:tc>
          <w:tcPr>
            <w:tcW w:w="2970" w:type="dxa"/>
            <w:tcBorders>
              <w:top w:val="nil"/>
              <w:left w:val="nil"/>
              <w:bottom w:val="single" w:sz="4" w:space="0" w:color="auto"/>
              <w:right w:val="single" w:sz="4" w:space="0" w:color="auto"/>
            </w:tcBorders>
            <w:shd w:val="clear" w:color="auto" w:fill="auto"/>
            <w:vAlign w:val="center"/>
            <w:hideMark/>
          </w:tcPr>
          <w:p w14:paraId="4EAAFED6" w14:textId="5314A249" w:rsidR="003C2EB2" w:rsidRPr="00A13B61" w:rsidRDefault="003C2EB2" w:rsidP="003F3F98">
            <w:pPr>
              <w:spacing w:beforeLines="60" w:before="144" w:afterLines="60" w:after="144" w:line="240" w:lineRule="auto"/>
            </w:pPr>
            <w:r w:rsidRPr="00A13B61">
              <w:t xml:space="preserve">First time access to any service, </w:t>
            </w:r>
            <w:r w:rsidR="00025999" w:rsidRPr="00A13B61">
              <w:t>after getting</w:t>
            </w:r>
            <w:r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10FF3B53" w14:textId="77777777" w:rsidR="003C2EB2" w:rsidRPr="00A13B61" w:rsidRDefault="003C2EB2" w:rsidP="003F3F98">
            <w:pPr>
              <w:spacing w:beforeLines="60" w:before="144" w:afterLines="60" w:after="144" w:line="240" w:lineRule="auto"/>
            </w:pPr>
            <w:r w:rsidRPr="00A13B61">
              <w:rPr>
                <w:b/>
                <w:bCs/>
              </w:rPr>
              <w:t>YES</w:t>
            </w:r>
            <w:r w:rsidRPr="00A13B61">
              <w:t>, if any of the above five assumptions holds</w:t>
            </w:r>
          </w:p>
        </w:tc>
      </w:tr>
      <w:tr w:rsidR="003C2EB2" w:rsidRPr="00A13B61" w14:paraId="4E400186"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7CBA41A5" w14:textId="77777777" w:rsidR="003C2EB2" w:rsidRPr="00A13B61" w:rsidRDefault="003C2EB2" w:rsidP="003F3F98">
            <w:pPr>
              <w:spacing w:beforeLines="60" w:before="144" w:afterLines="60" w:after="144" w:line="240" w:lineRule="auto"/>
            </w:pPr>
            <w:r w:rsidRPr="00A13B61">
              <w:t>7</w:t>
            </w:r>
          </w:p>
        </w:tc>
        <w:tc>
          <w:tcPr>
            <w:tcW w:w="2970" w:type="dxa"/>
            <w:tcBorders>
              <w:top w:val="nil"/>
              <w:left w:val="nil"/>
              <w:bottom w:val="single" w:sz="4" w:space="0" w:color="auto"/>
              <w:right w:val="single" w:sz="4" w:space="0" w:color="auto"/>
            </w:tcBorders>
            <w:shd w:val="clear" w:color="auto" w:fill="auto"/>
            <w:vAlign w:val="center"/>
            <w:hideMark/>
          </w:tcPr>
          <w:p w14:paraId="107555E0" w14:textId="77777777" w:rsidR="003C2EB2" w:rsidRPr="00A13B61" w:rsidRDefault="003C2EB2" w:rsidP="003F3F98">
            <w:pPr>
              <w:spacing w:beforeLines="60" w:before="144" w:afterLines="60" w:after="144" w:line="240" w:lineRule="auto"/>
            </w:pPr>
            <w:r w:rsidRPr="00A13B61">
              <w:t>Trust that Aadhaar prevents unauthorised access to my money</w:t>
            </w:r>
          </w:p>
        </w:tc>
        <w:tc>
          <w:tcPr>
            <w:tcW w:w="6087" w:type="dxa"/>
            <w:tcBorders>
              <w:top w:val="nil"/>
              <w:left w:val="nil"/>
              <w:bottom w:val="single" w:sz="4" w:space="0" w:color="auto"/>
              <w:right w:val="single" w:sz="4" w:space="0" w:color="auto"/>
            </w:tcBorders>
            <w:shd w:val="clear" w:color="auto" w:fill="auto"/>
            <w:vAlign w:val="center"/>
            <w:hideMark/>
          </w:tcPr>
          <w:p w14:paraId="006C1A77" w14:textId="77777777" w:rsidR="003C2EB2" w:rsidRPr="00A13B61" w:rsidRDefault="003C2EB2" w:rsidP="003F3F98">
            <w:pPr>
              <w:spacing w:beforeLines="60" w:before="144" w:afterLines="60" w:after="144" w:line="240" w:lineRule="auto"/>
            </w:pPr>
            <w:r w:rsidRPr="00A13B61">
              <w:rPr>
                <w:b/>
                <w:bCs/>
              </w:rPr>
              <w:t>NO</w:t>
            </w:r>
            <w:r w:rsidRPr="00A13B61">
              <w:t xml:space="preserve">, for people who think it is easier for others to access money in their name due to Aadhaar, while </w:t>
            </w:r>
            <w:r w:rsidRPr="00A13B61">
              <w:rPr>
                <w:b/>
              </w:rPr>
              <w:t>YES</w:t>
            </w:r>
            <w:r w:rsidRPr="00A13B61">
              <w:t xml:space="preserve"> for people who think it is more difficult</w:t>
            </w:r>
          </w:p>
        </w:tc>
      </w:tr>
      <w:tr w:rsidR="003C2EB2" w:rsidRPr="00A13B61" w14:paraId="2CD0A752" w14:textId="77777777" w:rsidTr="003F3F98">
        <w:trPr>
          <w:cantSplit/>
          <w:trHeight w:val="1140"/>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088757A9" w14:textId="77777777" w:rsidR="003C2EB2" w:rsidRPr="00A13B61" w:rsidRDefault="003C2EB2" w:rsidP="003F3F98">
            <w:pPr>
              <w:spacing w:beforeLines="60" w:before="144" w:afterLines="60" w:after="144" w:line="240" w:lineRule="auto"/>
            </w:pPr>
            <w:r w:rsidRPr="00A13B61">
              <w:t>8</w:t>
            </w:r>
          </w:p>
        </w:tc>
        <w:tc>
          <w:tcPr>
            <w:tcW w:w="2970" w:type="dxa"/>
            <w:tcBorders>
              <w:top w:val="nil"/>
              <w:left w:val="nil"/>
              <w:bottom w:val="single" w:sz="4" w:space="0" w:color="auto"/>
              <w:right w:val="single" w:sz="4" w:space="0" w:color="auto"/>
            </w:tcBorders>
            <w:shd w:val="clear" w:color="auto" w:fill="auto"/>
            <w:noWrap/>
            <w:vAlign w:val="center"/>
            <w:hideMark/>
          </w:tcPr>
          <w:p w14:paraId="4B3AB580" w14:textId="77777777" w:rsidR="003C2EB2" w:rsidRPr="00A13B61" w:rsidRDefault="003C2EB2" w:rsidP="003F3F98">
            <w:pPr>
              <w:spacing w:beforeLines="60" w:before="144" w:afterLines="60" w:after="144" w:line="240" w:lineRule="auto"/>
            </w:pPr>
            <w:r w:rsidRPr="00A13B61">
              <w:t>Wanted to enrol into Aadhaar</w:t>
            </w:r>
          </w:p>
        </w:tc>
        <w:tc>
          <w:tcPr>
            <w:tcW w:w="6087" w:type="dxa"/>
            <w:tcBorders>
              <w:top w:val="nil"/>
              <w:left w:val="nil"/>
              <w:bottom w:val="single" w:sz="4" w:space="0" w:color="auto"/>
              <w:right w:val="single" w:sz="4" w:space="0" w:color="auto"/>
            </w:tcBorders>
            <w:shd w:val="clear" w:color="auto" w:fill="auto"/>
            <w:vAlign w:val="center"/>
            <w:hideMark/>
          </w:tcPr>
          <w:p w14:paraId="2651D7CD" w14:textId="4B44A365" w:rsidR="003C2EB2" w:rsidRPr="00A13B61" w:rsidRDefault="003C2EB2" w:rsidP="003F3F98">
            <w:pPr>
              <w:spacing w:beforeLines="60" w:before="144" w:afterLines="60" w:after="144" w:line="240" w:lineRule="auto"/>
            </w:pPr>
            <w:r w:rsidRPr="00A13B61">
              <w:rPr>
                <w:b/>
                <w:bCs/>
              </w:rPr>
              <w:t>YES</w:t>
            </w:r>
            <w:r w:rsidRPr="00A13B61">
              <w:t xml:space="preserve">, for everyone who has Aadhaar or everyone who has tried to get Aadhaar. Amongst those who have never tried, </w:t>
            </w:r>
            <w:r w:rsidR="0034527B" w:rsidRPr="00A13B61">
              <w:t>everyone</w:t>
            </w:r>
            <w:r w:rsidRPr="00A13B61">
              <w:t xml:space="preserve"> except those who explicitly said, "</w:t>
            </w:r>
            <w:r w:rsidRPr="00A13B61">
              <w:rPr>
                <w:i/>
                <w:iCs/>
              </w:rPr>
              <w:t xml:space="preserve">I do not wish to enrol in </w:t>
            </w:r>
            <w:proofErr w:type="gramStart"/>
            <w:r w:rsidRPr="00A13B61">
              <w:rPr>
                <w:i/>
                <w:iCs/>
              </w:rPr>
              <w:t>Aadhaar</w:t>
            </w:r>
            <w:proofErr w:type="gramEnd"/>
            <w:r w:rsidRPr="00A13B61">
              <w:t>" or "</w:t>
            </w:r>
            <w:r w:rsidRPr="00A13B61">
              <w:rPr>
                <w:i/>
                <w:iCs/>
              </w:rPr>
              <w:t>I don’t need Aadhaar</w:t>
            </w:r>
            <w:r w:rsidRPr="00A13B61">
              <w:t xml:space="preserve">". In addition, people are assumed to want to enrol if, </w:t>
            </w:r>
            <w:r w:rsidR="001232D6">
              <w:t>they</w:t>
            </w:r>
            <w:r w:rsidRPr="00A13B61">
              <w:t xml:space="preserve"> said "</w:t>
            </w:r>
            <w:r w:rsidRPr="00A13B61">
              <w:rPr>
                <w:i/>
                <w:iCs/>
              </w:rPr>
              <w:t>I do not wish to enrol in Aadhaar</w:t>
            </w:r>
            <w:r w:rsidRPr="00A13B61">
              <w:t xml:space="preserve">", </w:t>
            </w:r>
            <w:r w:rsidR="001232D6">
              <w:t>AND</w:t>
            </w:r>
            <w:r w:rsidRPr="00A13B61">
              <w:t xml:space="preserve"> "</w:t>
            </w:r>
            <w:r w:rsidRPr="00A13B61">
              <w:rPr>
                <w:i/>
                <w:iCs/>
              </w:rPr>
              <w:t>I want to enrol, but I haven’t gotten around to it yet</w:t>
            </w:r>
            <w:r w:rsidRPr="00A13B61">
              <w:t>" OR "</w:t>
            </w:r>
            <w:r w:rsidRPr="00A13B61">
              <w:rPr>
                <w:i/>
                <w:iCs/>
              </w:rPr>
              <w:t>It's too difficult to enrol (e.g. takes too much time, is too expensive)</w:t>
            </w:r>
            <w:r w:rsidRPr="00A13B61">
              <w:t>"</w:t>
            </w:r>
          </w:p>
        </w:tc>
      </w:tr>
      <w:tr w:rsidR="003C2EB2" w:rsidRPr="00A13B61" w14:paraId="6C29AF7D" w14:textId="77777777" w:rsidTr="003F3F98">
        <w:trPr>
          <w:cantSplit/>
          <w:trHeight w:val="288"/>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BAFB214" w14:textId="77777777" w:rsidR="003C2EB2" w:rsidRPr="00A13B61" w:rsidRDefault="003C2EB2" w:rsidP="003F3F98">
            <w:pPr>
              <w:spacing w:beforeLines="60" w:before="144" w:afterLines="60" w:after="144" w:line="240" w:lineRule="auto"/>
            </w:pPr>
            <w:r w:rsidRPr="00A13B61">
              <w:t>9</w:t>
            </w:r>
          </w:p>
        </w:tc>
        <w:tc>
          <w:tcPr>
            <w:tcW w:w="2970" w:type="dxa"/>
            <w:tcBorders>
              <w:top w:val="nil"/>
              <w:left w:val="nil"/>
              <w:bottom w:val="single" w:sz="4" w:space="0" w:color="auto"/>
              <w:right w:val="single" w:sz="4" w:space="0" w:color="auto"/>
            </w:tcBorders>
            <w:shd w:val="clear" w:color="auto" w:fill="auto"/>
            <w:noWrap/>
            <w:vAlign w:val="center"/>
            <w:hideMark/>
          </w:tcPr>
          <w:p w14:paraId="7E4F996E" w14:textId="77777777" w:rsidR="003C2EB2" w:rsidRPr="00A13B61" w:rsidRDefault="003C2EB2" w:rsidP="003F3F98">
            <w:pPr>
              <w:spacing w:beforeLines="60" w:before="144" w:afterLines="60" w:after="144" w:line="240" w:lineRule="auto"/>
            </w:pPr>
            <w:r w:rsidRPr="00A13B61">
              <w:t>User tried to enrol into Aadhaar</w:t>
            </w:r>
          </w:p>
        </w:tc>
        <w:tc>
          <w:tcPr>
            <w:tcW w:w="6087" w:type="dxa"/>
            <w:tcBorders>
              <w:top w:val="nil"/>
              <w:left w:val="nil"/>
              <w:bottom w:val="single" w:sz="4" w:space="0" w:color="auto"/>
              <w:right w:val="single" w:sz="4" w:space="0" w:color="auto"/>
            </w:tcBorders>
            <w:shd w:val="clear" w:color="auto" w:fill="auto"/>
            <w:noWrap/>
            <w:vAlign w:val="center"/>
            <w:hideMark/>
          </w:tcPr>
          <w:p w14:paraId="4EBE0DF1" w14:textId="77777777" w:rsidR="003C2EB2" w:rsidRPr="00A13B61" w:rsidRDefault="003C2EB2" w:rsidP="003F3F98">
            <w:pPr>
              <w:spacing w:beforeLines="60" w:before="144" w:afterLines="60" w:after="144" w:line="240" w:lineRule="auto"/>
            </w:pPr>
            <w:r w:rsidRPr="00A13B61">
              <w:rPr>
                <w:b/>
                <w:bCs/>
              </w:rPr>
              <w:t>YES</w:t>
            </w:r>
            <w:r w:rsidRPr="00A13B61">
              <w:t>, for everyone who has Aadhaar or everyone who has tried to get Aadhaar.</w:t>
            </w:r>
          </w:p>
        </w:tc>
      </w:tr>
      <w:tr w:rsidR="003C2EB2" w:rsidRPr="00A13B61" w14:paraId="5FD847D7"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63E3F8E" w14:textId="77777777" w:rsidR="003C2EB2" w:rsidRPr="00A13B61" w:rsidRDefault="003C2EB2" w:rsidP="003F3F98">
            <w:pPr>
              <w:spacing w:beforeLines="60" w:before="144" w:afterLines="60" w:after="144" w:line="240" w:lineRule="auto"/>
            </w:pPr>
            <w:r w:rsidRPr="00A13B61">
              <w:t>10</w:t>
            </w:r>
          </w:p>
        </w:tc>
        <w:tc>
          <w:tcPr>
            <w:tcW w:w="2970" w:type="dxa"/>
            <w:tcBorders>
              <w:top w:val="nil"/>
              <w:left w:val="nil"/>
              <w:bottom w:val="single" w:sz="4" w:space="0" w:color="auto"/>
              <w:right w:val="single" w:sz="4" w:space="0" w:color="auto"/>
            </w:tcBorders>
            <w:shd w:val="clear" w:color="auto" w:fill="auto"/>
            <w:noWrap/>
            <w:vAlign w:val="center"/>
            <w:hideMark/>
          </w:tcPr>
          <w:p w14:paraId="6D18E8D9" w14:textId="77777777" w:rsidR="003C2EB2" w:rsidRPr="00A13B61" w:rsidRDefault="003C2EB2" w:rsidP="003F3F98">
            <w:pPr>
              <w:spacing w:beforeLines="60" w:before="144" w:afterLines="60" w:after="144" w:line="240" w:lineRule="auto"/>
            </w:pPr>
            <w:r w:rsidRPr="00A13B61">
              <w:t>Error in Aadhaar</w:t>
            </w:r>
          </w:p>
        </w:tc>
        <w:tc>
          <w:tcPr>
            <w:tcW w:w="6087" w:type="dxa"/>
            <w:tcBorders>
              <w:top w:val="nil"/>
              <w:left w:val="nil"/>
              <w:bottom w:val="single" w:sz="4" w:space="0" w:color="auto"/>
              <w:right w:val="single" w:sz="4" w:space="0" w:color="auto"/>
            </w:tcBorders>
            <w:shd w:val="clear" w:color="auto" w:fill="auto"/>
            <w:vAlign w:val="center"/>
            <w:hideMark/>
          </w:tcPr>
          <w:p w14:paraId="6FA9CADC" w14:textId="570BCDC8" w:rsidR="003C2EB2" w:rsidRPr="00A13B61" w:rsidRDefault="003C2EB2" w:rsidP="003F3F98">
            <w:pPr>
              <w:spacing w:beforeLines="60" w:before="144" w:afterLines="60" w:after="144" w:line="240" w:lineRule="auto"/>
            </w:pPr>
            <w:r w:rsidRPr="00A13B61">
              <w:rPr>
                <w:b/>
                <w:bCs/>
              </w:rPr>
              <w:t>YES</w:t>
            </w:r>
            <w:r w:rsidRPr="00A13B61">
              <w:t>, if individuals have Aadhaar and there is a mistake in any field collected for Aadhaar (i.e. Name, Date of Birth, Address, Photo, Biometrics, Gender, Mobile number</w:t>
            </w:r>
            <w:r w:rsidR="001232D6">
              <w:t>, or Biometrics</w:t>
            </w:r>
            <w:r w:rsidRPr="00A13B61">
              <w:t>)</w:t>
            </w:r>
            <w:r w:rsidR="001232D6">
              <w:t>. The card error rate does not include errors in mobile number or biometrics.</w:t>
            </w:r>
          </w:p>
        </w:tc>
      </w:tr>
      <w:tr w:rsidR="003C2EB2" w:rsidRPr="00A13B61" w14:paraId="771182B1"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1BFF6D3" w14:textId="2B22257E" w:rsidR="003C2EB2" w:rsidRPr="00A13B61" w:rsidRDefault="003C2EB2" w:rsidP="003F3F98">
            <w:pPr>
              <w:spacing w:beforeLines="60" w:before="144" w:afterLines="60" w:after="144" w:line="240" w:lineRule="auto"/>
            </w:pPr>
            <w:r w:rsidRPr="00A13B61">
              <w:t>1</w:t>
            </w:r>
            <w:r w:rsidR="00460616" w:rsidRPr="00A13B61">
              <w:t>1</w:t>
            </w:r>
          </w:p>
        </w:tc>
        <w:tc>
          <w:tcPr>
            <w:tcW w:w="2970" w:type="dxa"/>
            <w:tcBorders>
              <w:top w:val="nil"/>
              <w:left w:val="nil"/>
              <w:bottom w:val="single" w:sz="4" w:space="0" w:color="auto"/>
              <w:right w:val="single" w:sz="4" w:space="0" w:color="auto"/>
            </w:tcBorders>
            <w:shd w:val="clear" w:color="auto" w:fill="auto"/>
            <w:vAlign w:val="center"/>
            <w:hideMark/>
          </w:tcPr>
          <w:p w14:paraId="1C6CF2AB" w14:textId="77777777" w:rsidR="003C2EB2" w:rsidRPr="00A13B61" w:rsidRDefault="003C2EB2" w:rsidP="003F3F98">
            <w:pPr>
              <w:spacing w:beforeLines="60" w:before="144" w:afterLines="60" w:after="144" w:line="240" w:lineRule="auto"/>
            </w:pPr>
            <w:r w:rsidRPr="00A13B61">
              <w:t>User wanted to update Aadhaar</w:t>
            </w:r>
          </w:p>
        </w:tc>
        <w:tc>
          <w:tcPr>
            <w:tcW w:w="6087" w:type="dxa"/>
            <w:tcBorders>
              <w:top w:val="nil"/>
              <w:left w:val="nil"/>
              <w:bottom w:val="single" w:sz="4" w:space="0" w:color="auto"/>
              <w:right w:val="single" w:sz="4" w:space="0" w:color="auto"/>
            </w:tcBorders>
            <w:shd w:val="clear" w:color="auto" w:fill="auto"/>
            <w:vAlign w:val="center"/>
            <w:hideMark/>
          </w:tcPr>
          <w:p w14:paraId="1AA640D2" w14:textId="77777777" w:rsidR="003C2EB2" w:rsidRPr="00A13B61" w:rsidRDefault="003C2EB2" w:rsidP="003F3F98">
            <w:pPr>
              <w:spacing w:beforeLines="60" w:before="144" w:afterLines="60" w:after="144" w:line="240" w:lineRule="auto"/>
            </w:pPr>
            <w:r w:rsidRPr="00A13B61">
              <w:rPr>
                <w:b/>
                <w:bCs/>
              </w:rPr>
              <w:t>YES</w:t>
            </w:r>
            <w:r w:rsidRPr="00A13B61">
              <w:t xml:space="preserve">, if individuals ever wanted to update any errors in data collected for Aadhaar (i.e., Date of Birth, Address, Photo, Biometrics, Gender, or Mobile number) </w:t>
            </w:r>
            <w:r w:rsidRPr="001232D6">
              <w:t>OR</w:t>
            </w:r>
            <w:r w:rsidRPr="00A13B61">
              <w:t xml:space="preserve"> tried to update these fields</w:t>
            </w:r>
          </w:p>
        </w:tc>
      </w:tr>
      <w:tr w:rsidR="003C2EB2" w:rsidRPr="00A13B61" w14:paraId="7EAD747E"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75CFA84C" w14:textId="5551A576" w:rsidR="003C2EB2" w:rsidRPr="00A13B61" w:rsidRDefault="003C2EB2" w:rsidP="003F3F98">
            <w:pPr>
              <w:spacing w:beforeLines="60" w:before="144" w:afterLines="60" w:after="144" w:line="240" w:lineRule="auto"/>
            </w:pPr>
            <w:r w:rsidRPr="00A13B61">
              <w:t>1</w:t>
            </w:r>
            <w:r w:rsidR="00460616" w:rsidRPr="00A13B61">
              <w:t>2</w:t>
            </w:r>
          </w:p>
        </w:tc>
        <w:tc>
          <w:tcPr>
            <w:tcW w:w="2970" w:type="dxa"/>
            <w:tcBorders>
              <w:top w:val="nil"/>
              <w:left w:val="nil"/>
              <w:bottom w:val="single" w:sz="4" w:space="0" w:color="auto"/>
              <w:right w:val="single" w:sz="4" w:space="0" w:color="auto"/>
            </w:tcBorders>
            <w:shd w:val="clear" w:color="auto" w:fill="auto"/>
            <w:vAlign w:val="center"/>
            <w:hideMark/>
          </w:tcPr>
          <w:p w14:paraId="3A78704F" w14:textId="77777777" w:rsidR="003C2EB2" w:rsidRPr="00A13B61" w:rsidRDefault="003C2EB2" w:rsidP="003F3F98">
            <w:pPr>
              <w:spacing w:beforeLines="60" w:before="144" w:afterLines="60" w:after="144" w:line="240" w:lineRule="auto"/>
            </w:pPr>
            <w:r w:rsidRPr="00A13B61">
              <w:t>User tried to update Aadhaar</w:t>
            </w:r>
          </w:p>
        </w:tc>
        <w:tc>
          <w:tcPr>
            <w:tcW w:w="6087" w:type="dxa"/>
            <w:tcBorders>
              <w:top w:val="nil"/>
              <w:left w:val="nil"/>
              <w:bottom w:val="single" w:sz="4" w:space="0" w:color="auto"/>
              <w:right w:val="single" w:sz="4" w:space="0" w:color="auto"/>
            </w:tcBorders>
            <w:shd w:val="clear" w:color="auto" w:fill="auto"/>
            <w:vAlign w:val="center"/>
            <w:hideMark/>
          </w:tcPr>
          <w:p w14:paraId="3979548D" w14:textId="77777777" w:rsidR="003C2EB2" w:rsidRPr="00A13B61" w:rsidRDefault="003C2EB2" w:rsidP="003F3F98">
            <w:pPr>
              <w:spacing w:beforeLines="60" w:before="144" w:afterLines="60" w:after="144" w:line="240" w:lineRule="auto"/>
            </w:pPr>
            <w:r w:rsidRPr="00A13B61">
              <w:rPr>
                <w:b/>
                <w:bCs/>
              </w:rPr>
              <w:t>YES</w:t>
            </w:r>
            <w:r w:rsidRPr="00A13B61">
              <w:t>, if an individual tried to update any data collected for Aadhaar (i.e. Name, Date of Birth, Address, Photo, Biometrics, Gender, or Mobile number)</w:t>
            </w:r>
          </w:p>
        </w:tc>
      </w:tr>
      <w:tr w:rsidR="003C2EB2" w:rsidRPr="00A13B61" w14:paraId="0BC845A0" w14:textId="77777777" w:rsidTr="003F3F98">
        <w:trPr>
          <w:cantSplit/>
          <w:trHeight w:val="68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F5B0CB8" w14:textId="5F26A639" w:rsidR="003C2EB2" w:rsidRPr="00A13B61" w:rsidRDefault="003C2EB2" w:rsidP="003F3F98">
            <w:pPr>
              <w:spacing w:beforeLines="60" w:before="144" w:afterLines="60" w:after="144" w:line="240" w:lineRule="auto"/>
            </w:pPr>
            <w:r w:rsidRPr="00A13B61">
              <w:lastRenderedPageBreak/>
              <w:t>1</w:t>
            </w:r>
            <w:r w:rsidR="00460616" w:rsidRPr="00A13B61">
              <w:t>3</w:t>
            </w:r>
          </w:p>
        </w:tc>
        <w:tc>
          <w:tcPr>
            <w:tcW w:w="2970" w:type="dxa"/>
            <w:tcBorders>
              <w:top w:val="nil"/>
              <w:left w:val="nil"/>
              <w:bottom w:val="single" w:sz="4" w:space="0" w:color="auto"/>
              <w:right w:val="single" w:sz="4" w:space="0" w:color="auto"/>
            </w:tcBorders>
            <w:shd w:val="clear" w:color="auto" w:fill="auto"/>
            <w:noWrap/>
            <w:vAlign w:val="center"/>
            <w:hideMark/>
          </w:tcPr>
          <w:p w14:paraId="4303CDEE" w14:textId="77777777" w:rsidR="003C2EB2" w:rsidRPr="00A13B61" w:rsidRDefault="003C2EB2" w:rsidP="003F3F98">
            <w:pPr>
              <w:spacing w:beforeLines="60" w:before="144" w:afterLines="60" w:after="144" w:line="240" w:lineRule="auto"/>
            </w:pPr>
            <w:r w:rsidRPr="00A13B61">
              <w:t>Frequency of usage of Aadhaar</w:t>
            </w:r>
          </w:p>
        </w:tc>
        <w:tc>
          <w:tcPr>
            <w:tcW w:w="6087" w:type="dxa"/>
            <w:tcBorders>
              <w:top w:val="nil"/>
              <w:left w:val="nil"/>
              <w:bottom w:val="single" w:sz="4" w:space="0" w:color="auto"/>
              <w:right w:val="single" w:sz="4" w:space="0" w:color="auto"/>
            </w:tcBorders>
            <w:shd w:val="clear" w:color="auto" w:fill="auto"/>
            <w:vAlign w:val="center"/>
            <w:hideMark/>
          </w:tcPr>
          <w:p w14:paraId="3464F973" w14:textId="64D3A3BD" w:rsidR="003C2EB2" w:rsidRDefault="003C2EB2" w:rsidP="003F3F98">
            <w:pPr>
              <w:spacing w:beforeLines="60" w:before="144" w:afterLines="60" w:after="144" w:line="240" w:lineRule="auto"/>
            </w:pPr>
            <w:r w:rsidRPr="00A13B61">
              <w:t xml:space="preserve">The </w:t>
            </w:r>
            <w:r w:rsidRPr="00F07128">
              <w:rPr>
                <w:i/>
                <w:iCs/>
              </w:rPr>
              <w:t>minimum</w:t>
            </w:r>
            <w:r w:rsidRPr="00A13B61">
              <w:t xml:space="preserve"> frequency usage of Aadhaar is estimated as the </w:t>
            </w:r>
            <w:r w:rsidRPr="001232D6">
              <w:t>maximum</w:t>
            </w:r>
            <w:r w:rsidRPr="00A13B61">
              <w:t xml:space="preserve"> of number of times people reported using any </w:t>
            </w:r>
            <w:r w:rsidR="001232D6">
              <w:t xml:space="preserve">single </w:t>
            </w:r>
            <w:r w:rsidRPr="00A13B61">
              <w:t xml:space="preserve">Aadhaar feature (Aadhaar card, Aadhaar number, Fingerprint, Iris scan, Photocopy, </w:t>
            </w:r>
            <w:proofErr w:type="spellStart"/>
            <w:r w:rsidRPr="00A13B61">
              <w:t>mAadhaar</w:t>
            </w:r>
            <w:proofErr w:type="spellEnd"/>
            <w:r w:rsidRPr="00A13B61">
              <w:t xml:space="preserve">, Masked Aadhaar, Virtual Aadhaar number, Aadhaar OTP, and Aadhaar QR code) in the last </w:t>
            </w:r>
            <w:r w:rsidR="00D804AD" w:rsidRPr="00A13B61">
              <w:t>three</w:t>
            </w:r>
            <w:r w:rsidRPr="00A13B61">
              <w:t xml:space="preserve"> months</w:t>
            </w:r>
          </w:p>
          <w:p w14:paraId="03FFEA32" w14:textId="2CDBCFA6" w:rsidR="00CA2DC7" w:rsidRPr="00A13B61" w:rsidRDefault="00CA2DC7" w:rsidP="003F3F98">
            <w:pPr>
              <w:spacing w:beforeLines="60" w:before="144" w:afterLines="60" w:after="144" w:line="240" w:lineRule="auto"/>
            </w:pPr>
            <w:r w:rsidRPr="00A13B61">
              <w:t xml:space="preserve">The </w:t>
            </w:r>
            <w:r>
              <w:rPr>
                <w:i/>
                <w:iCs/>
              </w:rPr>
              <w:t>maximum</w:t>
            </w:r>
            <w:r w:rsidRPr="00A13B61">
              <w:t xml:space="preserve"> frequency usage of Aadhaar is estimated as the </w:t>
            </w:r>
            <w:r>
              <w:rPr>
                <w:i/>
                <w:iCs/>
              </w:rPr>
              <w:t>sum</w:t>
            </w:r>
            <w:r w:rsidRPr="00A13B61">
              <w:t xml:space="preserve"> of number of times people reported using any Aadhaar feature in the last three months</w:t>
            </w:r>
          </w:p>
        </w:tc>
      </w:tr>
      <w:tr w:rsidR="003C2EB2" w:rsidRPr="00A13B61" w14:paraId="28D75C26"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D23CD37" w14:textId="380706A0" w:rsidR="003C2EB2" w:rsidRPr="00A13B61" w:rsidRDefault="003C2EB2" w:rsidP="003F3F98">
            <w:pPr>
              <w:spacing w:beforeLines="60" w:before="144" w:afterLines="60" w:after="144" w:line="240" w:lineRule="auto"/>
            </w:pPr>
            <w:r w:rsidRPr="00A13B61">
              <w:t>1</w:t>
            </w:r>
            <w:r w:rsidR="00460616" w:rsidRPr="00A13B61">
              <w:t>4</w:t>
            </w:r>
          </w:p>
        </w:tc>
        <w:tc>
          <w:tcPr>
            <w:tcW w:w="2970" w:type="dxa"/>
            <w:tcBorders>
              <w:top w:val="nil"/>
              <w:left w:val="nil"/>
              <w:bottom w:val="single" w:sz="4" w:space="0" w:color="auto"/>
              <w:right w:val="single" w:sz="4" w:space="0" w:color="auto"/>
            </w:tcBorders>
            <w:shd w:val="clear" w:color="auto" w:fill="auto"/>
            <w:noWrap/>
            <w:vAlign w:val="center"/>
            <w:hideMark/>
          </w:tcPr>
          <w:p w14:paraId="01847267" w14:textId="3173B861" w:rsidR="003C2EB2" w:rsidRPr="00A13B61" w:rsidRDefault="00025999" w:rsidP="003F3F98">
            <w:pPr>
              <w:spacing w:beforeLines="60" w:before="144" w:afterLines="60" w:after="144" w:line="240" w:lineRule="auto"/>
            </w:pPr>
            <w:r w:rsidRPr="00A13B61">
              <w:t>Used newer d</w:t>
            </w:r>
            <w:r w:rsidR="003C2EB2" w:rsidRPr="00A13B61">
              <w:t xml:space="preserve">igital features </w:t>
            </w:r>
            <w:r w:rsidRPr="00A13B61">
              <w:t>of</w:t>
            </w:r>
            <w:r w:rsidR="003C2EB2" w:rsidRPr="00A13B61">
              <w:t xml:space="preserve"> Aadhaar</w:t>
            </w:r>
          </w:p>
        </w:tc>
        <w:tc>
          <w:tcPr>
            <w:tcW w:w="6087" w:type="dxa"/>
            <w:tcBorders>
              <w:top w:val="nil"/>
              <w:left w:val="nil"/>
              <w:bottom w:val="single" w:sz="4" w:space="0" w:color="auto"/>
              <w:right w:val="single" w:sz="4" w:space="0" w:color="auto"/>
            </w:tcBorders>
            <w:shd w:val="clear" w:color="auto" w:fill="auto"/>
            <w:vAlign w:val="center"/>
            <w:hideMark/>
          </w:tcPr>
          <w:p w14:paraId="51258E77" w14:textId="67F29E9D" w:rsidR="003C2EB2" w:rsidRPr="00A13B61" w:rsidRDefault="003C2EB2" w:rsidP="003F3F98">
            <w:pPr>
              <w:spacing w:beforeLines="60" w:before="144" w:afterLines="60" w:after="144" w:line="240" w:lineRule="auto"/>
            </w:pPr>
            <w:r w:rsidRPr="00A13B61">
              <w:rPr>
                <w:b/>
                <w:bCs/>
              </w:rPr>
              <w:t>YES,</w:t>
            </w:r>
            <w:r w:rsidRPr="00A13B61">
              <w:t xml:space="preserve"> if an individual has used either </w:t>
            </w:r>
            <w:proofErr w:type="spellStart"/>
            <w:r w:rsidRPr="00A13B61">
              <w:t>mAadhaar</w:t>
            </w:r>
            <w:proofErr w:type="spellEnd"/>
            <w:r w:rsidRPr="00A13B61">
              <w:t xml:space="preserve">, Masked Aadhaar, Virtual Aadhaar number, </w:t>
            </w:r>
            <w:r w:rsidR="00025999" w:rsidRPr="00A13B61">
              <w:t>or</w:t>
            </w:r>
            <w:r w:rsidRPr="00A13B61">
              <w:t xml:space="preserve"> Aadhaar QR code in the last </w:t>
            </w:r>
            <w:r w:rsidR="00D804AD" w:rsidRPr="00A13B61">
              <w:t>three</w:t>
            </w:r>
            <w:r w:rsidRPr="00A13B61">
              <w:t xml:space="preserve"> months</w:t>
            </w:r>
          </w:p>
        </w:tc>
      </w:tr>
      <w:tr w:rsidR="003C2EB2" w:rsidRPr="00A13B61" w14:paraId="623CFD11"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8F6F8D7" w14:textId="148BA147" w:rsidR="003C2EB2" w:rsidRPr="00A13B61" w:rsidRDefault="003C2EB2" w:rsidP="003F3F98">
            <w:pPr>
              <w:spacing w:beforeLines="60" w:before="144" w:afterLines="60" w:after="144" w:line="240" w:lineRule="auto"/>
            </w:pPr>
            <w:r w:rsidRPr="00A13B61">
              <w:t>1</w:t>
            </w:r>
            <w:r w:rsidR="00460616" w:rsidRPr="00A13B61">
              <w:t>5</w:t>
            </w:r>
          </w:p>
        </w:tc>
        <w:tc>
          <w:tcPr>
            <w:tcW w:w="2970" w:type="dxa"/>
            <w:tcBorders>
              <w:top w:val="nil"/>
              <w:left w:val="nil"/>
              <w:bottom w:val="single" w:sz="4" w:space="0" w:color="auto"/>
              <w:right w:val="single" w:sz="4" w:space="0" w:color="auto"/>
            </w:tcBorders>
            <w:shd w:val="clear" w:color="auto" w:fill="auto"/>
            <w:noWrap/>
            <w:vAlign w:val="center"/>
            <w:hideMark/>
          </w:tcPr>
          <w:p w14:paraId="65B5448B" w14:textId="77777777" w:rsidR="003C2EB2" w:rsidRPr="00A13B61" w:rsidRDefault="003C2EB2" w:rsidP="003F3F98">
            <w:pPr>
              <w:spacing w:beforeLines="60" w:before="144" w:afterLines="60" w:after="144" w:line="240" w:lineRule="auto"/>
            </w:pPr>
            <w:r w:rsidRPr="00A13B61">
              <w:t>Exclusion from services: PDS</w:t>
            </w:r>
          </w:p>
        </w:tc>
        <w:tc>
          <w:tcPr>
            <w:tcW w:w="6087" w:type="dxa"/>
            <w:tcBorders>
              <w:top w:val="nil"/>
              <w:left w:val="nil"/>
              <w:bottom w:val="single" w:sz="4" w:space="0" w:color="auto"/>
              <w:right w:val="single" w:sz="4" w:space="0" w:color="auto"/>
            </w:tcBorders>
            <w:shd w:val="clear" w:color="auto" w:fill="auto"/>
            <w:vAlign w:val="center"/>
            <w:hideMark/>
          </w:tcPr>
          <w:p w14:paraId="76136CAC" w14:textId="5A664443" w:rsidR="003C2EB2" w:rsidRPr="00A13B61" w:rsidRDefault="003C2EB2" w:rsidP="003F3F98">
            <w:pPr>
              <w:spacing w:beforeLines="60" w:before="144" w:afterLines="60" w:after="144" w:line="240" w:lineRule="auto"/>
            </w:pPr>
            <w:r w:rsidRPr="00A13B61">
              <w:rPr>
                <w:b/>
                <w:bCs/>
              </w:rPr>
              <w:t>YES</w:t>
            </w:r>
            <w:r w:rsidRPr="00A13B61">
              <w:t xml:space="preserve">, if an individual is eligible to receive the service (eligibility is self-reported), did not have </w:t>
            </w:r>
            <w:r w:rsidR="00025999" w:rsidRPr="00A13B61">
              <w:t>a PDS ration card</w:t>
            </w:r>
            <w:r w:rsidRPr="00A13B61">
              <w:t xml:space="preserve"> due to an Aadhaar-related reason, or their </w:t>
            </w:r>
            <w:r w:rsidR="00025999" w:rsidRPr="00A13B61">
              <w:t xml:space="preserve">ration </w:t>
            </w:r>
            <w:r w:rsidRPr="00A13B61">
              <w:t>card was cancelled due to an Aadhaar-related reason</w:t>
            </w:r>
            <w:r w:rsidR="00025999" w:rsidRPr="00A13B61">
              <w:t>. We also calculated the corollary for non-Aadhaar related reasons</w:t>
            </w:r>
          </w:p>
        </w:tc>
      </w:tr>
      <w:tr w:rsidR="003C2EB2" w:rsidRPr="00A13B61" w14:paraId="1D1937B7"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8C5554F" w14:textId="41F1419C" w:rsidR="003C2EB2" w:rsidRPr="00A13B61" w:rsidRDefault="003C2EB2" w:rsidP="003F3F98">
            <w:pPr>
              <w:spacing w:beforeLines="60" w:before="144" w:afterLines="60" w:after="144" w:line="240" w:lineRule="auto"/>
            </w:pPr>
            <w:r w:rsidRPr="00A13B61">
              <w:t>1</w:t>
            </w:r>
            <w:r w:rsidR="00460616" w:rsidRPr="00A13B61">
              <w:t>6</w:t>
            </w:r>
          </w:p>
        </w:tc>
        <w:tc>
          <w:tcPr>
            <w:tcW w:w="2970" w:type="dxa"/>
            <w:tcBorders>
              <w:top w:val="nil"/>
              <w:left w:val="nil"/>
              <w:bottom w:val="single" w:sz="4" w:space="0" w:color="auto"/>
              <w:right w:val="single" w:sz="4" w:space="0" w:color="auto"/>
            </w:tcBorders>
            <w:shd w:val="clear" w:color="auto" w:fill="auto"/>
            <w:noWrap/>
            <w:vAlign w:val="center"/>
            <w:hideMark/>
          </w:tcPr>
          <w:p w14:paraId="25669343" w14:textId="77777777" w:rsidR="003C2EB2" w:rsidRPr="00A13B61" w:rsidRDefault="003C2EB2" w:rsidP="003F3F98">
            <w:pPr>
              <w:spacing w:beforeLines="60" w:before="144" w:afterLines="60" w:after="144" w:line="240" w:lineRule="auto"/>
            </w:pPr>
            <w:r w:rsidRPr="00A13B61">
              <w:t>Exclusion from services: MGNREGS</w:t>
            </w:r>
          </w:p>
        </w:tc>
        <w:tc>
          <w:tcPr>
            <w:tcW w:w="6087" w:type="dxa"/>
            <w:tcBorders>
              <w:top w:val="nil"/>
              <w:left w:val="nil"/>
              <w:bottom w:val="single" w:sz="4" w:space="0" w:color="auto"/>
              <w:right w:val="single" w:sz="4" w:space="0" w:color="auto"/>
            </w:tcBorders>
            <w:shd w:val="clear" w:color="auto" w:fill="auto"/>
            <w:vAlign w:val="center"/>
            <w:hideMark/>
          </w:tcPr>
          <w:p w14:paraId="6B2C49D4" w14:textId="5C8F36F5" w:rsidR="003C2EB2" w:rsidRPr="00A13B61" w:rsidRDefault="003C2EB2" w:rsidP="003F3F98">
            <w:pPr>
              <w:spacing w:beforeLines="60" w:before="144" w:afterLines="60" w:after="144" w:line="240" w:lineRule="auto"/>
            </w:pPr>
            <w:r w:rsidRPr="00A13B61">
              <w:rPr>
                <w:b/>
                <w:bCs/>
              </w:rPr>
              <w:t>YES</w:t>
            </w:r>
            <w:r w:rsidRPr="00A13B61">
              <w:t>, if an individual is eligible to receive the service (eligibility is self-reported), did not have a MGNREGS</w:t>
            </w:r>
            <w:r w:rsidR="00025999" w:rsidRPr="00A13B61">
              <w:t xml:space="preserve"> job</w:t>
            </w:r>
            <w:r w:rsidRPr="00A13B61">
              <w:t xml:space="preserve"> card due to an Aadhaar-related reason, or their job card was cancelled due to an Aadhaar-related reason</w:t>
            </w:r>
            <w:r w:rsidR="00025999" w:rsidRPr="00A13B61">
              <w:t>. We also calculated the corollary for non-Aadhaar related reasons</w:t>
            </w:r>
          </w:p>
        </w:tc>
      </w:tr>
      <w:tr w:rsidR="003C2EB2" w:rsidRPr="00A13B61" w14:paraId="4CAC6217"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B7B17F5" w14:textId="37D90A96" w:rsidR="003C2EB2" w:rsidRPr="00A13B61" w:rsidRDefault="003C2EB2" w:rsidP="003F3F98">
            <w:pPr>
              <w:spacing w:beforeLines="60" w:before="144" w:afterLines="60" w:after="144" w:line="240" w:lineRule="auto"/>
            </w:pPr>
            <w:r w:rsidRPr="00A13B61">
              <w:t>1</w:t>
            </w:r>
            <w:r w:rsidR="00460616" w:rsidRPr="00A13B61">
              <w:t>7</w:t>
            </w:r>
          </w:p>
        </w:tc>
        <w:tc>
          <w:tcPr>
            <w:tcW w:w="2970" w:type="dxa"/>
            <w:tcBorders>
              <w:top w:val="nil"/>
              <w:left w:val="nil"/>
              <w:bottom w:val="single" w:sz="4" w:space="0" w:color="auto"/>
              <w:right w:val="single" w:sz="4" w:space="0" w:color="auto"/>
            </w:tcBorders>
            <w:shd w:val="clear" w:color="auto" w:fill="auto"/>
            <w:noWrap/>
            <w:vAlign w:val="center"/>
            <w:hideMark/>
          </w:tcPr>
          <w:p w14:paraId="6C52FFD9" w14:textId="77777777" w:rsidR="003C2EB2" w:rsidRPr="00A13B61" w:rsidRDefault="003C2EB2" w:rsidP="003F3F98">
            <w:pPr>
              <w:spacing w:beforeLines="60" w:before="144" w:afterLines="60" w:after="144" w:line="240" w:lineRule="auto"/>
            </w:pPr>
            <w:r w:rsidRPr="00A13B61">
              <w:t>Exclusion from services: Social pensions</w:t>
            </w:r>
          </w:p>
        </w:tc>
        <w:tc>
          <w:tcPr>
            <w:tcW w:w="6087" w:type="dxa"/>
            <w:tcBorders>
              <w:top w:val="nil"/>
              <w:left w:val="nil"/>
              <w:bottom w:val="single" w:sz="4" w:space="0" w:color="auto"/>
              <w:right w:val="single" w:sz="4" w:space="0" w:color="auto"/>
            </w:tcBorders>
            <w:shd w:val="clear" w:color="auto" w:fill="auto"/>
            <w:vAlign w:val="center"/>
            <w:hideMark/>
          </w:tcPr>
          <w:p w14:paraId="472E0CC3" w14:textId="7D3C3C8D" w:rsidR="003C2EB2" w:rsidRPr="00A13B61" w:rsidRDefault="003C2EB2" w:rsidP="003F3F98">
            <w:pPr>
              <w:spacing w:beforeLines="60" w:before="144" w:afterLines="60" w:after="144" w:line="240" w:lineRule="auto"/>
            </w:pPr>
            <w:r w:rsidRPr="00A13B61">
              <w:rPr>
                <w:b/>
                <w:bCs/>
              </w:rPr>
              <w:t>YES</w:t>
            </w:r>
            <w:r w:rsidRPr="00A13B61">
              <w:t xml:space="preserve">, if an individual is eligible to receive the service (eligibility is self-reported), did not have </w:t>
            </w:r>
            <w:r w:rsidR="00025999" w:rsidRPr="00A13B61">
              <w:t xml:space="preserve">social </w:t>
            </w:r>
            <w:r w:rsidRPr="00A13B61">
              <w:t>pension due to an Aadhaar-related reason, or their pension w</w:t>
            </w:r>
            <w:r w:rsidR="00025999" w:rsidRPr="00A13B61">
              <w:t>as</w:t>
            </w:r>
            <w:r w:rsidRPr="00A13B61">
              <w:t xml:space="preserve"> invalidated due to an Aadhaar-related reason</w:t>
            </w:r>
            <w:r w:rsidR="00025999" w:rsidRPr="00A13B61">
              <w:t>. We also calculated the corollary for non-Aadhaar related reasons</w:t>
            </w:r>
          </w:p>
        </w:tc>
      </w:tr>
      <w:tr w:rsidR="003C2EB2" w:rsidRPr="00A13B61" w14:paraId="3CD556C3"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0C3BF09D" w14:textId="3E662CC1" w:rsidR="003C2EB2" w:rsidRPr="00A13B61" w:rsidRDefault="003C2EB2" w:rsidP="003F3F98">
            <w:pPr>
              <w:spacing w:beforeLines="60" w:before="144" w:afterLines="60" w:after="144" w:line="240" w:lineRule="auto"/>
            </w:pPr>
            <w:r w:rsidRPr="00A13B61">
              <w:t>1</w:t>
            </w:r>
            <w:r w:rsidR="00460616" w:rsidRPr="00A13B61">
              <w:t>8</w:t>
            </w:r>
          </w:p>
        </w:tc>
        <w:tc>
          <w:tcPr>
            <w:tcW w:w="2970" w:type="dxa"/>
            <w:tcBorders>
              <w:top w:val="nil"/>
              <w:left w:val="nil"/>
              <w:bottom w:val="single" w:sz="4" w:space="0" w:color="auto"/>
              <w:right w:val="single" w:sz="4" w:space="0" w:color="auto"/>
            </w:tcBorders>
            <w:shd w:val="clear" w:color="auto" w:fill="auto"/>
            <w:noWrap/>
            <w:vAlign w:val="center"/>
            <w:hideMark/>
          </w:tcPr>
          <w:p w14:paraId="728A6BDB" w14:textId="77777777" w:rsidR="003C2EB2" w:rsidRPr="00A13B61" w:rsidRDefault="003C2EB2" w:rsidP="003F3F98">
            <w:pPr>
              <w:spacing w:beforeLines="60" w:before="144" w:afterLines="60" w:after="144" w:line="240" w:lineRule="auto"/>
            </w:pPr>
            <w:r w:rsidRPr="00A13B61">
              <w:t>Exclusion from services: SIM</w:t>
            </w:r>
          </w:p>
        </w:tc>
        <w:tc>
          <w:tcPr>
            <w:tcW w:w="6087" w:type="dxa"/>
            <w:tcBorders>
              <w:top w:val="nil"/>
              <w:left w:val="nil"/>
              <w:bottom w:val="single" w:sz="4" w:space="0" w:color="auto"/>
              <w:right w:val="single" w:sz="4" w:space="0" w:color="auto"/>
            </w:tcBorders>
            <w:shd w:val="clear" w:color="auto" w:fill="auto"/>
            <w:vAlign w:val="center"/>
            <w:hideMark/>
          </w:tcPr>
          <w:p w14:paraId="4358B2EF" w14:textId="02993DD4" w:rsidR="003C2EB2" w:rsidRPr="00A13B61" w:rsidRDefault="003C2EB2" w:rsidP="003F3F98">
            <w:pPr>
              <w:spacing w:beforeLines="60" w:before="144" w:afterLines="60" w:after="144" w:line="240" w:lineRule="auto"/>
            </w:pPr>
            <w:r w:rsidRPr="00A13B61">
              <w:rPr>
                <w:b/>
                <w:bCs/>
              </w:rPr>
              <w:t>YES</w:t>
            </w:r>
            <w:r w:rsidRPr="00A13B61">
              <w:t>, if an individual did not have a phone due to an Aadhaar-related reason</w:t>
            </w:r>
            <w:r w:rsidR="00025999" w:rsidRPr="00A13B61">
              <w:t>. We also calculated the corollary for non-Aadhaar related reasons</w:t>
            </w:r>
          </w:p>
        </w:tc>
      </w:tr>
      <w:tr w:rsidR="003C2EB2" w:rsidRPr="00A13B61" w14:paraId="336661D2"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F6E4BCF" w14:textId="58F289D9" w:rsidR="003C2EB2" w:rsidRPr="00A13B61" w:rsidRDefault="00460616" w:rsidP="003F3F98">
            <w:pPr>
              <w:spacing w:beforeLines="60" w:before="144" w:afterLines="60" w:after="144" w:line="240" w:lineRule="auto"/>
            </w:pPr>
            <w:r w:rsidRPr="00A13B61">
              <w:t>19</w:t>
            </w:r>
          </w:p>
        </w:tc>
        <w:tc>
          <w:tcPr>
            <w:tcW w:w="2970" w:type="dxa"/>
            <w:tcBorders>
              <w:top w:val="nil"/>
              <w:left w:val="nil"/>
              <w:bottom w:val="single" w:sz="4" w:space="0" w:color="auto"/>
              <w:right w:val="single" w:sz="4" w:space="0" w:color="auto"/>
            </w:tcBorders>
            <w:shd w:val="clear" w:color="auto" w:fill="auto"/>
            <w:noWrap/>
            <w:vAlign w:val="center"/>
            <w:hideMark/>
          </w:tcPr>
          <w:p w14:paraId="255F1D4A" w14:textId="77777777" w:rsidR="003C2EB2" w:rsidRPr="00A13B61" w:rsidRDefault="003C2EB2" w:rsidP="003F3F98">
            <w:pPr>
              <w:spacing w:beforeLines="60" w:before="144" w:afterLines="60" w:after="144" w:line="240" w:lineRule="auto"/>
            </w:pPr>
            <w:r w:rsidRPr="00A13B61">
              <w:t>Exclusion from services: Bank account</w:t>
            </w:r>
          </w:p>
        </w:tc>
        <w:tc>
          <w:tcPr>
            <w:tcW w:w="6087" w:type="dxa"/>
            <w:tcBorders>
              <w:top w:val="nil"/>
              <w:left w:val="nil"/>
              <w:bottom w:val="single" w:sz="4" w:space="0" w:color="auto"/>
              <w:right w:val="single" w:sz="4" w:space="0" w:color="auto"/>
            </w:tcBorders>
            <w:shd w:val="clear" w:color="auto" w:fill="auto"/>
            <w:vAlign w:val="center"/>
            <w:hideMark/>
          </w:tcPr>
          <w:p w14:paraId="4CF37899" w14:textId="50CF1666" w:rsidR="003C2EB2" w:rsidRPr="00A13B61" w:rsidRDefault="003C2EB2" w:rsidP="003F3F98">
            <w:pPr>
              <w:spacing w:beforeLines="60" w:before="144" w:afterLines="60" w:after="144" w:line="240" w:lineRule="auto"/>
            </w:pPr>
            <w:r w:rsidRPr="00A13B61">
              <w:rPr>
                <w:b/>
                <w:bCs/>
              </w:rPr>
              <w:t>YES</w:t>
            </w:r>
            <w:r w:rsidRPr="00A13B61">
              <w:t>, if an individual did not have a bank account due to an Aadhaar-related reason</w:t>
            </w:r>
            <w:r w:rsidR="00025999" w:rsidRPr="00A13B61">
              <w:t>. We also calculated the corollary for non-Aadhaar related reasons</w:t>
            </w:r>
          </w:p>
        </w:tc>
      </w:tr>
      <w:tr w:rsidR="003C2EB2" w:rsidRPr="00A13B61" w14:paraId="5EEA758C" w14:textId="77777777" w:rsidTr="003F3F98">
        <w:trPr>
          <w:cantSplit/>
          <w:trHeight w:val="288"/>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79C37FC4" w14:textId="53730BCB" w:rsidR="003C2EB2" w:rsidRPr="00A13B61" w:rsidRDefault="003C2EB2" w:rsidP="003F3F98">
            <w:pPr>
              <w:spacing w:beforeLines="60" w:before="144" w:afterLines="60" w:after="144" w:line="240" w:lineRule="auto"/>
            </w:pPr>
            <w:r w:rsidRPr="00A13B61">
              <w:t>2</w:t>
            </w:r>
            <w:r w:rsidR="00460616" w:rsidRPr="00A13B61">
              <w:t>0</w:t>
            </w:r>
          </w:p>
        </w:tc>
        <w:tc>
          <w:tcPr>
            <w:tcW w:w="2970" w:type="dxa"/>
            <w:tcBorders>
              <w:top w:val="nil"/>
              <w:left w:val="nil"/>
              <w:bottom w:val="single" w:sz="4" w:space="0" w:color="auto"/>
              <w:right w:val="single" w:sz="4" w:space="0" w:color="auto"/>
            </w:tcBorders>
            <w:shd w:val="clear" w:color="auto" w:fill="auto"/>
            <w:noWrap/>
            <w:vAlign w:val="center"/>
            <w:hideMark/>
          </w:tcPr>
          <w:p w14:paraId="5C09712C" w14:textId="77777777" w:rsidR="003C2EB2" w:rsidRPr="00A13B61" w:rsidRDefault="003C2EB2" w:rsidP="003F3F98">
            <w:pPr>
              <w:spacing w:beforeLines="60" w:before="144" w:afterLines="60" w:after="144" w:line="240" w:lineRule="auto"/>
            </w:pPr>
            <w:r w:rsidRPr="00A13B61">
              <w:t>Exclusion from any service</w:t>
            </w:r>
          </w:p>
        </w:tc>
        <w:tc>
          <w:tcPr>
            <w:tcW w:w="6087" w:type="dxa"/>
            <w:tcBorders>
              <w:top w:val="nil"/>
              <w:left w:val="nil"/>
              <w:bottom w:val="single" w:sz="4" w:space="0" w:color="auto"/>
              <w:right w:val="single" w:sz="4" w:space="0" w:color="auto"/>
            </w:tcBorders>
            <w:shd w:val="clear" w:color="auto" w:fill="auto"/>
            <w:noWrap/>
            <w:vAlign w:val="center"/>
            <w:hideMark/>
          </w:tcPr>
          <w:p w14:paraId="71477F45" w14:textId="339B22D8" w:rsidR="003C2EB2" w:rsidRPr="00A13B61" w:rsidRDefault="003C2EB2" w:rsidP="003F3F98">
            <w:pPr>
              <w:spacing w:beforeLines="60" w:before="144" w:afterLines="60" w:after="144" w:line="240" w:lineRule="auto"/>
            </w:pPr>
            <w:r w:rsidRPr="00A13B61">
              <w:rPr>
                <w:b/>
                <w:bCs/>
              </w:rPr>
              <w:t>YES</w:t>
            </w:r>
            <w:r w:rsidRPr="00A13B61">
              <w:t xml:space="preserve">, if the </w:t>
            </w:r>
            <w:r w:rsidR="005117D4">
              <w:t>individual</w:t>
            </w:r>
            <w:r w:rsidR="005117D4" w:rsidRPr="00A13B61">
              <w:t xml:space="preserve"> </w:t>
            </w:r>
            <w:r w:rsidRPr="00A13B61">
              <w:t>was excluded from any services mentioned above</w:t>
            </w:r>
          </w:p>
        </w:tc>
      </w:tr>
      <w:tr w:rsidR="003C2EB2" w:rsidRPr="00A13B61" w14:paraId="367EE3C9"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3AC62E2" w14:textId="10AB733C" w:rsidR="003C2EB2" w:rsidRPr="00A13B61" w:rsidRDefault="003C2EB2" w:rsidP="003F3F98">
            <w:pPr>
              <w:spacing w:beforeLines="60" w:before="144" w:afterLines="60" w:after="144" w:line="240" w:lineRule="auto"/>
            </w:pPr>
            <w:r w:rsidRPr="00A13B61">
              <w:t>2</w:t>
            </w:r>
            <w:r w:rsidR="00460616" w:rsidRPr="00A13B61">
              <w:t>1</w:t>
            </w:r>
          </w:p>
        </w:tc>
        <w:tc>
          <w:tcPr>
            <w:tcW w:w="2970" w:type="dxa"/>
            <w:tcBorders>
              <w:top w:val="nil"/>
              <w:left w:val="nil"/>
              <w:bottom w:val="single" w:sz="4" w:space="0" w:color="auto"/>
              <w:right w:val="single" w:sz="4" w:space="0" w:color="auto"/>
            </w:tcBorders>
            <w:shd w:val="clear" w:color="auto" w:fill="auto"/>
            <w:noWrap/>
            <w:vAlign w:val="center"/>
            <w:hideMark/>
          </w:tcPr>
          <w:p w14:paraId="675A6EF0" w14:textId="77777777" w:rsidR="003C2EB2" w:rsidRPr="00A13B61" w:rsidRDefault="003C2EB2" w:rsidP="003F3F98">
            <w:pPr>
              <w:spacing w:beforeLines="60" w:before="144" w:afterLines="60" w:after="144" w:line="240" w:lineRule="auto"/>
            </w:pPr>
            <w:r w:rsidRPr="00A13B61">
              <w:t>Exclusion from any welfare service</w:t>
            </w:r>
          </w:p>
        </w:tc>
        <w:tc>
          <w:tcPr>
            <w:tcW w:w="6087" w:type="dxa"/>
            <w:tcBorders>
              <w:top w:val="nil"/>
              <w:left w:val="nil"/>
              <w:bottom w:val="single" w:sz="4" w:space="0" w:color="auto"/>
              <w:right w:val="single" w:sz="4" w:space="0" w:color="auto"/>
            </w:tcBorders>
            <w:shd w:val="clear" w:color="auto" w:fill="auto"/>
            <w:vAlign w:val="center"/>
            <w:hideMark/>
          </w:tcPr>
          <w:p w14:paraId="135ECA2D" w14:textId="752EEEC6" w:rsidR="003C2EB2" w:rsidRPr="00A13B61" w:rsidRDefault="003C2EB2" w:rsidP="003F3F98">
            <w:pPr>
              <w:spacing w:beforeLines="60" w:before="144" w:afterLines="60" w:after="144" w:line="240" w:lineRule="auto"/>
            </w:pPr>
            <w:r w:rsidRPr="00A13B61">
              <w:rPr>
                <w:b/>
                <w:bCs/>
              </w:rPr>
              <w:t>YES</w:t>
            </w:r>
            <w:r w:rsidRPr="00A13B61">
              <w:t xml:space="preserve">, if the </w:t>
            </w:r>
            <w:r w:rsidR="005117D4">
              <w:t>individual</w:t>
            </w:r>
            <w:r w:rsidR="005117D4" w:rsidRPr="00A13B61">
              <w:t xml:space="preserve"> </w:t>
            </w:r>
            <w:r w:rsidRPr="00A13B61">
              <w:t>was excluded from any welfare service</w:t>
            </w:r>
            <w:r w:rsidR="00025999" w:rsidRPr="00A13B61">
              <w:t xml:space="preserve"> mentioned above</w:t>
            </w:r>
            <w:r w:rsidRPr="00A13B61">
              <w:t xml:space="preserve"> (PDS, MGNREGS, Social pensions) </w:t>
            </w:r>
          </w:p>
        </w:tc>
      </w:tr>
      <w:tr w:rsidR="003C2EB2" w:rsidRPr="00A13B61" w14:paraId="2D2E3710" w14:textId="77777777" w:rsidTr="003F3F98">
        <w:trPr>
          <w:cantSplit/>
          <w:trHeight w:val="708"/>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DD4AE6B" w14:textId="497A4ED5" w:rsidR="003C2EB2" w:rsidRPr="00A13B61" w:rsidRDefault="003C2EB2" w:rsidP="003F3F98">
            <w:pPr>
              <w:spacing w:beforeLines="60" w:before="144" w:afterLines="60" w:after="144" w:line="240" w:lineRule="auto"/>
            </w:pPr>
            <w:r w:rsidRPr="00A13B61">
              <w:t>2</w:t>
            </w:r>
            <w:r w:rsidR="00025999" w:rsidRPr="00A13B61">
              <w:t>2</w:t>
            </w:r>
          </w:p>
        </w:tc>
        <w:tc>
          <w:tcPr>
            <w:tcW w:w="2970" w:type="dxa"/>
            <w:tcBorders>
              <w:top w:val="nil"/>
              <w:left w:val="nil"/>
              <w:bottom w:val="single" w:sz="4" w:space="0" w:color="auto"/>
              <w:right w:val="single" w:sz="4" w:space="0" w:color="auto"/>
            </w:tcBorders>
            <w:shd w:val="clear" w:color="auto" w:fill="auto"/>
            <w:noWrap/>
            <w:vAlign w:val="center"/>
            <w:hideMark/>
          </w:tcPr>
          <w:p w14:paraId="233408C1" w14:textId="77777777" w:rsidR="003C2EB2" w:rsidRPr="00A13B61" w:rsidRDefault="003C2EB2" w:rsidP="003F3F98">
            <w:pPr>
              <w:spacing w:beforeLines="60" w:before="144" w:afterLines="60" w:after="144" w:line="240" w:lineRule="auto"/>
            </w:pPr>
            <w:r w:rsidRPr="00A13B61">
              <w:t>Denial from services: MGNREGS</w:t>
            </w:r>
          </w:p>
        </w:tc>
        <w:tc>
          <w:tcPr>
            <w:tcW w:w="6087" w:type="dxa"/>
            <w:tcBorders>
              <w:top w:val="nil"/>
              <w:left w:val="nil"/>
              <w:bottom w:val="single" w:sz="4" w:space="0" w:color="auto"/>
              <w:right w:val="single" w:sz="4" w:space="0" w:color="auto"/>
            </w:tcBorders>
            <w:shd w:val="clear" w:color="auto" w:fill="auto"/>
            <w:vAlign w:val="center"/>
            <w:hideMark/>
          </w:tcPr>
          <w:p w14:paraId="1E408B56" w14:textId="3866ED58" w:rsidR="003C2EB2" w:rsidRPr="00A13B61" w:rsidRDefault="003C2EB2" w:rsidP="003F3F98">
            <w:pPr>
              <w:spacing w:beforeLines="60" w:before="144" w:afterLines="60" w:after="144" w:line="240" w:lineRule="auto"/>
            </w:pPr>
            <w:r w:rsidRPr="00A13B61">
              <w:rPr>
                <w:b/>
                <w:bCs/>
              </w:rPr>
              <w:t>YES</w:t>
            </w:r>
            <w:r w:rsidRPr="00A13B61">
              <w:t xml:space="preserve">, if the </w:t>
            </w:r>
            <w:r w:rsidR="005117D4">
              <w:t>in</w:t>
            </w:r>
            <w:r w:rsidRPr="00A13B61">
              <w:t>d</w:t>
            </w:r>
            <w:r w:rsidR="005117D4">
              <w:t>ividual</w:t>
            </w:r>
            <w:r w:rsidRPr="00A13B61">
              <w:t xml:space="preserve"> has a valid MGNREGS job card, tried to get a MGNREG</w:t>
            </w:r>
            <w:r w:rsidR="00025999" w:rsidRPr="00A13B61">
              <w:t>S</w:t>
            </w:r>
            <w:r w:rsidRPr="00A13B61">
              <w:t xml:space="preserve"> job in the last year, but did not receive their wages due to an Aadhaar-related reason (such as issues with linking Aadhaar with the job card, linking Aadhaar to the bank account etc.)</w:t>
            </w:r>
            <w:r w:rsidR="00025999" w:rsidRPr="00A13B61">
              <w:t>. We also calculated the corollary for non-Aadhaar related reasons</w:t>
            </w:r>
          </w:p>
        </w:tc>
      </w:tr>
      <w:tr w:rsidR="003C2EB2" w:rsidRPr="00A13B61" w14:paraId="6647711E" w14:textId="77777777" w:rsidTr="003F3F98">
        <w:trPr>
          <w:cantSplit/>
          <w:trHeight w:val="480"/>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1032BF7" w14:textId="4CB2D658" w:rsidR="003C2EB2" w:rsidRPr="00A13B61" w:rsidRDefault="003C2EB2" w:rsidP="003F3F98">
            <w:pPr>
              <w:spacing w:beforeLines="60" w:before="144" w:afterLines="60" w:after="144" w:line="240" w:lineRule="auto"/>
            </w:pPr>
            <w:r w:rsidRPr="00A13B61">
              <w:t>2</w:t>
            </w:r>
            <w:r w:rsidR="00025999" w:rsidRPr="00A13B61">
              <w:t>3</w:t>
            </w:r>
          </w:p>
        </w:tc>
        <w:tc>
          <w:tcPr>
            <w:tcW w:w="2970" w:type="dxa"/>
            <w:tcBorders>
              <w:top w:val="nil"/>
              <w:left w:val="nil"/>
              <w:bottom w:val="single" w:sz="4" w:space="0" w:color="auto"/>
              <w:right w:val="single" w:sz="4" w:space="0" w:color="auto"/>
            </w:tcBorders>
            <w:shd w:val="clear" w:color="auto" w:fill="auto"/>
            <w:noWrap/>
            <w:vAlign w:val="center"/>
            <w:hideMark/>
          </w:tcPr>
          <w:p w14:paraId="51BA83B0" w14:textId="77777777" w:rsidR="003C2EB2" w:rsidRPr="00A13B61" w:rsidRDefault="003C2EB2" w:rsidP="003F3F98">
            <w:pPr>
              <w:spacing w:beforeLines="60" w:before="144" w:afterLines="60" w:after="144" w:line="240" w:lineRule="auto"/>
            </w:pPr>
            <w:r w:rsidRPr="00A13B61">
              <w:t>Denial from services: Social pensions</w:t>
            </w:r>
          </w:p>
        </w:tc>
        <w:tc>
          <w:tcPr>
            <w:tcW w:w="6087" w:type="dxa"/>
            <w:tcBorders>
              <w:top w:val="nil"/>
              <w:left w:val="nil"/>
              <w:bottom w:val="single" w:sz="4" w:space="0" w:color="auto"/>
              <w:right w:val="single" w:sz="4" w:space="0" w:color="auto"/>
            </w:tcBorders>
            <w:shd w:val="clear" w:color="auto" w:fill="auto"/>
            <w:vAlign w:val="center"/>
            <w:hideMark/>
          </w:tcPr>
          <w:p w14:paraId="7B5AD26C" w14:textId="2A1B8AFA" w:rsidR="003C2EB2" w:rsidRPr="00A13B61" w:rsidRDefault="003C2EB2" w:rsidP="003F3F98">
            <w:pPr>
              <w:spacing w:beforeLines="60" w:before="144" w:afterLines="60" w:after="144" w:line="240" w:lineRule="auto"/>
            </w:pPr>
            <w:r w:rsidRPr="00A13B61">
              <w:rPr>
                <w:b/>
                <w:bCs/>
              </w:rPr>
              <w:t>YES</w:t>
            </w:r>
            <w:r w:rsidRPr="00A13B61">
              <w:t xml:space="preserve">, if the respondent has a did not get their pension </w:t>
            </w:r>
            <w:r w:rsidR="00025999" w:rsidRPr="00A13B61">
              <w:t xml:space="preserve">the </w:t>
            </w:r>
            <w:r w:rsidRPr="00A13B61">
              <w:t xml:space="preserve">last </w:t>
            </w:r>
            <w:proofErr w:type="gramStart"/>
            <w:r w:rsidRPr="00A13B61">
              <w:t>time</w:t>
            </w:r>
            <w:proofErr w:type="gramEnd"/>
            <w:r w:rsidRPr="00A13B61">
              <w:t xml:space="preserve"> they expected to receive </w:t>
            </w:r>
            <w:r w:rsidR="00025999" w:rsidRPr="00A13B61">
              <w:t>it</w:t>
            </w:r>
            <w:r w:rsidRPr="00A13B61">
              <w:t xml:space="preserve"> due to an Aadhaar-related reason (such as issues with linking Aadhaar with the bank account etc.)</w:t>
            </w:r>
            <w:r w:rsidR="00025999" w:rsidRPr="00A13B61">
              <w:t>. We also calculated the corollary for non-Aadhaar related reasons</w:t>
            </w:r>
          </w:p>
        </w:tc>
      </w:tr>
      <w:tr w:rsidR="00025999" w:rsidRPr="00A13B61" w14:paraId="26509D19" w14:textId="77777777" w:rsidTr="003F3F98">
        <w:trPr>
          <w:cantSplit/>
          <w:trHeight w:val="708"/>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4D6BC38" w14:textId="3D928886" w:rsidR="00025999" w:rsidRPr="00A13B61" w:rsidRDefault="00025999" w:rsidP="003F3F98">
            <w:pPr>
              <w:spacing w:beforeLines="60" w:before="144" w:afterLines="60" w:after="144" w:line="240" w:lineRule="auto"/>
            </w:pPr>
            <w:r w:rsidRPr="00A13B61">
              <w:t>24</w:t>
            </w:r>
          </w:p>
        </w:tc>
        <w:tc>
          <w:tcPr>
            <w:tcW w:w="2970" w:type="dxa"/>
            <w:tcBorders>
              <w:top w:val="nil"/>
              <w:left w:val="nil"/>
              <w:bottom w:val="single" w:sz="4" w:space="0" w:color="auto"/>
              <w:right w:val="single" w:sz="4" w:space="0" w:color="auto"/>
            </w:tcBorders>
            <w:shd w:val="clear" w:color="auto" w:fill="auto"/>
            <w:noWrap/>
            <w:vAlign w:val="center"/>
            <w:hideMark/>
          </w:tcPr>
          <w:p w14:paraId="0CFF76C8" w14:textId="77777777" w:rsidR="00025999" w:rsidRPr="00A13B61" w:rsidRDefault="00025999" w:rsidP="003F3F98">
            <w:pPr>
              <w:spacing w:beforeLines="60" w:before="144" w:afterLines="60" w:after="144" w:line="240" w:lineRule="auto"/>
            </w:pPr>
            <w:r w:rsidRPr="00A13B61">
              <w:t>Denial from services: PDS</w:t>
            </w:r>
          </w:p>
        </w:tc>
        <w:tc>
          <w:tcPr>
            <w:tcW w:w="6087" w:type="dxa"/>
            <w:tcBorders>
              <w:top w:val="nil"/>
              <w:left w:val="nil"/>
              <w:bottom w:val="single" w:sz="4" w:space="0" w:color="auto"/>
              <w:right w:val="single" w:sz="4" w:space="0" w:color="auto"/>
            </w:tcBorders>
            <w:shd w:val="clear" w:color="auto" w:fill="auto"/>
            <w:vAlign w:val="center"/>
            <w:hideMark/>
          </w:tcPr>
          <w:p w14:paraId="3F7C803E" w14:textId="6E11ABBB" w:rsidR="00025999" w:rsidRPr="00A13B61" w:rsidRDefault="00025999" w:rsidP="003F3F98">
            <w:pPr>
              <w:spacing w:beforeLines="60" w:before="144" w:afterLines="60" w:after="144" w:line="240" w:lineRule="auto"/>
            </w:pPr>
            <w:r w:rsidRPr="00A13B61">
              <w:rPr>
                <w:b/>
                <w:bCs/>
              </w:rPr>
              <w:t>YES</w:t>
            </w:r>
            <w:r w:rsidRPr="00A13B61">
              <w:t xml:space="preserve">, if the respondent has a valid PDS card, tried to access the service, faced </w:t>
            </w:r>
            <w:r w:rsidR="00C73DA2">
              <w:t>biometric authentication failure the last time they tried to access the service, and did not get their ration</w:t>
            </w:r>
            <w:r w:rsidR="00F07128">
              <w:t>s</w:t>
            </w:r>
            <w:r w:rsidR="00C73DA2">
              <w:t>. The corollary is if an individual faced a failure in biometrics the last time they tried</w:t>
            </w:r>
            <w:r w:rsidR="00F07128">
              <w:t>,</w:t>
            </w:r>
            <w:r w:rsidR="00C73DA2">
              <w:t xml:space="preserve"> but received their </w:t>
            </w:r>
            <w:r w:rsidR="00F07128">
              <w:t>allocated</w:t>
            </w:r>
            <w:r w:rsidR="00C73DA2">
              <w:t xml:space="preserve"> ration</w:t>
            </w:r>
            <w:r w:rsidR="00F07128">
              <w:t>s</w:t>
            </w:r>
            <w:r w:rsidRPr="00A13B61">
              <w:t xml:space="preserve"> </w:t>
            </w:r>
          </w:p>
        </w:tc>
      </w:tr>
      <w:tr w:rsidR="003C2EB2" w:rsidRPr="00A13B61" w14:paraId="68CD212D" w14:textId="77777777" w:rsidTr="003F3F98">
        <w:trPr>
          <w:cantSplit/>
          <w:trHeight w:val="288"/>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DCB7DB7" w14:textId="451E1B4F" w:rsidR="003C2EB2" w:rsidRPr="00A13B61" w:rsidRDefault="003C2EB2" w:rsidP="003F3F98">
            <w:pPr>
              <w:spacing w:beforeLines="60" w:before="144" w:afterLines="60" w:after="144" w:line="240" w:lineRule="auto"/>
            </w:pPr>
            <w:r w:rsidRPr="00A13B61">
              <w:lastRenderedPageBreak/>
              <w:t>2</w:t>
            </w:r>
            <w:r w:rsidR="00460616" w:rsidRPr="00A13B61">
              <w:t>5</w:t>
            </w:r>
          </w:p>
        </w:tc>
        <w:tc>
          <w:tcPr>
            <w:tcW w:w="2970" w:type="dxa"/>
            <w:tcBorders>
              <w:top w:val="nil"/>
              <w:left w:val="nil"/>
              <w:bottom w:val="single" w:sz="4" w:space="0" w:color="auto"/>
              <w:right w:val="single" w:sz="4" w:space="0" w:color="auto"/>
            </w:tcBorders>
            <w:shd w:val="clear" w:color="auto" w:fill="auto"/>
            <w:noWrap/>
            <w:vAlign w:val="center"/>
            <w:hideMark/>
          </w:tcPr>
          <w:p w14:paraId="62A2ABF2" w14:textId="77777777" w:rsidR="003C2EB2" w:rsidRPr="00A13B61" w:rsidRDefault="003C2EB2" w:rsidP="003F3F98">
            <w:pPr>
              <w:spacing w:beforeLines="60" w:before="144" w:afterLines="60" w:after="144" w:line="240" w:lineRule="auto"/>
            </w:pPr>
            <w:r w:rsidRPr="00A13B61">
              <w:t>Denial from any service</w:t>
            </w:r>
          </w:p>
        </w:tc>
        <w:tc>
          <w:tcPr>
            <w:tcW w:w="6087" w:type="dxa"/>
            <w:tcBorders>
              <w:top w:val="nil"/>
              <w:left w:val="nil"/>
              <w:bottom w:val="single" w:sz="4" w:space="0" w:color="auto"/>
              <w:right w:val="single" w:sz="4" w:space="0" w:color="auto"/>
            </w:tcBorders>
            <w:shd w:val="clear" w:color="auto" w:fill="auto"/>
            <w:noWrap/>
            <w:vAlign w:val="center"/>
            <w:hideMark/>
          </w:tcPr>
          <w:p w14:paraId="15AB5449" w14:textId="77777777" w:rsidR="003C2EB2" w:rsidRPr="00A13B61" w:rsidRDefault="003C2EB2" w:rsidP="003F3F98">
            <w:pPr>
              <w:spacing w:beforeLines="60" w:before="144" w:afterLines="60" w:after="144" w:line="240" w:lineRule="auto"/>
            </w:pPr>
            <w:r w:rsidRPr="00A13B61">
              <w:rPr>
                <w:b/>
                <w:bCs/>
              </w:rPr>
              <w:t>YES</w:t>
            </w:r>
            <w:r w:rsidRPr="00A13B61">
              <w:t>, if they were denied any service mentioned above</w:t>
            </w:r>
          </w:p>
        </w:tc>
      </w:tr>
      <w:tr w:rsidR="003C2EB2" w:rsidRPr="00A13B61" w14:paraId="471D004D" w14:textId="77777777" w:rsidTr="003F3F98">
        <w:trPr>
          <w:cantSplit/>
          <w:trHeight w:val="288"/>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207E9F14" w14:textId="3F4D5401" w:rsidR="003C2EB2" w:rsidRPr="00A13B61" w:rsidRDefault="003C2EB2" w:rsidP="003F3F98">
            <w:pPr>
              <w:spacing w:beforeLines="60" w:before="144" w:afterLines="60" w:after="144" w:line="240" w:lineRule="auto"/>
            </w:pPr>
            <w:r w:rsidRPr="00A13B61">
              <w:t>2</w:t>
            </w:r>
            <w:r w:rsidR="00460616" w:rsidRPr="00A13B61">
              <w:t>6</w:t>
            </w:r>
          </w:p>
        </w:tc>
        <w:tc>
          <w:tcPr>
            <w:tcW w:w="2970" w:type="dxa"/>
            <w:tcBorders>
              <w:top w:val="nil"/>
              <w:left w:val="nil"/>
              <w:bottom w:val="single" w:sz="4" w:space="0" w:color="auto"/>
              <w:right w:val="single" w:sz="4" w:space="0" w:color="auto"/>
            </w:tcBorders>
            <w:shd w:val="clear" w:color="auto" w:fill="auto"/>
            <w:noWrap/>
            <w:vAlign w:val="center"/>
            <w:hideMark/>
          </w:tcPr>
          <w:p w14:paraId="34A9930A" w14:textId="77777777" w:rsidR="003C2EB2" w:rsidRPr="00A13B61" w:rsidRDefault="003C2EB2" w:rsidP="003F3F98">
            <w:pPr>
              <w:spacing w:beforeLines="60" w:before="144" w:afterLines="60" w:after="144" w:line="240" w:lineRule="auto"/>
            </w:pPr>
            <w:r w:rsidRPr="00A13B61">
              <w:t>SC judgement date (2018)</w:t>
            </w:r>
          </w:p>
        </w:tc>
        <w:tc>
          <w:tcPr>
            <w:tcW w:w="6087" w:type="dxa"/>
            <w:tcBorders>
              <w:top w:val="nil"/>
              <w:left w:val="nil"/>
              <w:bottom w:val="single" w:sz="4" w:space="0" w:color="auto"/>
              <w:right w:val="single" w:sz="4" w:space="0" w:color="auto"/>
            </w:tcBorders>
            <w:shd w:val="clear" w:color="auto" w:fill="auto"/>
            <w:noWrap/>
            <w:vAlign w:val="center"/>
            <w:hideMark/>
          </w:tcPr>
          <w:p w14:paraId="687AB920" w14:textId="77777777" w:rsidR="003C2EB2" w:rsidRPr="00A13B61" w:rsidRDefault="003C2EB2" w:rsidP="003F3F98">
            <w:pPr>
              <w:spacing w:beforeLines="60" w:before="144" w:afterLines="60" w:after="144" w:line="240" w:lineRule="auto"/>
            </w:pPr>
            <w:r w:rsidRPr="00A13B61">
              <w:t>We take the date of 30th September 2018 as the cut off for the impact of the Supreme Court verdict</w:t>
            </w:r>
          </w:p>
        </w:tc>
      </w:tr>
      <w:tr w:rsidR="003F2B15" w:rsidRPr="00A13B61" w14:paraId="6529FB9B" w14:textId="77777777" w:rsidTr="003F3F98">
        <w:trPr>
          <w:cantSplit/>
          <w:trHeight w:val="288"/>
          <w:jc w:val="center"/>
        </w:trPr>
        <w:tc>
          <w:tcPr>
            <w:tcW w:w="535" w:type="dxa"/>
            <w:tcBorders>
              <w:top w:val="nil"/>
              <w:left w:val="single" w:sz="4" w:space="0" w:color="auto"/>
              <w:bottom w:val="single" w:sz="4" w:space="0" w:color="auto"/>
              <w:right w:val="single" w:sz="4" w:space="0" w:color="auto"/>
            </w:tcBorders>
            <w:shd w:val="clear" w:color="auto" w:fill="auto"/>
            <w:noWrap/>
            <w:vAlign w:val="center"/>
          </w:tcPr>
          <w:p w14:paraId="285CB289" w14:textId="04BB2B59" w:rsidR="003F2B15" w:rsidRPr="00A13B61" w:rsidRDefault="003F2B15" w:rsidP="003F3F98">
            <w:pPr>
              <w:spacing w:beforeLines="60" w:before="144" w:afterLines="60" w:after="144" w:line="240" w:lineRule="auto"/>
            </w:pPr>
            <w:r>
              <w:t>27</w:t>
            </w:r>
          </w:p>
        </w:tc>
        <w:tc>
          <w:tcPr>
            <w:tcW w:w="2970" w:type="dxa"/>
            <w:tcBorders>
              <w:top w:val="nil"/>
              <w:left w:val="nil"/>
              <w:bottom w:val="single" w:sz="4" w:space="0" w:color="auto"/>
              <w:right w:val="single" w:sz="4" w:space="0" w:color="auto"/>
            </w:tcBorders>
            <w:shd w:val="clear" w:color="auto" w:fill="auto"/>
            <w:noWrap/>
            <w:vAlign w:val="center"/>
          </w:tcPr>
          <w:p w14:paraId="073A0804" w14:textId="14B1D6AD" w:rsidR="003F2B15" w:rsidRPr="00A13B61" w:rsidRDefault="003F2B15" w:rsidP="003F3F98">
            <w:pPr>
              <w:spacing w:beforeLines="60" w:before="144" w:afterLines="60" w:after="144" w:line="240" w:lineRule="auto"/>
            </w:pPr>
            <w:r>
              <w:t>SECC Classification</w:t>
            </w:r>
          </w:p>
        </w:tc>
        <w:tc>
          <w:tcPr>
            <w:tcW w:w="6087" w:type="dxa"/>
            <w:tcBorders>
              <w:top w:val="nil"/>
              <w:left w:val="nil"/>
              <w:bottom w:val="single" w:sz="4" w:space="0" w:color="auto"/>
              <w:right w:val="single" w:sz="4" w:space="0" w:color="auto"/>
            </w:tcBorders>
            <w:shd w:val="clear" w:color="auto" w:fill="auto"/>
            <w:noWrap/>
            <w:vAlign w:val="center"/>
          </w:tcPr>
          <w:p w14:paraId="4E17AF70" w14:textId="199744BA" w:rsidR="003F2B15" w:rsidRDefault="00986081" w:rsidP="003F3F98">
            <w:pPr>
              <w:spacing w:beforeLines="60" w:before="144" w:afterLines="60" w:after="144" w:line="240" w:lineRule="auto"/>
            </w:pPr>
            <w:r>
              <w:t xml:space="preserve">Households are classified as </w:t>
            </w:r>
            <w:r w:rsidR="002301E0" w:rsidRPr="00F07128">
              <w:rPr>
                <w:b/>
                <w:bCs/>
              </w:rPr>
              <w:t>a</w:t>
            </w:r>
            <w:r w:rsidRPr="00F07128">
              <w:rPr>
                <w:b/>
                <w:bCs/>
              </w:rPr>
              <w:t>utomatically excluded</w:t>
            </w:r>
            <w:r>
              <w:t xml:space="preserve"> </w:t>
            </w:r>
            <w:r w:rsidR="00F07128">
              <w:t xml:space="preserve">from certain welfare benefits </w:t>
            </w:r>
            <w:r>
              <w:t xml:space="preserve">if they match one of the following conditions; 1) owns a motorized vehicle or boat, 2) has a mechanised three or four-wheeler agricultural equipment, 3) has a </w:t>
            </w:r>
            <w:proofErr w:type="spellStart"/>
            <w:r>
              <w:t>kisan</w:t>
            </w:r>
            <w:proofErr w:type="spellEnd"/>
            <w:r>
              <w:t xml:space="preserve"> credit-card with a limit of INR 50,000 and above, 4) respondent is government employee, 5) owns a non-agricultural enterprise registered with the government, 6) any member earns INR 10,000 or above per month, 7) any member pays income or professional taxes, 8) has a refrigerator, 9) owns a landline, 10) </w:t>
            </w:r>
            <w:r w:rsidR="002301E0">
              <w:t>lives in a house with more than three</w:t>
            </w:r>
            <w:r>
              <w:t xml:space="preserve"> pucca rooms</w:t>
            </w:r>
            <w:r w:rsidR="002301E0">
              <w:t xml:space="preserve">, 11) has more than 5 acres of irrigated land, or 12) has more than 7.5 acres of total land. </w:t>
            </w:r>
          </w:p>
          <w:p w14:paraId="3D0FA77D" w14:textId="72DE5D43" w:rsidR="002301E0" w:rsidRDefault="002301E0" w:rsidP="003F3F98">
            <w:pPr>
              <w:spacing w:beforeLines="60" w:before="144" w:afterLines="60" w:after="144" w:line="240" w:lineRule="auto"/>
            </w:pPr>
            <w:r>
              <w:t xml:space="preserve">Among those who are left, households are classified as </w:t>
            </w:r>
            <w:r w:rsidRPr="00F07128">
              <w:rPr>
                <w:b/>
                <w:bCs/>
              </w:rPr>
              <w:t>automatically included</w:t>
            </w:r>
            <w:r>
              <w:t xml:space="preserve"> </w:t>
            </w:r>
            <w:r w:rsidR="00F07128">
              <w:t xml:space="preserve">(eligible for certain welfare benefits) </w:t>
            </w:r>
            <w:r>
              <w:t>if they 1) are homeless / do not have a shelter, 2) live on alms / begging / manual scavenging, 3) contains a legally released bonded labourer, or 4) vulnerable tribal groups.</w:t>
            </w:r>
          </w:p>
          <w:p w14:paraId="5852378D" w14:textId="2FAFA7E3" w:rsidR="002301E0" w:rsidRPr="00A13B61" w:rsidRDefault="002301E0" w:rsidP="003F3F98">
            <w:pPr>
              <w:spacing w:beforeLines="60" w:before="144" w:afterLines="60" w:after="144" w:line="240" w:lineRule="auto"/>
            </w:pPr>
            <w:r>
              <w:t xml:space="preserve">Households that fall into neither are classified as </w:t>
            </w:r>
            <w:r w:rsidRPr="00F07128">
              <w:rPr>
                <w:b/>
                <w:bCs/>
              </w:rPr>
              <w:t>general</w:t>
            </w:r>
            <w:r>
              <w:t>.</w:t>
            </w:r>
          </w:p>
        </w:tc>
      </w:tr>
      <w:tr w:rsidR="003C2EB2" w:rsidRPr="00A13B61" w14:paraId="5375D217" w14:textId="77777777" w:rsidTr="003F3F98">
        <w:trPr>
          <w:cantSplit/>
          <w:trHeight w:val="340"/>
          <w:jc w:val="center"/>
        </w:trPr>
        <w:tc>
          <w:tcPr>
            <w:tcW w:w="9592"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A17798" w14:textId="77777777" w:rsidR="003C2EB2" w:rsidRPr="00A13B61" w:rsidRDefault="003C2EB2" w:rsidP="003F3F98">
            <w:pPr>
              <w:spacing w:beforeLines="60" w:before="144" w:afterLines="60" w:after="144" w:line="240" w:lineRule="auto"/>
            </w:pPr>
            <w:proofErr w:type="spellStart"/>
            <w:r w:rsidRPr="00A13B61">
              <w:t>SoA</w:t>
            </w:r>
            <w:proofErr w:type="spellEnd"/>
            <w:r w:rsidRPr="00A13B61">
              <w:t xml:space="preserve"> pulse survey</w:t>
            </w:r>
          </w:p>
        </w:tc>
      </w:tr>
      <w:tr w:rsidR="003C2EB2" w:rsidRPr="00A13B61" w14:paraId="2EE71BDE"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A09AE52" w14:textId="3B949318" w:rsidR="003C2EB2" w:rsidRPr="00A13B61" w:rsidRDefault="003F2B15" w:rsidP="003F3F98">
            <w:pPr>
              <w:spacing w:beforeLines="60" w:before="144" w:afterLines="60" w:after="144" w:line="240" w:lineRule="auto"/>
            </w:pPr>
            <w:r w:rsidRPr="00A13B61">
              <w:t>2</w:t>
            </w:r>
            <w:r>
              <w:t>8</w:t>
            </w:r>
          </w:p>
        </w:tc>
        <w:tc>
          <w:tcPr>
            <w:tcW w:w="2970" w:type="dxa"/>
            <w:tcBorders>
              <w:top w:val="nil"/>
              <w:left w:val="nil"/>
              <w:bottom w:val="single" w:sz="4" w:space="0" w:color="auto"/>
              <w:right w:val="single" w:sz="4" w:space="0" w:color="auto"/>
            </w:tcBorders>
            <w:shd w:val="clear" w:color="auto" w:fill="auto"/>
            <w:noWrap/>
            <w:vAlign w:val="center"/>
            <w:hideMark/>
          </w:tcPr>
          <w:p w14:paraId="10716432" w14:textId="4FA1811F" w:rsidR="003C2EB2" w:rsidRPr="00A13B61" w:rsidRDefault="003C2EB2" w:rsidP="003F3F98">
            <w:pPr>
              <w:spacing w:beforeLines="60" w:before="144" w:afterLines="60" w:after="144" w:line="240" w:lineRule="auto"/>
            </w:pPr>
            <w:r w:rsidRPr="00A13B61">
              <w:t>Net user satisfaction</w:t>
            </w:r>
          </w:p>
        </w:tc>
        <w:tc>
          <w:tcPr>
            <w:tcW w:w="6087" w:type="dxa"/>
            <w:tcBorders>
              <w:top w:val="nil"/>
              <w:left w:val="nil"/>
              <w:bottom w:val="single" w:sz="4" w:space="0" w:color="auto"/>
              <w:right w:val="single" w:sz="4" w:space="0" w:color="auto"/>
            </w:tcBorders>
            <w:shd w:val="clear" w:color="auto" w:fill="auto"/>
            <w:vAlign w:val="center"/>
            <w:hideMark/>
          </w:tcPr>
          <w:p w14:paraId="691D94EC" w14:textId="2E7CAA39" w:rsidR="003C2EB2" w:rsidRPr="00A13B61" w:rsidRDefault="00281694" w:rsidP="003F3F98">
            <w:pPr>
              <w:spacing w:beforeLines="60" w:before="144" w:afterLines="60" w:after="144" w:line="240" w:lineRule="auto"/>
            </w:pPr>
            <w:r w:rsidRPr="00A13B61">
              <w:t>D</w:t>
            </w:r>
            <w:r w:rsidR="003C2EB2" w:rsidRPr="00A13B61">
              <w:t>ifference between (1) total proportion of users who say, "</w:t>
            </w:r>
            <w:r w:rsidR="003C2EB2" w:rsidRPr="00A13B61">
              <w:rPr>
                <w:i/>
              </w:rPr>
              <w:t>somewhat satisfied</w:t>
            </w:r>
            <w:r w:rsidR="003C2EB2" w:rsidRPr="00A13B61">
              <w:t xml:space="preserve">" </w:t>
            </w:r>
            <w:r w:rsidR="005863F9" w:rsidRPr="00A13B61">
              <w:t>or</w:t>
            </w:r>
            <w:r w:rsidR="003C2EB2" w:rsidRPr="00A13B61">
              <w:t xml:space="preserve"> "</w:t>
            </w:r>
            <w:r w:rsidR="003C2EB2" w:rsidRPr="00A13B61">
              <w:rPr>
                <w:i/>
              </w:rPr>
              <w:t>very satisfied</w:t>
            </w:r>
            <w:r w:rsidR="003C2EB2" w:rsidRPr="00A13B61">
              <w:t>" and (2) total proportion of users who say "</w:t>
            </w:r>
            <w:r w:rsidR="003C2EB2" w:rsidRPr="00A13B61">
              <w:rPr>
                <w:i/>
              </w:rPr>
              <w:t>somewhat dissatisfied</w:t>
            </w:r>
            <w:r w:rsidR="003C2EB2" w:rsidRPr="00A13B61">
              <w:t xml:space="preserve">" </w:t>
            </w:r>
            <w:r w:rsidR="005863F9" w:rsidRPr="00A13B61">
              <w:t>or</w:t>
            </w:r>
            <w:r w:rsidR="003C2EB2" w:rsidRPr="00A13B61">
              <w:t xml:space="preserve"> "</w:t>
            </w:r>
            <w:r w:rsidR="003C2EB2" w:rsidRPr="00A13B61">
              <w:rPr>
                <w:i/>
              </w:rPr>
              <w:t>very dissatisfied</w:t>
            </w:r>
            <w:r w:rsidR="003C2EB2" w:rsidRPr="00A13B61">
              <w:t>"</w:t>
            </w:r>
          </w:p>
        </w:tc>
      </w:tr>
      <w:tr w:rsidR="005642E1" w:rsidRPr="00A13B61" w14:paraId="0DE83632" w14:textId="77777777" w:rsidTr="003F3F98">
        <w:trPr>
          <w:cantSplit/>
          <w:trHeight w:val="456"/>
          <w:jc w:val="center"/>
        </w:trPr>
        <w:tc>
          <w:tcPr>
            <w:tcW w:w="535" w:type="dxa"/>
            <w:tcBorders>
              <w:top w:val="nil"/>
              <w:left w:val="single" w:sz="4" w:space="0" w:color="auto"/>
              <w:bottom w:val="single" w:sz="4" w:space="0" w:color="auto"/>
              <w:right w:val="single" w:sz="4" w:space="0" w:color="auto"/>
            </w:tcBorders>
            <w:shd w:val="clear" w:color="auto" w:fill="auto"/>
            <w:noWrap/>
            <w:vAlign w:val="center"/>
          </w:tcPr>
          <w:p w14:paraId="30D6A416" w14:textId="57ACB5CB" w:rsidR="005642E1" w:rsidRPr="00A13B61" w:rsidRDefault="00460616" w:rsidP="003F3F98">
            <w:pPr>
              <w:spacing w:beforeLines="60" w:before="144" w:afterLines="60" w:after="144" w:line="240" w:lineRule="auto"/>
            </w:pPr>
            <w:r w:rsidRPr="00A13B61">
              <w:t>2</w:t>
            </w:r>
            <w:r w:rsidR="003F2B15">
              <w:t>9</w:t>
            </w:r>
          </w:p>
        </w:tc>
        <w:tc>
          <w:tcPr>
            <w:tcW w:w="2970" w:type="dxa"/>
            <w:tcBorders>
              <w:top w:val="nil"/>
              <w:left w:val="nil"/>
              <w:bottom w:val="single" w:sz="4" w:space="0" w:color="auto"/>
              <w:right w:val="single" w:sz="4" w:space="0" w:color="auto"/>
            </w:tcBorders>
            <w:shd w:val="clear" w:color="auto" w:fill="auto"/>
            <w:noWrap/>
            <w:vAlign w:val="center"/>
          </w:tcPr>
          <w:p w14:paraId="3561A11B" w14:textId="2F3915A0" w:rsidR="005642E1" w:rsidRPr="00A13B61" w:rsidRDefault="005642E1" w:rsidP="003F3F98">
            <w:pPr>
              <w:spacing w:beforeLines="60" w:before="144" w:afterLines="60" w:after="144" w:line="240" w:lineRule="auto"/>
            </w:pPr>
            <w:r w:rsidRPr="00A13B61">
              <w:t>Error in Aadhaar card</w:t>
            </w:r>
          </w:p>
        </w:tc>
        <w:tc>
          <w:tcPr>
            <w:tcW w:w="6087" w:type="dxa"/>
            <w:tcBorders>
              <w:top w:val="nil"/>
              <w:left w:val="nil"/>
              <w:bottom w:val="single" w:sz="4" w:space="0" w:color="auto"/>
              <w:right w:val="single" w:sz="4" w:space="0" w:color="auto"/>
            </w:tcBorders>
            <w:shd w:val="clear" w:color="auto" w:fill="auto"/>
            <w:vAlign w:val="center"/>
          </w:tcPr>
          <w:p w14:paraId="7D6E5CBA" w14:textId="3BFF6514" w:rsidR="005642E1" w:rsidRPr="00A13B61" w:rsidRDefault="005642E1" w:rsidP="003F3F98">
            <w:pPr>
              <w:spacing w:beforeLines="60" w:before="144" w:afterLines="60" w:after="144" w:line="240" w:lineRule="auto"/>
            </w:pPr>
            <w:r w:rsidRPr="00A13B61">
              <w:rPr>
                <w:b/>
                <w:bCs/>
              </w:rPr>
              <w:t>YES</w:t>
            </w:r>
            <w:r w:rsidRPr="00A13B61">
              <w:t>, if individuals have Aadhaar and there is a mistake in any field printed on an Aadhaar card (i.e. Name, Date of Birth, Address, Photo, or Gender)</w:t>
            </w:r>
          </w:p>
        </w:tc>
      </w:tr>
      <w:tr w:rsidR="005642E1" w:rsidRPr="00A13B61" w14:paraId="06CA6ED3" w14:textId="77777777" w:rsidTr="003F3F98">
        <w:trPr>
          <w:cantSplit/>
          <w:trHeight w:val="5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7324F055" w14:textId="17C720AA" w:rsidR="005642E1" w:rsidRPr="00A13B61" w:rsidRDefault="003F2B15" w:rsidP="003F3F98">
            <w:pPr>
              <w:spacing w:beforeLines="60" w:before="144" w:afterLines="60" w:after="144" w:line="240" w:lineRule="auto"/>
            </w:pPr>
            <w:r>
              <w:t>30</w:t>
            </w:r>
          </w:p>
        </w:tc>
        <w:tc>
          <w:tcPr>
            <w:tcW w:w="2970" w:type="dxa"/>
            <w:tcBorders>
              <w:top w:val="nil"/>
              <w:left w:val="nil"/>
              <w:bottom w:val="single" w:sz="4" w:space="0" w:color="auto"/>
              <w:right w:val="single" w:sz="4" w:space="0" w:color="auto"/>
            </w:tcBorders>
            <w:shd w:val="clear" w:color="auto" w:fill="auto"/>
            <w:noWrap/>
            <w:vAlign w:val="center"/>
            <w:hideMark/>
          </w:tcPr>
          <w:p w14:paraId="6B24E12A" w14:textId="77777777" w:rsidR="005642E1" w:rsidRPr="00A13B61" w:rsidRDefault="005642E1" w:rsidP="003F3F98">
            <w:pPr>
              <w:spacing w:beforeLines="60" w:before="144" w:afterLines="60" w:after="144" w:line="240" w:lineRule="auto"/>
            </w:pPr>
            <w:r w:rsidRPr="00A13B61">
              <w:t>Denial of service due to Aadhaar-related reasons</w:t>
            </w:r>
          </w:p>
        </w:tc>
        <w:tc>
          <w:tcPr>
            <w:tcW w:w="6087" w:type="dxa"/>
            <w:tcBorders>
              <w:top w:val="nil"/>
              <w:left w:val="nil"/>
              <w:bottom w:val="single" w:sz="4" w:space="0" w:color="auto"/>
              <w:right w:val="single" w:sz="4" w:space="0" w:color="auto"/>
            </w:tcBorders>
            <w:shd w:val="clear" w:color="auto" w:fill="auto"/>
            <w:vAlign w:val="center"/>
            <w:hideMark/>
          </w:tcPr>
          <w:p w14:paraId="00DF04DE" w14:textId="425BCED8" w:rsidR="005642E1" w:rsidRPr="00A13B61" w:rsidRDefault="005642E1" w:rsidP="003F3F98">
            <w:pPr>
              <w:spacing w:beforeLines="60" w:before="144" w:afterLines="60" w:after="144" w:line="240" w:lineRule="auto"/>
              <w:rPr>
                <w:b/>
              </w:rPr>
            </w:pPr>
            <w:r w:rsidRPr="00A13B61">
              <w:rPr>
                <w:b/>
              </w:rPr>
              <w:t>YES</w:t>
            </w:r>
            <w:r w:rsidRPr="00A13B61">
              <w:t xml:space="preserve">, if respondent said that they could not access Aadhaar due to Aadhaar-related reasons, namely (1) "We are eligible but could not link Aadhaar to the service" or (2) "We are eligible but biometric authentication didn't work (fingerprint or iris scan)" for any one of these three welfare services: PDS, </w:t>
            </w:r>
            <w:r w:rsidR="003E1F92" w:rsidRPr="00A13B61">
              <w:t>MGNREGS</w:t>
            </w:r>
            <w:r w:rsidRPr="00A13B61">
              <w:t xml:space="preserve">, and SS and Pensions. </w:t>
            </w:r>
          </w:p>
        </w:tc>
      </w:tr>
      <w:tr w:rsidR="005642E1" w:rsidRPr="00A13B61" w14:paraId="7166DAA5" w14:textId="77777777" w:rsidTr="003F3F98">
        <w:trPr>
          <w:cantSplit/>
          <w:trHeight w:val="5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523EFA9" w14:textId="4D3CCD28" w:rsidR="005642E1" w:rsidRPr="00A13B61" w:rsidRDefault="005642E1" w:rsidP="003F3F98">
            <w:pPr>
              <w:spacing w:beforeLines="60" w:before="144" w:afterLines="60" w:after="144" w:line="240" w:lineRule="auto"/>
            </w:pPr>
            <w:r w:rsidRPr="00A13B61">
              <w:t>3</w:t>
            </w:r>
            <w:r w:rsidR="003F2B15">
              <w:t>1</w:t>
            </w:r>
          </w:p>
        </w:tc>
        <w:tc>
          <w:tcPr>
            <w:tcW w:w="2970" w:type="dxa"/>
            <w:tcBorders>
              <w:top w:val="nil"/>
              <w:left w:val="nil"/>
              <w:bottom w:val="single" w:sz="4" w:space="0" w:color="auto"/>
              <w:right w:val="single" w:sz="4" w:space="0" w:color="auto"/>
            </w:tcBorders>
            <w:shd w:val="clear" w:color="auto" w:fill="auto"/>
            <w:noWrap/>
            <w:vAlign w:val="center"/>
            <w:hideMark/>
          </w:tcPr>
          <w:p w14:paraId="3EADF213" w14:textId="77777777" w:rsidR="005642E1" w:rsidRPr="00A13B61" w:rsidRDefault="005642E1" w:rsidP="003F3F98">
            <w:pPr>
              <w:spacing w:beforeLines="60" w:before="144" w:afterLines="60" w:after="144" w:line="240" w:lineRule="auto"/>
            </w:pPr>
            <w:r w:rsidRPr="00A13B61">
              <w:t>Population size estimates</w:t>
            </w:r>
          </w:p>
        </w:tc>
        <w:tc>
          <w:tcPr>
            <w:tcW w:w="6087" w:type="dxa"/>
            <w:tcBorders>
              <w:top w:val="nil"/>
              <w:left w:val="nil"/>
              <w:bottom w:val="single" w:sz="4" w:space="0" w:color="auto"/>
              <w:right w:val="single" w:sz="4" w:space="0" w:color="auto"/>
            </w:tcBorders>
            <w:shd w:val="clear" w:color="auto" w:fill="auto"/>
            <w:vAlign w:val="center"/>
            <w:hideMark/>
          </w:tcPr>
          <w:p w14:paraId="322C87EA" w14:textId="212EA018" w:rsidR="005642E1" w:rsidRPr="00A13B61" w:rsidRDefault="005642E1" w:rsidP="003F3F98">
            <w:pPr>
              <w:spacing w:beforeLines="60" w:before="144" w:afterLines="60" w:after="144" w:line="240" w:lineRule="auto"/>
            </w:pPr>
            <w:r w:rsidRPr="00A13B61">
              <w:t>All non-respondents (people who refused to participate) were excluded from the data, reducing sample size by ~15%. Survey weights were rescaled by a factor of 1.2 to 2019 population estimate of 1.34 billion (assuming non-respondents are randomly distributed).</w:t>
            </w:r>
          </w:p>
        </w:tc>
      </w:tr>
    </w:tbl>
    <w:p w14:paraId="11DEE674" w14:textId="77777777" w:rsidR="003C2EB2" w:rsidRPr="00A13B61" w:rsidRDefault="003C2EB2" w:rsidP="00F511BC"/>
    <w:p w14:paraId="09286093" w14:textId="02CD2F92" w:rsidR="00933223" w:rsidRPr="00A13B61" w:rsidRDefault="00933223" w:rsidP="00F511BC"/>
    <w:p w14:paraId="258C8C9B" w14:textId="77777777" w:rsidR="00933223" w:rsidRPr="00A13B61" w:rsidRDefault="00933223" w:rsidP="00F511BC"/>
    <w:p w14:paraId="772FB2BC" w14:textId="77777777" w:rsidR="00086D25" w:rsidRPr="00A13B61" w:rsidRDefault="00086D25" w:rsidP="00F511BC">
      <w:r w:rsidRPr="00A13B61">
        <w:br w:type="page"/>
      </w:r>
    </w:p>
    <w:p w14:paraId="024F37D4" w14:textId="04EF9B91" w:rsidR="00AC2DB4" w:rsidRPr="00A13B61" w:rsidRDefault="00933223" w:rsidP="00F511BC">
      <w:pPr>
        <w:pStyle w:val="Heading1"/>
      </w:pPr>
      <w:bookmarkStart w:id="50" w:name="_Toc25484991"/>
      <w:r w:rsidRPr="00A13B61">
        <w:lastRenderedPageBreak/>
        <w:t>Post-Analysis</w:t>
      </w:r>
      <w:bookmarkEnd w:id="50"/>
    </w:p>
    <w:p w14:paraId="6C5D3F06" w14:textId="4D08B894" w:rsidR="00285E9F" w:rsidRPr="00A13B61" w:rsidRDefault="00285E9F" w:rsidP="00F511BC">
      <w:pPr>
        <w:pStyle w:val="Heading3"/>
      </w:pPr>
      <w:bookmarkStart w:id="51" w:name="_Toc25484992"/>
      <w:r w:rsidRPr="00A13B61">
        <w:t>Reporting</w:t>
      </w:r>
      <w:bookmarkEnd w:id="51"/>
    </w:p>
    <w:p w14:paraId="7B748466" w14:textId="2471A115" w:rsidR="00935B17" w:rsidRPr="00A13B61" w:rsidRDefault="00565060" w:rsidP="00F511BC">
      <w:r w:rsidRPr="00A13B61">
        <w:t xml:space="preserve">In general, </w:t>
      </w:r>
      <w:r w:rsidR="002A1ECE">
        <w:t xml:space="preserve">if a statistic can be estimated from both </w:t>
      </w:r>
      <w:r w:rsidR="002A1ECE" w:rsidRPr="00A13B61">
        <w:t>the pulse and in-depth surveys</w:t>
      </w:r>
      <w:r w:rsidR="002A1ECE">
        <w:t>, we report numbers</w:t>
      </w:r>
      <w:r w:rsidRPr="00A13B61">
        <w:t xml:space="preserve"> from the larger pulse survey whenever possible. Most findings, however, are from the in-depth survey since </w:t>
      </w:r>
      <w:r w:rsidR="002A1ECE">
        <w:t>the survey is longer and</w:t>
      </w:r>
      <w:r w:rsidR="002A1ECE" w:rsidRPr="00A13B61">
        <w:t xml:space="preserve"> </w:t>
      </w:r>
      <w:r w:rsidRPr="00A13B61">
        <w:t>cover</w:t>
      </w:r>
      <w:r w:rsidR="00F07128">
        <w:t>s</w:t>
      </w:r>
      <w:r w:rsidRPr="00A13B61">
        <w:t xml:space="preserve"> more </w:t>
      </w:r>
      <w:r w:rsidR="002A1ECE">
        <w:t>topics</w:t>
      </w:r>
      <w:r w:rsidRPr="00A13B61">
        <w:t xml:space="preserve">. </w:t>
      </w:r>
      <w:r w:rsidR="00935B17" w:rsidRPr="00A13B61">
        <w:t>Statistics from the pulse survey are explicitly referenced in the footnotes</w:t>
      </w:r>
      <w:r w:rsidR="00F07128">
        <w:t xml:space="preserve"> of the report</w:t>
      </w:r>
      <w:r w:rsidR="00935B17" w:rsidRPr="00A13B61">
        <w:t xml:space="preserve">. </w:t>
      </w:r>
    </w:p>
    <w:p w14:paraId="4B906006" w14:textId="43AA623D" w:rsidR="00A40BA3" w:rsidRPr="00A13B61" w:rsidRDefault="00D60804" w:rsidP="00F511BC">
      <w:r w:rsidRPr="00A13B61">
        <w:t>F</w:t>
      </w:r>
      <w:r w:rsidR="00905272" w:rsidRPr="00A13B61">
        <w:t>or national-level projections</w:t>
      </w:r>
      <w:r w:rsidR="003815CC">
        <w:t xml:space="preserve"> from the pulse survey</w:t>
      </w:r>
      <w:r w:rsidR="00905272" w:rsidRPr="00A13B61">
        <w:t xml:space="preserve">, such as the Aadhaar enrolment rate in India, we assume that the </w:t>
      </w:r>
      <w:r w:rsidR="0012608E" w:rsidRPr="00A13B61">
        <w:t xml:space="preserve">estimates from </w:t>
      </w:r>
      <w:r w:rsidR="00905272" w:rsidRPr="00A13B61">
        <w:t xml:space="preserve">states where we conduct our survey can be projected to a national level. </w:t>
      </w:r>
      <w:r w:rsidR="003815CC">
        <w:t>Thus</w:t>
      </w:r>
      <w:r w:rsidR="00905272" w:rsidRPr="00A13B61">
        <w:t xml:space="preserve">, for the in-depth survey, we project statistics based on 16 states and </w:t>
      </w:r>
      <w:r w:rsidR="00D804AD" w:rsidRPr="00A13B61">
        <w:t>one</w:t>
      </w:r>
      <w:r w:rsidR="00905272" w:rsidRPr="00A13B61">
        <w:t xml:space="preserve"> union territory to </w:t>
      </w:r>
      <w:r w:rsidR="00F07128">
        <w:t>those</w:t>
      </w:r>
      <w:r w:rsidR="003815CC">
        <w:t xml:space="preserve"> states and </w:t>
      </w:r>
      <w:r w:rsidR="00F07128">
        <w:t xml:space="preserve">the </w:t>
      </w:r>
      <w:r w:rsidR="003815CC">
        <w:t>union territory</w:t>
      </w:r>
      <w:r w:rsidR="00905272" w:rsidRPr="00A13B61">
        <w:t xml:space="preserve">, </w:t>
      </w:r>
      <w:r w:rsidR="003815CC">
        <w:t>while</w:t>
      </w:r>
      <w:r w:rsidR="003815CC" w:rsidRPr="00A13B61">
        <w:t xml:space="preserve"> </w:t>
      </w:r>
      <w:r w:rsidR="00905272" w:rsidRPr="00A13B61">
        <w:t>for the pulse survey, we project statistics based on 28 states and union territories to the national level.</w:t>
      </w:r>
      <w:r w:rsidR="00B548B3" w:rsidRPr="00A13B61">
        <w:t xml:space="preserve"> </w:t>
      </w:r>
    </w:p>
    <w:p w14:paraId="2ABC775F" w14:textId="42E06C5B" w:rsidR="005A3D92" w:rsidRPr="00A13B61" w:rsidRDefault="00D42988" w:rsidP="00F511BC">
      <w:r w:rsidRPr="00A13B61">
        <w:t>As far as possible and where relevant, we report only significant relationships and insights in our report</w:t>
      </w:r>
      <w:r w:rsidR="00C369B5">
        <w:t>,</w:t>
      </w:r>
      <w:r w:rsidR="00A205D1">
        <w:t xml:space="preserve"> </w:t>
      </w:r>
      <w:r w:rsidR="002D3B5C">
        <w:t>with a minimum</w:t>
      </w:r>
      <w:r w:rsidR="00A205D1">
        <w:t xml:space="preserve"> </w:t>
      </w:r>
      <w:r w:rsidR="002D3B5C">
        <w:t xml:space="preserve">of a </w:t>
      </w:r>
      <w:r w:rsidR="00A205D1">
        <w:t>5% level of significance</w:t>
      </w:r>
      <w:r w:rsidRPr="00A13B61">
        <w:t xml:space="preserve">. In </w:t>
      </w:r>
      <w:r w:rsidR="002D3B5C">
        <w:t>many</w:t>
      </w:r>
      <w:r w:rsidR="00A205D1" w:rsidRPr="00A13B61">
        <w:t xml:space="preserve"> </w:t>
      </w:r>
      <w:r w:rsidRPr="00A13B61">
        <w:t xml:space="preserve">cases, </w:t>
      </w:r>
      <w:r w:rsidR="00A06350" w:rsidRPr="00A13B61">
        <w:t xml:space="preserve">given </w:t>
      </w:r>
      <w:r w:rsidR="00A205D1">
        <w:t>the sample sizes for the</w:t>
      </w:r>
      <w:r w:rsidR="00A205D1" w:rsidRPr="00A13B61">
        <w:t xml:space="preserve"> </w:t>
      </w:r>
      <w:r w:rsidR="00A06350" w:rsidRPr="00A13B61">
        <w:t xml:space="preserve">surveys, </w:t>
      </w:r>
      <w:r w:rsidRPr="00A13B61">
        <w:t xml:space="preserve">the </w:t>
      </w:r>
      <w:r w:rsidR="00A205D1">
        <w:t>level of significance</w:t>
      </w:r>
      <w:r w:rsidRPr="00A13B61">
        <w:t xml:space="preserve"> was</w:t>
      </w:r>
      <w:r w:rsidR="002D3B5C">
        <w:t xml:space="preserve"> higher – and in some cases</w:t>
      </w:r>
      <w:r w:rsidRPr="00A13B61">
        <w:t xml:space="preserve"> less than 1%.</w:t>
      </w:r>
      <w:r w:rsidR="00816C7E" w:rsidRPr="00A13B61">
        <w:t xml:space="preserve"> </w:t>
      </w:r>
      <w:r w:rsidR="00A205D1">
        <w:t xml:space="preserve">We do </w:t>
      </w:r>
      <w:r w:rsidR="001635A0">
        <w:t xml:space="preserve">not </w:t>
      </w:r>
      <w:r w:rsidR="00A205D1">
        <w:t xml:space="preserve">estimate family error rates. </w:t>
      </w:r>
    </w:p>
    <w:p w14:paraId="45DA7FAB" w14:textId="6AFD3DD4" w:rsidR="00BB1D7F" w:rsidRPr="00A13B61" w:rsidRDefault="00FC096B" w:rsidP="00F511BC">
      <w:pPr>
        <w:pStyle w:val="Heading3"/>
      </w:pPr>
      <w:bookmarkStart w:id="52" w:name="_Toc25484993"/>
      <w:r w:rsidRPr="00A13B61">
        <w:t>Internal and external validation</w:t>
      </w:r>
      <w:bookmarkEnd w:id="52"/>
    </w:p>
    <w:p w14:paraId="2E428B14" w14:textId="77777777" w:rsidR="003C2EB2" w:rsidRPr="00A13B61" w:rsidRDefault="003C2EB2" w:rsidP="001E6177">
      <w:pPr>
        <w:pStyle w:val="Heading4"/>
      </w:pPr>
      <w:r w:rsidRPr="00A13B61">
        <w:t>Internal validation</w:t>
      </w:r>
    </w:p>
    <w:p w14:paraId="49DE38C9" w14:textId="29E3A0EB" w:rsidR="003C2EB2" w:rsidRPr="00A13B61" w:rsidRDefault="00C33DB2" w:rsidP="00F511BC">
      <w:r w:rsidRPr="00A13B61">
        <w:t xml:space="preserve">We compared our results on </w:t>
      </w:r>
      <w:r w:rsidR="0087764B" w:rsidRPr="00A13B61">
        <w:t>satisfaction</w:t>
      </w:r>
      <w:r w:rsidRPr="00A13B61">
        <w:t xml:space="preserve"> rates</w:t>
      </w:r>
      <w:r w:rsidR="005F52D7" w:rsidRPr="00A13B61">
        <w:t>, enrolment rates,</w:t>
      </w:r>
      <w:r w:rsidRPr="00A13B61">
        <w:t xml:space="preserve"> and error rates between the pulse and in-depth surveys, listed in Tables 3</w:t>
      </w:r>
      <w:r w:rsidR="00AD4E42" w:rsidRPr="00A13B61">
        <w:t xml:space="preserve">, </w:t>
      </w:r>
      <w:r w:rsidRPr="00A13B61">
        <w:t>4</w:t>
      </w:r>
      <w:r w:rsidR="00AD4E42" w:rsidRPr="00A13B61">
        <w:t>, 5, and 6</w:t>
      </w:r>
      <w:r w:rsidRPr="00A13B61">
        <w:t xml:space="preserve">. The correlations between these results are </w:t>
      </w:r>
      <w:r w:rsidR="00C369B5">
        <w:t xml:space="preserve">usually </w:t>
      </w:r>
      <w:r w:rsidRPr="00A13B61">
        <w:t>high</w:t>
      </w:r>
      <w:r w:rsidR="00C369B5">
        <w:t xml:space="preserve"> (greater than </w:t>
      </w:r>
      <w:r w:rsidR="001634FF">
        <w:t>75</w:t>
      </w:r>
      <w:r w:rsidR="00C369B5">
        <w:t>%)</w:t>
      </w:r>
      <w:r w:rsidRPr="00A13B61">
        <w:t>.</w:t>
      </w:r>
      <w:r w:rsidR="00025999" w:rsidRPr="00A13B61">
        <w:t xml:space="preserve"> </w:t>
      </w:r>
      <w:r w:rsidR="00C369B5">
        <w:t>Some d</w:t>
      </w:r>
      <w:r w:rsidR="00C369B5" w:rsidRPr="00A13B61">
        <w:t xml:space="preserve">ifferences </w:t>
      </w:r>
      <w:r w:rsidR="00C369B5">
        <w:t xml:space="preserve">inevitably exist, which can </w:t>
      </w:r>
      <w:r w:rsidR="001232D6">
        <w:t>arise due</w:t>
      </w:r>
      <w:r w:rsidR="00C369B5">
        <w:t xml:space="preserve"> to changes in question phrasing, sample size and weights</w:t>
      </w:r>
      <w:r w:rsidR="00025999" w:rsidRPr="00A13B61">
        <w:t>.</w:t>
      </w:r>
    </w:p>
    <w:p w14:paraId="41BACA17" w14:textId="15C64F47" w:rsidR="00D944E8" w:rsidRPr="00A13B61" w:rsidRDefault="00D944E8" w:rsidP="003F3F98">
      <w:pPr>
        <w:pStyle w:val="Caption"/>
      </w:pPr>
      <w:r w:rsidRPr="00A13B61">
        <w:t xml:space="preserve">Table </w:t>
      </w:r>
      <w:r>
        <w:t>3:</w:t>
      </w:r>
      <w:r w:rsidRPr="00A13B61">
        <w:t xml:space="preserve"> Comparison of results on enrolment rates by demographic groups between </w:t>
      </w:r>
      <w:proofErr w:type="spellStart"/>
      <w:r w:rsidRPr="00A13B61">
        <w:t>SoA</w:t>
      </w:r>
      <w:proofErr w:type="spellEnd"/>
      <w:r w:rsidRPr="00A13B61">
        <w:t xml:space="preserve"> pulse and in-depth surveys</w:t>
      </w:r>
    </w:p>
    <w:tbl>
      <w:tblPr>
        <w:tblW w:w="6879" w:type="dxa"/>
        <w:jc w:val="center"/>
        <w:tblLook w:val="04A0" w:firstRow="1" w:lastRow="0" w:firstColumn="1" w:lastColumn="0" w:noHBand="0" w:noVBand="1"/>
      </w:tblPr>
      <w:tblGrid>
        <w:gridCol w:w="3003"/>
        <w:gridCol w:w="1938"/>
        <w:gridCol w:w="1938"/>
      </w:tblGrid>
      <w:tr w:rsidR="00D944E8" w:rsidRPr="008F1432" w14:paraId="37EA8128" w14:textId="77777777" w:rsidTr="003F3F98">
        <w:trPr>
          <w:trHeight w:val="340"/>
          <w:jc w:val="center"/>
        </w:trPr>
        <w:tc>
          <w:tcPr>
            <w:tcW w:w="3003" w:type="dxa"/>
            <w:tcBorders>
              <w:top w:val="single" w:sz="4" w:space="0" w:color="auto"/>
              <w:left w:val="single" w:sz="4" w:space="0" w:color="auto"/>
              <w:bottom w:val="single" w:sz="4" w:space="0" w:color="auto"/>
              <w:right w:val="single" w:sz="4" w:space="0" w:color="auto"/>
            </w:tcBorders>
            <w:shd w:val="clear" w:color="000000" w:fill="77B8E4"/>
            <w:noWrap/>
            <w:vAlign w:val="center"/>
          </w:tcPr>
          <w:p w14:paraId="35E7ADAC" w14:textId="77777777" w:rsidR="00D944E8" w:rsidRPr="008F1432" w:rsidRDefault="00D944E8" w:rsidP="003F3F98">
            <w:pPr>
              <w:spacing w:after="0"/>
              <w:rPr>
                <w:b/>
                <w:bCs/>
                <w:lang w:eastAsia="en-SG"/>
              </w:rPr>
            </w:pPr>
            <w:r w:rsidRPr="008F1432">
              <w:rPr>
                <w:b/>
                <w:bCs/>
                <w:lang w:eastAsia="en-SG"/>
              </w:rPr>
              <w:t>Group</w:t>
            </w:r>
          </w:p>
        </w:tc>
        <w:tc>
          <w:tcPr>
            <w:tcW w:w="1938" w:type="dxa"/>
            <w:tcBorders>
              <w:top w:val="single" w:sz="4" w:space="0" w:color="auto"/>
              <w:left w:val="nil"/>
              <w:bottom w:val="single" w:sz="4" w:space="0" w:color="auto"/>
              <w:right w:val="single" w:sz="4" w:space="0" w:color="auto"/>
            </w:tcBorders>
            <w:shd w:val="clear" w:color="000000" w:fill="77B8E4"/>
            <w:noWrap/>
            <w:vAlign w:val="center"/>
          </w:tcPr>
          <w:p w14:paraId="13FE66BF" w14:textId="77777777" w:rsidR="00D944E8" w:rsidRPr="008F1432" w:rsidRDefault="00D944E8" w:rsidP="003F3F98">
            <w:pPr>
              <w:spacing w:after="0"/>
              <w:rPr>
                <w:b/>
                <w:bCs/>
                <w:lang w:eastAsia="en-SG"/>
              </w:rPr>
            </w:pPr>
            <w:proofErr w:type="spellStart"/>
            <w:r w:rsidRPr="008F1432">
              <w:rPr>
                <w:b/>
                <w:bCs/>
                <w:lang w:eastAsia="en-SG"/>
              </w:rPr>
              <w:t>SoA</w:t>
            </w:r>
            <w:proofErr w:type="spellEnd"/>
            <w:r w:rsidRPr="008F1432">
              <w:rPr>
                <w:b/>
                <w:bCs/>
                <w:lang w:eastAsia="en-SG"/>
              </w:rPr>
              <w:t xml:space="preserve"> Pulse</w:t>
            </w:r>
          </w:p>
        </w:tc>
        <w:tc>
          <w:tcPr>
            <w:tcW w:w="1938" w:type="dxa"/>
            <w:tcBorders>
              <w:top w:val="single" w:sz="4" w:space="0" w:color="auto"/>
              <w:left w:val="nil"/>
              <w:bottom w:val="single" w:sz="4" w:space="0" w:color="auto"/>
              <w:right w:val="single" w:sz="4" w:space="0" w:color="auto"/>
            </w:tcBorders>
            <w:shd w:val="clear" w:color="000000" w:fill="77B8E4"/>
            <w:noWrap/>
            <w:vAlign w:val="center"/>
          </w:tcPr>
          <w:p w14:paraId="21B856E6" w14:textId="77777777" w:rsidR="00D944E8" w:rsidRPr="008F1432" w:rsidRDefault="00D944E8" w:rsidP="003F3F98">
            <w:pPr>
              <w:spacing w:after="0"/>
              <w:rPr>
                <w:b/>
                <w:bCs/>
                <w:lang w:eastAsia="en-SG"/>
              </w:rPr>
            </w:pPr>
            <w:proofErr w:type="spellStart"/>
            <w:r w:rsidRPr="008F1432">
              <w:rPr>
                <w:b/>
                <w:bCs/>
                <w:lang w:eastAsia="en-SG"/>
              </w:rPr>
              <w:t>SoA</w:t>
            </w:r>
            <w:proofErr w:type="spellEnd"/>
            <w:r w:rsidRPr="008F1432">
              <w:rPr>
                <w:b/>
                <w:bCs/>
                <w:lang w:eastAsia="en-SG"/>
              </w:rPr>
              <w:t xml:space="preserve"> In-depth</w:t>
            </w:r>
          </w:p>
        </w:tc>
      </w:tr>
      <w:tr w:rsidR="00D944E8" w:rsidRPr="008F1432" w14:paraId="05F51CF4" w14:textId="77777777" w:rsidTr="008F1432">
        <w:trPr>
          <w:trHeight w:val="244"/>
          <w:jc w:val="center"/>
        </w:trPr>
        <w:tc>
          <w:tcPr>
            <w:tcW w:w="6879" w:type="dxa"/>
            <w:gridSpan w:val="3"/>
            <w:tcBorders>
              <w:top w:val="nil"/>
              <w:left w:val="single" w:sz="4" w:space="0" w:color="auto"/>
              <w:bottom w:val="single" w:sz="4" w:space="0" w:color="auto"/>
              <w:right w:val="single" w:sz="4" w:space="0" w:color="auto"/>
            </w:tcBorders>
            <w:shd w:val="clear" w:color="auto" w:fill="auto"/>
            <w:noWrap/>
            <w:vAlign w:val="center"/>
          </w:tcPr>
          <w:p w14:paraId="3A69BFF0" w14:textId="77777777" w:rsidR="00D944E8" w:rsidRPr="008F1432" w:rsidRDefault="00D944E8" w:rsidP="008F1432">
            <w:pPr>
              <w:spacing w:after="0"/>
              <w:rPr>
                <w:b/>
                <w:bCs/>
                <w:lang w:eastAsia="en-SG"/>
              </w:rPr>
            </w:pPr>
            <w:r w:rsidRPr="008F1432">
              <w:rPr>
                <w:b/>
                <w:bCs/>
                <w:lang w:eastAsia="en-SG"/>
              </w:rPr>
              <w:t>By age</w:t>
            </w:r>
          </w:p>
        </w:tc>
      </w:tr>
      <w:tr w:rsidR="00D944E8" w:rsidRPr="00A13B61" w14:paraId="584F7BC3"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27646A0D" w14:textId="77777777" w:rsidR="00D944E8" w:rsidRPr="00A13B61" w:rsidRDefault="00D944E8" w:rsidP="008F1432">
            <w:pPr>
              <w:spacing w:after="0"/>
              <w:rPr>
                <w:lang w:eastAsia="en-SG"/>
              </w:rPr>
            </w:pPr>
            <w:r w:rsidRPr="00A13B61">
              <w:rPr>
                <w:lang w:eastAsia="en-SG"/>
              </w:rPr>
              <w:t>Children 0 - 5</w:t>
            </w:r>
          </w:p>
        </w:tc>
        <w:tc>
          <w:tcPr>
            <w:tcW w:w="1938" w:type="dxa"/>
            <w:tcBorders>
              <w:top w:val="nil"/>
              <w:left w:val="nil"/>
              <w:bottom w:val="single" w:sz="4" w:space="0" w:color="auto"/>
              <w:right w:val="single" w:sz="4" w:space="0" w:color="auto"/>
            </w:tcBorders>
            <w:shd w:val="clear" w:color="auto" w:fill="auto"/>
            <w:noWrap/>
            <w:vAlign w:val="bottom"/>
            <w:hideMark/>
          </w:tcPr>
          <w:p w14:paraId="52452B0B" w14:textId="77777777" w:rsidR="00D944E8" w:rsidRPr="00A13B61" w:rsidRDefault="00D944E8" w:rsidP="008F1432">
            <w:pPr>
              <w:spacing w:after="0"/>
              <w:rPr>
                <w:lang w:eastAsia="en-SG"/>
              </w:rPr>
            </w:pPr>
            <w:r w:rsidRPr="00A13B61">
              <w:rPr>
                <w:lang w:eastAsia="en-SG"/>
              </w:rPr>
              <w:t>38.9%</w:t>
            </w:r>
          </w:p>
        </w:tc>
        <w:tc>
          <w:tcPr>
            <w:tcW w:w="1938" w:type="dxa"/>
            <w:tcBorders>
              <w:top w:val="nil"/>
              <w:left w:val="nil"/>
              <w:bottom w:val="single" w:sz="4" w:space="0" w:color="auto"/>
              <w:right w:val="single" w:sz="4" w:space="0" w:color="auto"/>
            </w:tcBorders>
            <w:shd w:val="clear" w:color="auto" w:fill="auto"/>
            <w:noWrap/>
            <w:vAlign w:val="bottom"/>
            <w:hideMark/>
          </w:tcPr>
          <w:p w14:paraId="42913949" w14:textId="77777777" w:rsidR="00D944E8" w:rsidRPr="00A13B61" w:rsidRDefault="00D944E8" w:rsidP="008F1432">
            <w:pPr>
              <w:spacing w:after="0"/>
              <w:rPr>
                <w:lang w:eastAsia="en-SG"/>
              </w:rPr>
            </w:pPr>
            <w:r w:rsidRPr="00A13B61">
              <w:rPr>
                <w:lang w:eastAsia="en-SG"/>
              </w:rPr>
              <w:t>48.2%</w:t>
            </w:r>
          </w:p>
        </w:tc>
      </w:tr>
      <w:tr w:rsidR="00D944E8" w:rsidRPr="00A13B61" w14:paraId="30D3CAF8"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7C4BC44C" w14:textId="77777777" w:rsidR="00D944E8" w:rsidRPr="00A13B61" w:rsidRDefault="00D944E8" w:rsidP="008F1432">
            <w:pPr>
              <w:spacing w:after="0"/>
              <w:rPr>
                <w:lang w:eastAsia="en-SG"/>
              </w:rPr>
            </w:pPr>
            <w:r w:rsidRPr="00A13B61">
              <w:rPr>
                <w:lang w:eastAsia="en-SG"/>
              </w:rPr>
              <w:t>Children 6 - 17</w:t>
            </w:r>
          </w:p>
        </w:tc>
        <w:tc>
          <w:tcPr>
            <w:tcW w:w="1938" w:type="dxa"/>
            <w:tcBorders>
              <w:top w:val="nil"/>
              <w:left w:val="nil"/>
              <w:bottom w:val="single" w:sz="4" w:space="0" w:color="auto"/>
              <w:right w:val="single" w:sz="4" w:space="0" w:color="auto"/>
            </w:tcBorders>
            <w:shd w:val="clear" w:color="auto" w:fill="auto"/>
            <w:noWrap/>
            <w:vAlign w:val="bottom"/>
            <w:hideMark/>
          </w:tcPr>
          <w:p w14:paraId="01B69D5C" w14:textId="77777777" w:rsidR="00D944E8" w:rsidRPr="00A13B61" w:rsidRDefault="00D944E8" w:rsidP="008F1432">
            <w:pPr>
              <w:spacing w:after="0"/>
              <w:rPr>
                <w:lang w:eastAsia="en-SG"/>
              </w:rPr>
            </w:pPr>
            <w:r w:rsidRPr="00A13B61">
              <w:rPr>
                <w:lang w:eastAsia="en-SG"/>
              </w:rPr>
              <w:t>80.9%</w:t>
            </w:r>
          </w:p>
        </w:tc>
        <w:tc>
          <w:tcPr>
            <w:tcW w:w="1938" w:type="dxa"/>
            <w:tcBorders>
              <w:top w:val="nil"/>
              <w:left w:val="nil"/>
              <w:bottom w:val="single" w:sz="4" w:space="0" w:color="auto"/>
              <w:right w:val="single" w:sz="4" w:space="0" w:color="auto"/>
            </w:tcBorders>
            <w:shd w:val="clear" w:color="auto" w:fill="auto"/>
            <w:noWrap/>
            <w:vAlign w:val="bottom"/>
            <w:hideMark/>
          </w:tcPr>
          <w:p w14:paraId="55BF8EBD" w14:textId="77777777" w:rsidR="00D944E8" w:rsidRPr="00A13B61" w:rsidRDefault="00D944E8" w:rsidP="008F1432">
            <w:pPr>
              <w:spacing w:after="0"/>
              <w:rPr>
                <w:lang w:eastAsia="en-SG"/>
              </w:rPr>
            </w:pPr>
            <w:r w:rsidRPr="00A13B61">
              <w:rPr>
                <w:lang w:eastAsia="en-SG"/>
              </w:rPr>
              <w:t>88.3%</w:t>
            </w:r>
          </w:p>
        </w:tc>
      </w:tr>
      <w:tr w:rsidR="00D944E8" w:rsidRPr="00A13B61" w14:paraId="21FAD825"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481E6290" w14:textId="77777777" w:rsidR="00D944E8" w:rsidRPr="00A13B61" w:rsidRDefault="00D944E8" w:rsidP="008F1432">
            <w:pPr>
              <w:spacing w:after="0"/>
              <w:rPr>
                <w:lang w:eastAsia="en-SG"/>
              </w:rPr>
            </w:pPr>
            <w:r w:rsidRPr="00A13B61">
              <w:rPr>
                <w:lang w:eastAsia="en-SG"/>
              </w:rPr>
              <w:t>Adult</w:t>
            </w:r>
          </w:p>
        </w:tc>
        <w:tc>
          <w:tcPr>
            <w:tcW w:w="1938" w:type="dxa"/>
            <w:tcBorders>
              <w:top w:val="nil"/>
              <w:left w:val="nil"/>
              <w:bottom w:val="single" w:sz="4" w:space="0" w:color="auto"/>
              <w:right w:val="single" w:sz="4" w:space="0" w:color="auto"/>
            </w:tcBorders>
            <w:shd w:val="clear" w:color="auto" w:fill="auto"/>
            <w:noWrap/>
            <w:vAlign w:val="bottom"/>
            <w:hideMark/>
          </w:tcPr>
          <w:p w14:paraId="50B7F951" w14:textId="77777777" w:rsidR="00D944E8" w:rsidRPr="00A13B61" w:rsidRDefault="00D944E8" w:rsidP="008F1432">
            <w:pPr>
              <w:spacing w:after="0"/>
              <w:rPr>
                <w:lang w:eastAsia="en-SG"/>
              </w:rPr>
            </w:pPr>
            <w:r w:rsidRPr="00A13B61">
              <w:rPr>
                <w:lang w:eastAsia="en-SG"/>
              </w:rPr>
              <w:t>95.5%</w:t>
            </w:r>
          </w:p>
        </w:tc>
        <w:tc>
          <w:tcPr>
            <w:tcW w:w="1938" w:type="dxa"/>
            <w:tcBorders>
              <w:top w:val="nil"/>
              <w:left w:val="nil"/>
              <w:bottom w:val="single" w:sz="4" w:space="0" w:color="auto"/>
              <w:right w:val="single" w:sz="4" w:space="0" w:color="auto"/>
            </w:tcBorders>
            <w:shd w:val="clear" w:color="auto" w:fill="auto"/>
            <w:noWrap/>
            <w:vAlign w:val="bottom"/>
            <w:hideMark/>
          </w:tcPr>
          <w:p w14:paraId="3CE46B72" w14:textId="77777777" w:rsidR="00D944E8" w:rsidRPr="00A13B61" w:rsidRDefault="00D944E8" w:rsidP="008F1432">
            <w:pPr>
              <w:spacing w:after="0"/>
              <w:rPr>
                <w:lang w:eastAsia="en-SG"/>
              </w:rPr>
            </w:pPr>
            <w:r w:rsidRPr="00A13B61">
              <w:rPr>
                <w:lang w:eastAsia="en-SG"/>
              </w:rPr>
              <w:t>96.1%</w:t>
            </w:r>
          </w:p>
        </w:tc>
      </w:tr>
      <w:tr w:rsidR="00D944E8" w:rsidRPr="00A13B61" w14:paraId="31D4147A" w14:textId="77777777" w:rsidTr="008F1432">
        <w:trPr>
          <w:trHeight w:val="244"/>
          <w:jc w:val="center"/>
        </w:trPr>
        <w:tc>
          <w:tcPr>
            <w:tcW w:w="6879" w:type="dxa"/>
            <w:gridSpan w:val="3"/>
            <w:tcBorders>
              <w:top w:val="nil"/>
              <w:left w:val="single" w:sz="4" w:space="0" w:color="auto"/>
              <w:bottom w:val="single" w:sz="4" w:space="0" w:color="auto"/>
              <w:right w:val="single" w:sz="4" w:space="0" w:color="auto"/>
            </w:tcBorders>
            <w:shd w:val="clear" w:color="auto" w:fill="auto"/>
            <w:noWrap/>
            <w:vAlign w:val="center"/>
          </w:tcPr>
          <w:p w14:paraId="2F42D437" w14:textId="77777777" w:rsidR="00D944E8" w:rsidRPr="00A13B61" w:rsidRDefault="00D944E8" w:rsidP="008F1432">
            <w:pPr>
              <w:spacing w:after="0"/>
              <w:rPr>
                <w:lang w:eastAsia="en-SG"/>
              </w:rPr>
            </w:pPr>
          </w:p>
        </w:tc>
      </w:tr>
      <w:tr w:rsidR="00D944E8" w:rsidRPr="008F1432" w14:paraId="32A1E579" w14:textId="77777777" w:rsidTr="008F1432">
        <w:trPr>
          <w:trHeight w:val="244"/>
          <w:jc w:val="center"/>
        </w:trPr>
        <w:tc>
          <w:tcPr>
            <w:tcW w:w="6879" w:type="dxa"/>
            <w:gridSpan w:val="3"/>
            <w:tcBorders>
              <w:top w:val="nil"/>
              <w:left w:val="single" w:sz="4" w:space="0" w:color="auto"/>
              <w:bottom w:val="single" w:sz="4" w:space="0" w:color="auto"/>
              <w:right w:val="single" w:sz="4" w:space="0" w:color="auto"/>
            </w:tcBorders>
            <w:shd w:val="clear" w:color="auto" w:fill="auto"/>
            <w:noWrap/>
            <w:vAlign w:val="center"/>
          </w:tcPr>
          <w:p w14:paraId="302265A3" w14:textId="77777777" w:rsidR="00D944E8" w:rsidRPr="008F1432" w:rsidRDefault="00D944E8" w:rsidP="008F1432">
            <w:pPr>
              <w:spacing w:after="0"/>
              <w:rPr>
                <w:b/>
                <w:bCs/>
                <w:lang w:eastAsia="en-SG"/>
              </w:rPr>
            </w:pPr>
            <w:r w:rsidRPr="008F1432">
              <w:rPr>
                <w:b/>
                <w:bCs/>
                <w:lang w:eastAsia="en-SG"/>
              </w:rPr>
              <w:t>By gender</w:t>
            </w:r>
          </w:p>
        </w:tc>
      </w:tr>
      <w:tr w:rsidR="00D944E8" w:rsidRPr="00A13B61" w14:paraId="0E4CD09F"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07ED22D6" w14:textId="77777777" w:rsidR="00D944E8" w:rsidRPr="00A13B61" w:rsidRDefault="00D944E8" w:rsidP="008F1432">
            <w:pPr>
              <w:spacing w:after="0"/>
              <w:rPr>
                <w:lang w:eastAsia="en-SG"/>
              </w:rPr>
            </w:pPr>
            <w:r w:rsidRPr="00A13B61">
              <w:rPr>
                <w:lang w:eastAsia="en-SG"/>
              </w:rPr>
              <w:t>Male</w:t>
            </w:r>
          </w:p>
        </w:tc>
        <w:tc>
          <w:tcPr>
            <w:tcW w:w="1938" w:type="dxa"/>
            <w:tcBorders>
              <w:top w:val="nil"/>
              <w:left w:val="nil"/>
              <w:bottom w:val="single" w:sz="4" w:space="0" w:color="auto"/>
              <w:right w:val="single" w:sz="4" w:space="0" w:color="auto"/>
            </w:tcBorders>
            <w:shd w:val="clear" w:color="auto" w:fill="auto"/>
            <w:noWrap/>
            <w:vAlign w:val="bottom"/>
            <w:hideMark/>
          </w:tcPr>
          <w:p w14:paraId="2F5E10FC" w14:textId="77777777" w:rsidR="00D944E8" w:rsidRPr="00A13B61" w:rsidRDefault="00D944E8" w:rsidP="008F1432">
            <w:pPr>
              <w:spacing w:after="0"/>
              <w:rPr>
                <w:lang w:eastAsia="en-SG"/>
              </w:rPr>
            </w:pPr>
            <w:r w:rsidRPr="00A13B61">
              <w:rPr>
                <w:lang w:eastAsia="en-SG"/>
              </w:rPr>
              <w:t>90.5%</w:t>
            </w:r>
          </w:p>
        </w:tc>
        <w:tc>
          <w:tcPr>
            <w:tcW w:w="1938" w:type="dxa"/>
            <w:tcBorders>
              <w:top w:val="nil"/>
              <w:left w:val="nil"/>
              <w:bottom w:val="single" w:sz="4" w:space="0" w:color="auto"/>
              <w:right w:val="single" w:sz="4" w:space="0" w:color="auto"/>
            </w:tcBorders>
            <w:shd w:val="clear" w:color="auto" w:fill="auto"/>
            <w:noWrap/>
            <w:vAlign w:val="bottom"/>
            <w:hideMark/>
          </w:tcPr>
          <w:p w14:paraId="46BE5196" w14:textId="77777777" w:rsidR="00D944E8" w:rsidRPr="00A13B61" w:rsidRDefault="00D944E8" w:rsidP="008F1432">
            <w:pPr>
              <w:spacing w:after="0"/>
              <w:rPr>
                <w:lang w:eastAsia="en-SG"/>
              </w:rPr>
            </w:pPr>
            <w:r w:rsidRPr="00A13B61">
              <w:rPr>
                <w:lang w:eastAsia="en-SG"/>
              </w:rPr>
              <w:t>90.7%</w:t>
            </w:r>
          </w:p>
        </w:tc>
      </w:tr>
      <w:tr w:rsidR="00D944E8" w:rsidRPr="00A13B61" w14:paraId="4412F75F"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33EC112B" w14:textId="77777777" w:rsidR="00D944E8" w:rsidRPr="00A13B61" w:rsidRDefault="00D944E8" w:rsidP="008F1432">
            <w:pPr>
              <w:spacing w:after="0"/>
              <w:rPr>
                <w:lang w:eastAsia="en-SG"/>
              </w:rPr>
            </w:pPr>
            <w:r w:rsidRPr="00A13B61">
              <w:rPr>
                <w:lang w:eastAsia="en-SG"/>
              </w:rPr>
              <w:t>Female</w:t>
            </w:r>
          </w:p>
        </w:tc>
        <w:tc>
          <w:tcPr>
            <w:tcW w:w="1938" w:type="dxa"/>
            <w:tcBorders>
              <w:top w:val="nil"/>
              <w:left w:val="nil"/>
              <w:bottom w:val="single" w:sz="4" w:space="0" w:color="auto"/>
              <w:right w:val="single" w:sz="4" w:space="0" w:color="auto"/>
            </w:tcBorders>
            <w:shd w:val="clear" w:color="auto" w:fill="auto"/>
            <w:noWrap/>
            <w:vAlign w:val="bottom"/>
            <w:hideMark/>
          </w:tcPr>
          <w:p w14:paraId="025B7B50" w14:textId="77777777" w:rsidR="00D944E8" w:rsidRPr="00A13B61" w:rsidRDefault="00D944E8" w:rsidP="008F1432">
            <w:pPr>
              <w:spacing w:after="0"/>
              <w:rPr>
                <w:lang w:eastAsia="en-SG"/>
              </w:rPr>
            </w:pPr>
            <w:r w:rsidRPr="00A13B61">
              <w:rPr>
                <w:lang w:eastAsia="en-SG"/>
              </w:rPr>
              <w:t>90.4%</w:t>
            </w:r>
          </w:p>
        </w:tc>
        <w:tc>
          <w:tcPr>
            <w:tcW w:w="1938" w:type="dxa"/>
            <w:tcBorders>
              <w:top w:val="nil"/>
              <w:left w:val="nil"/>
              <w:bottom w:val="single" w:sz="4" w:space="0" w:color="auto"/>
              <w:right w:val="single" w:sz="4" w:space="0" w:color="auto"/>
            </w:tcBorders>
            <w:shd w:val="clear" w:color="auto" w:fill="auto"/>
            <w:noWrap/>
            <w:vAlign w:val="bottom"/>
            <w:hideMark/>
          </w:tcPr>
          <w:p w14:paraId="0A9653A1" w14:textId="77777777" w:rsidR="00D944E8" w:rsidRPr="00A13B61" w:rsidRDefault="00D944E8" w:rsidP="008F1432">
            <w:pPr>
              <w:spacing w:after="0"/>
              <w:rPr>
                <w:lang w:eastAsia="en-SG"/>
              </w:rPr>
            </w:pPr>
            <w:r w:rsidRPr="00A13B61">
              <w:rPr>
                <w:lang w:eastAsia="en-SG"/>
              </w:rPr>
              <w:t>90.5%</w:t>
            </w:r>
          </w:p>
        </w:tc>
      </w:tr>
      <w:tr w:rsidR="00D944E8" w:rsidRPr="00A13B61" w14:paraId="338B3557" w14:textId="77777777" w:rsidTr="008F1432">
        <w:trPr>
          <w:trHeight w:val="244"/>
          <w:jc w:val="center"/>
        </w:trPr>
        <w:tc>
          <w:tcPr>
            <w:tcW w:w="6879" w:type="dxa"/>
            <w:gridSpan w:val="3"/>
            <w:tcBorders>
              <w:top w:val="nil"/>
              <w:left w:val="single" w:sz="4" w:space="0" w:color="auto"/>
              <w:bottom w:val="single" w:sz="4" w:space="0" w:color="auto"/>
              <w:right w:val="single" w:sz="4" w:space="0" w:color="auto"/>
            </w:tcBorders>
            <w:shd w:val="clear" w:color="auto" w:fill="auto"/>
            <w:noWrap/>
            <w:vAlign w:val="center"/>
          </w:tcPr>
          <w:p w14:paraId="26A8C49B" w14:textId="77777777" w:rsidR="00D944E8" w:rsidRPr="00A13B61" w:rsidRDefault="00D944E8" w:rsidP="008F1432">
            <w:pPr>
              <w:spacing w:after="0"/>
              <w:rPr>
                <w:lang w:eastAsia="en-SG"/>
              </w:rPr>
            </w:pPr>
          </w:p>
        </w:tc>
      </w:tr>
      <w:tr w:rsidR="00D944E8" w:rsidRPr="008F1432" w14:paraId="15C46E28" w14:textId="77777777" w:rsidTr="008F1432">
        <w:trPr>
          <w:trHeight w:val="244"/>
          <w:jc w:val="center"/>
        </w:trPr>
        <w:tc>
          <w:tcPr>
            <w:tcW w:w="6879" w:type="dxa"/>
            <w:gridSpan w:val="3"/>
            <w:tcBorders>
              <w:top w:val="nil"/>
              <w:left w:val="single" w:sz="4" w:space="0" w:color="auto"/>
              <w:bottom w:val="single" w:sz="4" w:space="0" w:color="auto"/>
              <w:right w:val="single" w:sz="4" w:space="0" w:color="auto"/>
            </w:tcBorders>
            <w:shd w:val="clear" w:color="auto" w:fill="auto"/>
            <w:noWrap/>
            <w:vAlign w:val="center"/>
          </w:tcPr>
          <w:p w14:paraId="7E8A2BEF" w14:textId="77777777" w:rsidR="00D944E8" w:rsidRPr="008F1432" w:rsidRDefault="00D944E8" w:rsidP="008F1432">
            <w:pPr>
              <w:spacing w:after="0"/>
              <w:rPr>
                <w:b/>
                <w:bCs/>
                <w:lang w:eastAsia="en-SG"/>
              </w:rPr>
            </w:pPr>
            <w:r w:rsidRPr="008F1432">
              <w:rPr>
                <w:b/>
                <w:bCs/>
                <w:lang w:eastAsia="en-SG"/>
              </w:rPr>
              <w:t>By region</w:t>
            </w:r>
          </w:p>
        </w:tc>
      </w:tr>
      <w:tr w:rsidR="00D944E8" w:rsidRPr="00A13B61" w14:paraId="7C0A2D97"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2BC2B199" w14:textId="77777777" w:rsidR="00D944E8" w:rsidRPr="00A13B61" w:rsidRDefault="00D944E8" w:rsidP="008F1432">
            <w:pPr>
              <w:spacing w:after="0"/>
              <w:rPr>
                <w:lang w:eastAsia="en-SG"/>
              </w:rPr>
            </w:pPr>
            <w:r w:rsidRPr="00A13B61">
              <w:rPr>
                <w:lang w:eastAsia="en-SG"/>
              </w:rPr>
              <w:t>Urban</w:t>
            </w:r>
          </w:p>
        </w:tc>
        <w:tc>
          <w:tcPr>
            <w:tcW w:w="1938" w:type="dxa"/>
            <w:tcBorders>
              <w:top w:val="nil"/>
              <w:left w:val="nil"/>
              <w:bottom w:val="single" w:sz="4" w:space="0" w:color="auto"/>
              <w:right w:val="single" w:sz="4" w:space="0" w:color="auto"/>
            </w:tcBorders>
            <w:shd w:val="clear" w:color="auto" w:fill="auto"/>
            <w:noWrap/>
            <w:vAlign w:val="bottom"/>
            <w:hideMark/>
          </w:tcPr>
          <w:p w14:paraId="672415D8" w14:textId="77777777" w:rsidR="00D944E8" w:rsidRPr="00A13B61" w:rsidRDefault="00D944E8" w:rsidP="008F1432">
            <w:pPr>
              <w:spacing w:after="0"/>
              <w:rPr>
                <w:lang w:eastAsia="en-SG"/>
              </w:rPr>
            </w:pPr>
            <w:r w:rsidRPr="00A13B61">
              <w:rPr>
                <w:lang w:eastAsia="en-SG"/>
              </w:rPr>
              <w:t>94.0%</w:t>
            </w:r>
          </w:p>
        </w:tc>
        <w:tc>
          <w:tcPr>
            <w:tcW w:w="1938" w:type="dxa"/>
            <w:tcBorders>
              <w:top w:val="nil"/>
              <w:left w:val="nil"/>
              <w:bottom w:val="single" w:sz="4" w:space="0" w:color="auto"/>
              <w:right w:val="single" w:sz="4" w:space="0" w:color="auto"/>
            </w:tcBorders>
            <w:shd w:val="clear" w:color="auto" w:fill="auto"/>
            <w:noWrap/>
            <w:vAlign w:val="bottom"/>
            <w:hideMark/>
          </w:tcPr>
          <w:p w14:paraId="6E66E272" w14:textId="77777777" w:rsidR="00D944E8" w:rsidRPr="00A13B61" w:rsidRDefault="00D944E8" w:rsidP="008F1432">
            <w:pPr>
              <w:spacing w:after="0"/>
              <w:rPr>
                <w:lang w:eastAsia="en-SG"/>
              </w:rPr>
            </w:pPr>
            <w:r w:rsidRPr="00A13B61">
              <w:rPr>
                <w:lang w:eastAsia="en-SG"/>
              </w:rPr>
              <w:t>92.9%</w:t>
            </w:r>
          </w:p>
        </w:tc>
      </w:tr>
      <w:tr w:rsidR="00D944E8" w:rsidRPr="00A13B61" w14:paraId="4BDD739E" w14:textId="77777777" w:rsidTr="008F1432">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2D83F590" w14:textId="77777777" w:rsidR="00D944E8" w:rsidRPr="00A13B61" w:rsidRDefault="00D944E8" w:rsidP="008F1432">
            <w:pPr>
              <w:spacing w:after="0"/>
              <w:rPr>
                <w:lang w:eastAsia="en-SG"/>
              </w:rPr>
            </w:pPr>
            <w:r w:rsidRPr="00A13B61">
              <w:rPr>
                <w:lang w:eastAsia="en-SG"/>
              </w:rPr>
              <w:t>Rural</w:t>
            </w:r>
          </w:p>
        </w:tc>
        <w:tc>
          <w:tcPr>
            <w:tcW w:w="1938" w:type="dxa"/>
            <w:tcBorders>
              <w:top w:val="nil"/>
              <w:left w:val="nil"/>
              <w:bottom w:val="single" w:sz="4" w:space="0" w:color="auto"/>
              <w:right w:val="single" w:sz="4" w:space="0" w:color="auto"/>
            </w:tcBorders>
            <w:shd w:val="clear" w:color="auto" w:fill="auto"/>
            <w:noWrap/>
            <w:vAlign w:val="bottom"/>
            <w:hideMark/>
          </w:tcPr>
          <w:p w14:paraId="3A706AF5" w14:textId="77777777" w:rsidR="00D944E8" w:rsidRPr="00A13B61" w:rsidRDefault="00D944E8" w:rsidP="008F1432">
            <w:pPr>
              <w:spacing w:after="0"/>
              <w:rPr>
                <w:lang w:eastAsia="en-SG"/>
              </w:rPr>
            </w:pPr>
            <w:r w:rsidRPr="00A13B61">
              <w:rPr>
                <w:lang w:eastAsia="en-SG"/>
              </w:rPr>
              <w:t>88.7%</w:t>
            </w:r>
          </w:p>
        </w:tc>
        <w:tc>
          <w:tcPr>
            <w:tcW w:w="1938" w:type="dxa"/>
            <w:tcBorders>
              <w:top w:val="nil"/>
              <w:left w:val="nil"/>
              <w:bottom w:val="single" w:sz="4" w:space="0" w:color="auto"/>
              <w:right w:val="single" w:sz="4" w:space="0" w:color="auto"/>
            </w:tcBorders>
            <w:shd w:val="clear" w:color="auto" w:fill="auto"/>
            <w:noWrap/>
            <w:vAlign w:val="bottom"/>
            <w:hideMark/>
          </w:tcPr>
          <w:p w14:paraId="05C40416" w14:textId="77777777" w:rsidR="00D944E8" w:rsidRPr="00A13B61" w:rsidRDefault="00D944E8" w:rsidP="008F1432">
            <w:pPr>
              <w:spacing w:after="0"/>
              <w:rPr>
                <w:lang w:eastAsia="en-SG"/>
              </w:rPr>
            </w:pPr>
            <w:r w:rsidRPr="00A13B61">
              <w:rPr>
                <w:lang w:eastAsia="en-SG"/>
              </w:rPr>
              <w:t>89.1%</w:t>
            </w:r>
          </w:p>
        </w:tc>
      </w:tr>
    </w:tbl>
    <w:p w14:paraId="16C0D4B9" w14:textId="72C80ACF" w:rsidR="008212AE" w:rsidRPr="00A13B61" w:rsidRDefault="008212AE" w:rsidP="00F511BC"/>
    <w:p w14:paraId="5E23CBE5" w14:textId="71249C39" w:rsidR="00D944E8" w:rsidRPr="00A13B61" w:rsidRDefault="00D944E8" w:rsidP="003F3F98">
      <w:pPr>
        <w:pStyle w:val="Caption"/>
      </w:pPr>
      <w:r w:rsidRPr="00A13B61">
        <w:t xml:space="preserve">Table </w:t>
      </w:r>
      <w:r>
        <w:t>4</w:t>
      </w:r>
      <w:r w:rsidRPr="00A13B61">
        <w:t xml:space="preserve"> Comparison of results on </w:t>
      </w:r>
      <w:r>
        <w:t xml:space="preserve">card </w:t>
      </w:r>
      <w:r w:rsidRPr="00A13B61">
        <w:t xml:space="preserve">error rates between </w:t>
      </w:r>
      <w:proofErr w:type="spellStart"/>
      <w:r w:rsidRPr="00A13B61">
        <w:t>SoA</w:t>
      </w:r>
      <w:proofErr w:type="spellEnd"/>
      <w:r w:rsidRPr="00A13B61">
        <w:t xml:space="preserve"> pulse and in-depth surveys</w:t>
      </w:r>
    </w:p>
    <w:tbl>
      <w:tblPr>
        <w:tblW w:w="6874" w:type="dxa"/>
        <w:jc w:val="center"/>
        <w:tblLook w:val="04A0" w:firstRow="1" w:lastRow="0" w:firstColumn="1" w:lastColumn="0" w:noHBand="0" w:noVBand="1"/>
      </w:tblPr>
      <w:tblGrid>
        <w:gridCol w:w="3001"/>
        <w:gridCol w:w="1937"/>
        <w:gridCol w:w="1936"/>
      </w:tblGrid>
      <w:tr w:rsidR="00D944E8" w:rsidRPr="00D944E8" w14:paraId="5BE9E7BA" w14:textId="77777777" w:rsidTr="003F3F98">
        <w:trPr>
          <w:trHeight w:val="340"/>
          <w:jc w:val="center"/>
        </w:trPr>
        <w:tc>
          <w:tcPr>
            <w:tcW w:w="3001" w:type="dxa"/>
            <w:tcBorders>
              <w:top w:val="single" w:sz="4" w:space="0" w:color="auto"/>
              <w:left w:val="single" w:sz="4" w:space="0" w:color="auto"/>
              <w:bottom w:val="single" w:sz="4" w:space="0" w:color="auto"/>
              <w:right w:val="single" w:sz="4" w:space="0" w:color="auto"/>
            </w:tcBorders>
            <w:shd w:val="clear" w:color="000000" w:fill="77B8E4"/>
            <w:noWrap/>
            <w:vAlign w:val="center"/>
            <w:hideMark/>
          </w:tcPr>
          <w:p w14:paraId="1E51F98B" w14:textId="5EEB8D89" w:rsidR="00D944E8" w:rsidRPr="00D944E8" w:rsidRDefault="001232D6" w:rsidP="003F3F98">
            <w:pPr>
              <w:keepNext/>
              <w:spacing w:after="0"/>
              <w:rPr>
                <w:b/>
                <w:bCs/>
                <w:lang w:eastAsia="en-SG"/>
              </w:rPr>
            </w:pPr>
            <w:r>
              <w:rPr>
                <w:b/>
                <w:bCs/>
                <w:lang w:eastAsia="en-SG"/>
              </w:rPr>
              <w:t>Error type</w:t>
            </w:r>
          </w:p>
        </w:tc>
        <w:tc>
          <w:tcPr>
            <w:tcW w:w="1937" w:type="dxa"/>
            <w:tcBorders>
              <w:top w:val="single" w:sz="4" w:space="0" w:color="auto"/>
              <w:left w:val="nil"/>
              <w:bottom w:val="single" w:sz="4" w:space="0" w:color="auto"/>
              <w:right w:val="single" w:sz="4" w:space="0" w:color="auto"/>
            </w:tcBorders>
            <w:shd w:val="clear" w:color="000000" w:fill="77B8E4"/>
            <w:noWrap/>
            <w:vAlign w:val="center"/>
            <w:hideMark/>
          </w:tcPr>
          <w:p w14:paraId="49DF0BCF" w14:textId="77777777" w:rsidR="00D944E8" w:rsidRPr="00D944E8" w:rsidRDefault="00D944E8" w:rsidP="003F3F98">
            <w:pPr>
              <w:keepNext/>
              <w:spacing w:after="0"/>
              <w:rPr>
                <w:b/>
                <w:bCs/>
                <w:lang w:eastAsia="en-SG"/>
              </w:rPr>
            </w:pPr>
            <w:proofErr w:type="spellStart"/>
            <w:r w:rsidRPr="00D944E8">
              <w:rPr>
                <w:b/>
                <w:bCs/>
                <w:lang w:eastAsia="en-SG"/>
              </w:rPr>
              <w:t>SoA</w:t>
            </w:r>
            <w:proofErr w:type="spellEnd"/>
            <w:r w:rsidRPr="00D944E8">
              <w:rPr>
                <w:b/>
                <w:bCs/>
                <w:lang w:eastAsia="en-SG"/>
              </w:rPr>
              <w:t xml:space="preserve"> Pulse</w:t>
            </w:r>
          </w:p>
        </w:tc>
        <w:tc>
          <w:tcPr>
            <w:tcW w:w="1936" w:type="dxa"/>
            <w:tcBorders>
              <w:top w:val="single" w:sz="4" w:space="0" w:color="auto"/>
              <w:left w:val="nil"/>
              <w:bottom w:val="single" w:sz="4" w:space="0" w:color="auto"/>
              <w:right w:val="single" w:sz="4" w:space="0" w:color="auto"/>
            </w:tcBorders>
            <w:shd w:val="clear" w:color="000000" w:fill="77B8E4"/>
            <w:noWrap/>
            <w:vAlign w:val="center"/>
            <w:hideMark/>
          </w:tcPr>
          <w:p w14:paraId="0CD4D487" w14:textId="77777777" w:rsidR="00D944E8" w:rsidRPr="00D944E8" w:rsidRDefault="00D944E8" w:rsidP="003F3F98">
            <w:pPr>
              <w:keepNext/>
              <w:spacing w:after="0"/>
              <w:rPr>
                <w:b/>
                <w:bCs/>
                <w:lang w:eastAsia="en-SG"/>
              </w:rPr>
            </w:pPr>
            <w:proofErr w:type="spellStart"/>
            <w:r w:rsidRPr="00D944E8">
              <w:rPr>
                <w:b/>
                <w:bCs/>
                <w:lang w:eastAsia="en-SG"/>
              </w:rPr>
              <w:t>SoA</w:t>
            </w:r>
            <w:proofErr w:type="spellEnd"/>
            <w:r w:rsidRPr="00D944E8">
              <w:rPr>
                <w:b/>
                <w:bCs/>
                <w:lang w:eastAsia="en-SG"/>
              </w:rPr>
              <w:t xml:space="preserve"> In-depth</w:t>
            </w:r>
          </w:p>
        </w:tc>
      </w:tr>
      <w:tr w:rsidR="00D944E8" w:rsidRPr="00A13B61" w14:paraId="1B8DAB26" w14:textId="77777777" w:rsidTr="00D944E8">
        <w:trPr>
          <w:trHeight w:val="251"/>
          <w:jc w:val="center"/>
        </w:trPr>
        <w:tc>
          <w:tcPr>
            <w:tcW w:w="3001" w:type="dxa"/>
            <w:tcBorders>
              <w:top w:val="nil"/>
              <w:left w:val="single" w:sz="4" w:space="0" w:color="auto"/>
              <w:bottom w:val="single" w:sz="4" w:space="0" w:color="auto"/>
              <w:right w:val="single" w:sz="4" w:space="0" w:color="auto"/>
            </w:tcBorders>
            <w:shd w:val="clear" w:color="auto" w:fill="auto"/>
            <w:noWrap/>
            <w:vAlign w:val="center"/>
            <w:hideMark/>
          </w:tcPr>
          <w:p w14:paraId="376BBC9D" w14:textId="77777777" w:rsidR="00D944E8" w:rsidRPr="00A13B61" w:rsidRDefault="00D944E8" w:rsidP="00D944E8">
            <w:pPr>
              <w:keepNext/>
              <w:spacing w:after="0"/>
              <w:rPr>
                <w:lang w:eastAsia="en-SG"/>
              </w:rPr>
            </w:pPr>
            <w:r w:rsidRPr="00A13B61">
              <w:rPr>
                <w:lang w:eastAsia="en-SG"/>
              </w:rPr>
              <w:t>Aadhaar card</w:t>
            </w:r>
          </w:p>
        </w:tc>
        <w:tc>
          <w:tcPr>
            <w:tcW w:w="1937" w:type="dxa"/>
            <w:tcBorders>
              <w:top w:val="nil"/>
              <w:left w:val="nil"/>
              <w:bottom w:val="single" w:sz="4" w:space="0" w:color="auto"/>
              <w:right w:val="single" w:sz="4" w:space="0" w:color="auto"/>
            </w:tcBorders>
            <w:shd w:val="clear" w:color="auto" w:fill="auto"/>
            <w:noWrap/>
            <w:vAlign w:val="center"/>
            <w:hideMark/>
          </w:tcPr>
          <w:p w14:paraId="3B2F980B" w14:textId="77777777" w:rsidR="00D944E8" w:rsidRPr="00A13B61" w:rsidRDefault="00D944E8" w:rsidP="00D944E8">
            <w:pPr>
              <w:keepNext/>
              <w:spacing w:after="0"/>
              <w:rPr>
                <w:lang w:eastAsia="en-SG"/>
              </w:rPr>
            </w:pPr>
            <w:r w:rsidRPr="00A13B61">
              <w:rPr>
                <w:lang w:eastAsia="en-SG"/>
              </w:rPr>
              <w:t>4.04%</w:t>
            </w:r>
          </w:p>
        </w:tc>
        <w:tc>
          <w:tcPr>
            <w:tcW w:w="1936" w:type="dxa"/>
            <w:tcBorders>
              <w:top w:val="nil"/>
              <w:left w:val="nil"/>
              <w:bottom w:val="single" w:sz="4" w:space="0" w:color="auto"/>
              <w:right w:val="single" w:sz="4" w:space="0" w:color="auto"/>
            </w:tcBorders>
            <w:shd w:val="clear" w:color="auto" w:fill="auto"/>
            <w:noWrap/>
            <w:vAlign w:val="center"/>
            <w:hideMark/>
          </w:tcPr>
          <w:p w14:paraId="2BE8C300" w14:textId="77777777" w:rsidR="00D944E8" w:rsidRPr="00A13B61" w:rsidRDefault="00D944E8" w:rsidP="00D944E8">
            <w:pPr>
              <w:keepNext/>
              <w:spacing w:after="0"/>
              <w:rPr>
                <w:lang w:eastAsia="en-SG"/>
              </w:rPr>
            </w:pPr>
            <w:r w:rsidRPr="00A13B61">
              <w:rPr>
                <w:lang w:eastAsia="en-SG"/>
              </w:rPr>
              <w:t>10.40%</w:t>
            </w:r>
          </w:p>
        </w:tc>
      </w:tr>
      <w:tr w:rsidR="00D944E8" w:rsidRPr="00A13B61" w14:paraId="57C83F2E" w14:textId="77777777" w:rsidTr="00D944E8">
        <w:trPr>
          <w:trHeight w:val="251"/>
          <w:jc w:val="center"/>
        </w:trPr>
        <w:tc>
          <w:tcPr>
            <w:tcW w:w="3001" w:type="dxa"/>
            <w:tcBorders>
              <w:top w:val="nil"/>
              <w:left w:val="single" w:sz="4" w:space="0" w:color="auto"/>
              <w:bottom w:val="single" w:sz="4" w:space="0" w:color="auto"/>
              <w:right w:val="single" w:sz="4" w:space="0" w:color="auto"/>
            </w:tcBorders>
            <w:shd w:val="clear" w:color="auto" w:fill="auto"/>
            <w:noWrap/>
            <w:vAlign w:val="center"/>
            <w:hideMark/>
          </w:tcPr>
          <w:p w14:paraId="24EB839C" w14:textId="77777777" w:rsidR="00D944E8" w:rsidRPr="00A13B61" w:rsidRDefault="00D944E8" w:rsidP="00D944E8">
            <w:pPr>
              <w:keepNext/>
              <w:spacing w:after="0"/>
              <w:rPr>
                <w:lang w:eastAsia="en-SG"/>
              </w:rPr>
            </w:pPr>
            <w:r w:rsidRPr="00A13B61">
              <w:rPr>
                <w:lang w:eastAsia="en-SG"/>
              </w:rPr>
              <w:t>Name</w:t>
            </w:r>
          </w:p>
        </w:tc>
        <w:tc>
          <w:tcPr>
            <w:tcW w:w="1937" w:type="dxa"/>
            <w:tcBorders>
              <w:top w:val="nil"/>
              <w:left w:val="nil"/>
              <w:bottom w:val="single" w:sz="4" w:space="0" w:color="auto"/>
              <w:right w:val="single" w:sz="4" w:space="0" w:color="auto"/>
            </w:tcBorders>
            <w:shd w:val="clear" w:color="auto" w:fill="auto"/>
            <w:noWrap/>
            <w:vAlign w:val="center"/>
            <w:hideMark/>
          </w:tcPr>
          <w:p w14:paraId="7A24B0FD" w14:textId="77777777" w:rsidR="00D944E8" w:rsidRPr="00A13B61" w:rsidRDefault="00D944E8" w:rsidP="00D944E8">
            <w:pPr>
              <w:keepNext/>
              <w:spacing w:after="0"/>
              <w:rPr>
                <w:lang w:eastAsia="en-SG"/>
              </w:rPr>
            </w:pPr>
            <w:r w:rsidRPr="00A13B61">
              <w:rPr>
                <w:lang w:eastAsia="en-SG"/>
              </w:rPr>
              <w:t>0.50%</w:t>
            </w:r>
          </w:p>
        </w:tc>
        <w:tc>
          <w:tcPr>
            <w:tcW w:w="1936" w:type="dxa"/>
            <w:tcBorders>
              <w:top w:val="nil"/>
              <w:left w:val="nil"/>
              <w:bottom w:val="single" w:sz="4" w:space="0" w:color="auto"/>
              <w:right w:val="single" w:sz="4" w:space="0" w:color="auto"/>
            </w:tcBorders>
            <w:shd w:val="clear" w:color="auto" w:fill="auto"/>
            <w:noWrap/>
            <w:vAlign w:val="center"/>
            <w:hideMark/>
          </w:tcPr>
          <w:p w14:paraId="6CA6D863" w14:textId="77777777" w:rsidR="00D944E8" w:rsidRPr="00A13B61" w:rsidRDefault="00D944E8" w:rsidP="00D944E8">
            <w:pPr>
              <w:keepNext/>
              <w:spacing w:after="0"/>
              <w:rPr>
                <w:lang w:eastAsia="en-SG"/>
              </w:rPr>
            </w:pPr>
            <w:r w:rsidRPr="00A13B61">
              <w:rPr>
                <w:lang w:eastAsia="en-SG"/>
              </w:rPr>
              <w:t>3.61%</w:t>
            </w:r>
          </w:p>
        </w:tc>
      </w:tr>
      <w:tr w:rsidR="00D944E8" w:rsidRPr="00A13B61" w14:paraId="1AD37B36" w14:textId="77777777" w:rsidTr="00D944E8">
        <w:trPr>
          <w:trHeight w:val="251"/>
          <w:jc w:val="center"/>
        </w:trPr>
        <w:tc>
          <w:tcPr>
            <w:tcW w:w="3001" w:type="dxa"/>
            <w:tcBorders>
              <w:top w:val="nil"/>
              <w:left w:val="single" w:sz="4" w:space="0" w:color="auto"/>
              <w:bottom w:val="single" w:sz="4" w:space="0" w:color="auto"/>
              <w:right w:val="single" w:sz="4" w:space="0" w:color="auto"/>
            </w:tcBorders>
            <w:shd w:val="clear" w:color="auto" w:fill="auto"/>
            <w:noWrap/>
            <w:vAlign w:val="center"/>
            <w:hideMark/>
          </w:tcPr>
          <w:p w14:paraId="382CB33C" w14:textId="77777777" w:rsidR="00D944E8" w:rsidRPr="00A13B61" w:rsidRDefault="00D944E8" w:rsidP="00D944E8">
            <w:pPr>
              <w:keepNext/>
              <w:spacing w:after="0"/>
              <w:rPr>
                <w:lang w:eastAsia="en-SG"/>
              </w:rPr>
            </w:pPr>
            <w:r w:rsidRPr="00A13B61">
              <w:rPr>
                <w:lang w:eastAsia="en-SG"/>
              </w:rPr>
              <w:t>Date of Birth</w:t>
            </w:r>
          </w:p>
        </w:tc>
        <w:tc>
          <w:tcPr>
            <w:tcW w:w="1937" w:type="dxa"/>
            <w:tcBorders>
              <w:top w:val="nil"/>
              <w:left w:val="nil"/>
              <w:bottom w:val="single" w:sz="4" w:space="0" w:color="auto"/>
              <w:right w:val="single" w:sz="4" w:space="0" w:color="auto"/>
            </w:tcBorders>
            <w:shd w:val="clear" w:color="auto" w:fill="auto"/>
            <w:noWrap/>
            <w:vAlign w:val="center"/>
            <w:hideMark/>
          </w:tcPr>
          <w:p w14:paraId="25E4D160" w14:textId="77777777" w:rsidR="00D944E8" w:rsidRPr="00A13B61" w:rsidRDefault="00D944E8" w:rsidP="00D944E8">
            <w:pPr>
              <w:keepNext/>
              <w:spacing w:after="0"/>
              <w:rPr>
                <w:lang w:eastAsia="en-SG"/>
              </w:rPr>
            </w:pPr>
            <w:r w:rsidRPr="00A13B61">
              <w:rPr>
                <w:lang w:eastAsia="en-SG"/>
              </w:rPr>
              <w:t>2.56%</w:t>
            </w:r>
          </w:p>
        </w:tc>
        <w:tc>
          <w:tcPr>
            <w:tcW w:w="1936" w:type="dxa"/>
            <w:tcBorders>
              <w:top w:val="nil"/>
              <w:left w:val="nil"/>
              <w:bottom w:val="single" w:sz="4" w:space="0" w:color="auto"/>
              <w:right w:val="single" w:sz="4" w:space="0" w:color="auto"/>
            </w:tcBorders>
            <w:shd w:val="clear" w:color="auto" w:fill="auto"/>
            <w:noWrap/>
            <w:vAlign w:val="center"/>
            <w:hideMark/>
          </w:tcPr>
          <w:p w14:paraId="56411BC7" w14:textId="77777777" w:rsidR="00D944E8" w:rsidRPr="00A13B61" w:rsidRDefault="00D944E8" w:rsidP="00D944E8">
            <w:pPr>
              <w:keepNext/>
              <w:spacing w:after="0"/>
              <w:rPr>
                <w:lang w:eastAsia="en-SG"/>
              </w:rPr>
            </w:pPr>
            <w:r w:rsidRPr="00A13B61">
              <w:rPr>
                <w:lang w:eastAsia="en-SG"/>
              </w:rPr>
              <w:t>4.39%</w:t>
            </w:r>
          </w:p>
        </w:tc>
      </w:tr>
      <w:tr w:rsidR="00D944E8" w:rsidRPr="00A13B61" w14:paraId="49675AE6" w14:textId="77777777" w:rsidTr="00D944E8">
        <w:trPr>
          <w:trHeight w:val="251"/>
          <w:jc w:val="center"/>
        </w:trPr>
        <w:tc>
          <w:tcPr>
            <w:tcW w:w="3001" w:type="dxa"/>
            <w:tcBorders>
              <w:top w:val="nil"/>
              <w:left w:val="single" w:sz="4" w:space="0" w:color="auto"/>
              <w:bottom w:val="single" w:sz="4" w:space="0" w:color="auto"/>
              <w:right w:val="single" w:sz="4" w:space="0" w:color="auto"/>
            </w:tcBorders>
            <w:shd w:val="clear" w:color="auto" w:fill="auto"/>
            <w:noWrap/>
            <w:vAlign w:val="center"/>
            <w:hideMark/>
          </w:tcPr>
          <w:p w14:paraId="3E2A78E5" w14:textId="77777777" w:rsidR="00D944E8" w:rsidRPr="00A13B61" w:rsidRDefault="00D944E8" w:rsidP="00D944E8">
            <w:pPr>
              <w:keepNext/>
              <w:spacing w:after="0"/>
              <w:rPr>
                <w:lang w:eastAsia="en-SG"/>
              </w:rPr>
            </w:pPr>
            <w:r w:rsidRPr="00A13B61">
              <w:rPr>
                <w:lang w:eastAsia="en-SG"/>
              </w:rPr>
              <w:t>Gender</w:t>
            </w:r>
          </w:p>
        </w:tc>
        <w:tc>
          <w:tcPr>
            <w:tcW w:w="1937" w:type="dxa"/>
            <w:tcBorders>
              <w:top w:val="nil"/>
              <w:left w:val="nil"/>
              <w:bottom w:val="single" w:sz="4" w:space="0" w:color="auto"/>
              <w:right w:val="single" w:sz="4" w:space="0" w:color="auto"/>
            </w:tcBorders>
            <w:shd w:val="clear" w:color="auto" w:fill="auto"/>
            <w:noWrap/>
            <w:vAlign w:val="center"/>
            <w:hideMark/>
          </w:tcPr>
          <w:p w14:paraId="7E6CBE75" w14:textId="77777777" w:rsidR="00D944E8" w:rsidRPr="00A13B61" w:rsidRDefault="00D944E8" w:rsidP="00D944E8">
            <w:pPr>
              <w:keepNext/>
              <w:spacing w:after="0"/>
              <w:rPr>
                <w:lang w:eastAsia="en-SG"/>
              </w:rPr>
            </w:pPr>
            <w:r w:rsidRPr="00A13B61">
              <w:rPr>
                <w:lang w:eastAsia="en-SG"/>
              </w:rPr>
              <w:t>0.35%</w:t>
            </w:r>
          </w:p>
        </w:tc>
        <w:tc>
          <w:tcPr>
            <w:tcW w:w="1936" w:type="dxa"/>
            <w:tcBorders>
              <w:top w:val="nil"/>
              <w:left w:val="nil"/>
              <w:bottom w:val="single" w:sz="4" w:space="0" w:color="auto"/>
              <w:right w:val="single" w:sz="4" w:space="0" w:color="auto"/>
            </w:tcBorders>
            <w:shd w:val="clear" w:color="auto" w:fill="auto"/>
            <w:noWrap/>
            <w:vAlign w:val="center"/>
            <w:hideMark/>
          </w:tcPr>
          <w:p w14:paraId="2CD38378" w14:textId="77777777" w:rsidR="00D944E8" w:rsidRPr="00A13B61" w:rsidRDefault="00D944E8" w:rsidP="00D944E8">
            <w:pPr>
              <w:keepNext/>
              <w:spacing w:after="0"/>
              <w:rPr>
                <w:lang w:eastAsia="en-SG"/>
              </w:rPr>
            </w:pPr>
            <w:r w:rsidRPr="00A13B61">
              <w:rPr>
                <w:lang w:eastAsia="en-SG"/>
              </w:rPr>
              <w:t>0.89%</w:t>
            </w:r>
          </w:p>
        </w:tc>
      </w:tr>
      <w:tr w:rsidR="00D944E8" w:rsidRPr="00A13B61" w14:paraId="48BFA1F9" w14:textId="77777777" w:rsidTr="00D944E8">
        <w:trPr>
          <w:trHeight w:val="251"/>
          <w:jc w:val="center"/>
        </w:trPr>
        <w:tc>
          <w:tcPr>
            <w:tcW w:w="3001" w:type="dxa"/>
            <w:tcBorders>
              <w:top w:val="nil"/>
              <w:left w:val="single" w:sz="4" w:space="0" w:color="auto"/>
              <w:bottom w:val="single" w:sz="4" w:space="0" w:color="auto"/>
              <w:right w:val="single" w:sz="4" w:space="0" w:color="auto"/>
            </w:tcBorders>
            <w:shd w:val="clear" w:color="auto" w:fill="auto"/>
            <w:noWrap/>
            <w:vAlign w:val="center"/>
            <w:hideMark/>
          </w:tcPr>
          <w:p w14:paraId="1D170E43" w14:textId="77777777" w:rsidR="00D944E8" w:rsidRPr="00A13B61" w:rsidRDefault="00D944E8" w:rsidP="00D944E8">
            <w:pPr>
              <w:keepNext/>
              <w:spacing w:after="0"/>
              <w:rPr>
                <w:lang w:eastAsia="en-SG"/>
              </w:rPr>
            </w:pPr>
            <w:r w:rsidRPr="00A13B61">
              <w:rPr>
                <w:lang w:eastAsia="en-SG"/>
              </w:rPr>
              <w:t>Address</w:t>
            </w:r>
          </w:p>
        </w:tc>
        <w:tc>
          <w:tcPr>
            <w:tcW w:w="1937" w:type="dxa"/>
            <w:tcBorders>
              <w:top w:val="nil"/>
              <w:left w:val="nil"/>
              <w:bottom w:val="single" w:sz="4" w:space="0" w:color="auto"/>
              <w:right w:val="single" w:sz="4" w:space="0" w:color="auto"/>
            </w:tcBorders>
            <w:shd w:val="clear" w:color="auto" w:fill="auto"/>
            <w:noWrap/>
            <w:vAlign w:val="center"/>
            <w:hideMark/>
          </w:tcPr>
          <w:p w14:paraId="188AD89D" w14:textId="77777777" w:rsidR="00D944E8" w:rsidRPr="00A13B61" w:rsidRDefault="00D944E8" w:rsidP="00D944E8">
            <w:pPr>
              <w:keepNext/>
              <w:spacing w:after="0"/>
              <w:rPr>
                <w:lang w:eastAsia="en-SG"/>
              </w:rPr>
            </w:pPr>
            <w:r w:rsidRPr="00A13B61">
              <w:rPr>
                <w:lang w:eastAsia="en-SG"/>
              </w:rPr>
              <w:t>0.58%</w:t>
            </w:r>
          </w:p>
        </w:tc>
        <w:tc>
          <w:tcPr>
            <w:tcW w:w="1936" w:type="dxa"/>
            <w:tcBorders>
              <w:top w:val="nil"/>
              <w:left w:val="nil"/>
              <w:bottom w:val="single" w:sz="4" w:space="0" w:color="auto"/>
              <w:right w:val="single" w:sz="4" w:space="0" w:color="auto"/>
            </w:tcBorders>
            <w:shd w:val="clear" w:color="auto" w:fill="auto"/>
            <w:noWrap/>
            <w:vAlign w:val="center"/>
            <w:hideMark/>
          </w:tcPr>
          <w:p w14:paraId="21A4C253" w14:textId="77777777" w:rsidR="00D944E8" w:rsidRPr="00A13B61" w:rsidRDefault="00D944E8" w:rsidP="00D944E8">
            <w:pPr>
              <w:keepNext/>
              <w:spacing w:after="0"/>
              <w:rPr>
                <w:lang w:eastAsia="en-SG"/>
              </w:rPr>
            </w:pPr>
            <w:r w:rsidRPr="00A13B61">
              <w:rPr>
                <w:lang w:eastAsia="en-SG"/>
              </w:rPr>
              <w:t>2.09%</w:t>
            </w:r>
          </w:p>
        </w:tc>
      </w:tr>
      <w:tr w:rsidR="00D944E8" w:rsidRPr="00A13B61" w14:paraId="3A43716A" w14:textId="77777777" w:rsidTr="00D944E8">
        <w:trPr>
          <w:trHeight w:val="251"/>
          <w:jc w:val="center"/>
        </w:trPr>
        <w:tc>
          <w:tcPr>
            <w:tcW w:w="3001" w:type="dxa"/>
            <w:tcBorders>
              <w:top w:val="nil"/>
              <w:left w:val="single" w:sz="4" w:space="0" w:color="auto"/>
              <w:bottom w:val="single" w:sz="4" w:space="0" w:color="auto"/>
              <w:right w:val="single" w:sz="4" w:space="0" w:color="auto"/>
            </w:tcBorders>
            <w:shd w:val="clear" w:color="auto" w:fill="auto"/>
            <w:noWrap/>
            <w:vAlign w:val="center"/>
            <w:hideMark/>
          </w:tcPr>
          <w:p w14:paraId="7AB5B3A8" w14:textId="77777777" w:rsidR="00D944E8" w:rsidRPr="00A13B61" w:rsidRDefault="00D944E8" w:rsidP="00D944E8">
            <w:pPr>
              <w:keepNext/>
              <w:spacing w:after="0"/>
              <w:rPr>
                <w:lang w:eastAsia="en-SG"/>
              </w:rPr>
            </w:pPr>
            <w:r w:rsidRPr="00A13B61">
              <w:rPr>
                <w:lang w:eastAsia="en-SG"/>
              </w:rPr>
              <w:t>Photo</w:t>
            </w:r>
          </w:p>
        </w:tc>
        <w:tc>
          <w:tcPr>
            <w:tcW w:w="1937" w:type="dxa"/>
            <w:tcBorders>
              <w:top w:val="nil"/>
              <w:left w:val="nil"/>
              <w:bottom w:val="single" w:sz="4" w:space="0" w:color="auto"/>
              <w:right w:val="single" w:sz="4" w:space="0" w:color="auto"/>
            </w:tcBorders>
            <w:shd w:val="clear" w:color="auto" w:fill="auto"/>
            <w:noWrap/>
            <w:vAlign w:val="center"/>
            <w:hideMark/>
          </w:tcPr>
          <w:p w14:paraId="27BA2AF2" w14:textId="77777777" w:rsidR="00D944E8" w:rsidRPr="00A13B61" w:rsidRDefault="00D944E8" w:rsidP="00D944E8">
            <w:pPr>
              <w:keepNext/>
              <w:spacing w:after="0"/>
              <w:rPr>
                <w:lang w:eastAsia="en-SG"/>
              </w:rPr>
            </w:pPr>
            <w:r w:rsidRPr="00A13B61">
              <w:rPr>
                <w:lang w:eastAsia="en-SG"/>
              </w:rPr>
              <w:t>0.54%</w:t>
            </w:r>
          </w:p>
        </w:tc>
        <w:tc>
          <w:tcPr>
            <w:tcW w:w="1936" w:type="dxa"/>
            <w:tcBorders>
              <w:top w:val="nil"/>
              <w:left w:val="nil"/>
              <w:bottom w:val="single" w:sz="4" w:space="0" w:color="auto"/>
              <w:right w:val="single" w:sz="4" w:space="0" w:color="auto"/>
            </w:tcBorders>
            <w:shd w:val="clear" w:color="auto" w:fill="auto"/>
            <w:noWrap/>
            <w:vAlign w:val="center"/>
            <w:hideMark/>
          </w:tcPr>
          <w:p w14:paraId="2C0E4395" w14:textId="77777777" w:rsidR="00D944E8" w:rsidRPr="00A13B61" w:rsidRDefault="00D944E8" w:rsidP="00D944E8">
            <w:pPr>
              <w:keepNext/>
              <w:spacing w:after="0"/>
              <w:rPr>
                <w:lang w:eastAsia="en-SG"/>
              </w:rPr>
            </w:pPr>
            <w:r w:rsidRPr="00A13B61">
              <w:rPr>
                <w:lang w:eastAsia="en-SG"/>
              </w:rPr>
              <w:t>1.28%</w:t>
            </w:r>
          </w:p>
        </w:tc>
      </w:tr>
    </w:tbl>
    <w:p w14:paraId="74F811DB" w14:textId="77777777" w:rsidR="00D944E8" w:rsidRPr="00A13B61" w:rsidRDefault="00D944E8" w:rsidP="00D944E8"/>
    <w:p w14:paraId="461C19D2" w14:textId="647DA4FE" w:rsidR="008212AE" w:rsidRPr="00A13B61" w:rsidRDefault="008212AE" w:rsidP="003F3F98">
      <w:pPr>
        <w:pStyle w:val="Caption"/>
      </w:pPr>
      <w:r w:rsidRPr="00A13B61">
        <w:lastRenderedPageBreak/>
        <w:t xml:space="preserve">Table </w:t>
      </w:r>
      <w:r w:rsidR="00D944E8">
        <w:t>5:</w:t>
      </w:r>
      <w:r w:rsidRPr="00A13B61">
        <w:t xml:space="preserve"> Comparison of results on </w:t>
      </w:r>
      <w:r w:rsidR="00216255" w:rsidRPr="00A13B61">
        <w:t>satisfaction</w:t>
      </w:r>
      <w:r w:rsidRPr="00A13B61">
        <w:t xml:space="preserve"> rates </w:t>
      </w:r>
      <w:r w:rsidR="008B5CC3" w:rsidRPr="00A13B61">
        <w:t xml:space="preserve">by state </w:t>
      </w:r>
      <w:r w:rsidRPr="00A13B61">
        <w:t xml:space="preserve">between </w:t>
      </w:r>
      <w:proofErr w:type="spellStart"/>
      <w:r w:rsidRPr="00A13B61">
        <w:t>SoA</w:t>
      </w:r>
      <w:proofErr w:type="spellEnd"/>
      <w:r w:rsidRPr="00A13B61">
        <w:t xml:space="preserve"> pulse and in-depth surveys</w:t>
      </w:r>
    </w:p>
    <w:tbl>
      <w:tblPr>
        <w:tblW w:w="6795" w:type="dxa"/>
        <w:jc w:val="center"/>
        <w:tblLook w:val="04A0" w:firstRow="1" w:lastRow="0" w:firstColumn="1" w:lastColumn="0" w:noHBand="0" w:noVBand="1"/>
      </w:tblPr>
      <w:tblGrid>
        <w:gridCol w:w="3449"/>
        <w:gridCol w:w="1673"/>
        <w:gridCol w:w="1673"/>
      </w:tblGrid>
      <w:tr w:rsidR="008212AE" w:rsidRPr="00D944E8" w14:paraId="7A5C2132" w14:textId="77777777" w:rsidTr="003F3F98">
        <w:trPr>
          <w:trHeight w:val="340"/>
          <w:tblHeader/>
          <w:jc w:val="center"/>
        </w:trPr>
        <w:tc>
          <w:tcPr>
            <w:tcW w:w="3449" w:type="dxa"/>
            <w:tcBorders>
              <w:top w:val="single" w:sz="4" w:space="0" w:color="auto"/>
              <w:left w:val="single" w:sz="4" w:space="0" w:color="auto"/>
              <w:bottom w:val="single" w:sz="4" w:space="0" w:color="auto"/>
              <w:right w:val="single" w:sz="4" w:space="0" w:color="auto"/>
            </w:tcBorders>
            <w:shd w:val="clear" w:color="000000" w:fill="77B8E4"/>
            <w:noWrap/>
            <w:vAlign w:val="center"/>
            <w:hideMark/>
          </w:tcPr>
          <w:p w14:paraId="3F17590B" w14:textId="6A41C9BC" w:rsidR="008212AE" w:rsidRPr="00D944E8" w:rsidRDefault="001232D6" w:rsidP="003F3F98">
            <w:pPr>
              <w:keepNext/>
              <w:spacing w:after="0"/>
              <w:rPr>
                <w:b/>
                <w:bCs/>
                <w:szCs w:val="20"/>
                <w:lang w:eastAsia="en-SG"/>
              </w:rPr>
            </w:pPr>
            <w:r>
              <w:rPr>
                <w:b/>
                <w:bCs/>
                <w:szCs w:val="20"/>
                <w:lang w:eastAsia="en-SG"/>
              </w:rPr>
              <w:t>State</w:t>
            </w:r>
          </w:p>
        </w:tc>
        <w:tc>
          <w:tcPr>
            <w:tcW w:w="1673" w:type="dxa"/>
            <w:tcBorders>
              <w:top w:val="single" w:sz="4" w:space="0" w:color="auto"/>
              <w:left w:val="nil"/>
              <w:bottom w:val="single" w:sz="4" w:space="0" w:color="auto"/>
              <w:right w:val="single" w:sz="4" w:space="0" w:color="auto"/>
            </w:tcBorders>
            <w:shd w:val="clear" w:color="000000" w:fill="77B8E4"/>
            <w:noWrap/>
            <w:vAlign w:val="center"/>
            <w:hideMark/>
          </w:tcPr>
          <w:p w14:paraId="7DBFC6F8" w14:textId="77777777" w:rsidR="008212AE" w:rsidRPr="00D944E8" w:rsidRDefault="008212AE" w:rsidP="003F3F98">
            <w:pPr>
              <w:keepNext/>
              <w:spacing w:after="0"/>
              <w:rPr>
                <w:b/>
                <w:bCs/>
                <w:szCs w:val="20"/>
                <w:lang w:eastAsia="en-SG"/>
              </w:rPr>
            </w:pPr>
            <w:proofErr w:type="spellStart"/>
            <w:r w:rsidRPr="00D944E8">
              <w:rPr>
                <w:b/>
                <w:bCs/>
                <w:szCs w:val="20"/>
                <w:lang w:eastAsia="en-SG"/>
              </w:rPr>
              <w:t>SoA</w:t>
            </w:r>
            <w:proofErr w:type="spellEnd"/>
            <w:r w:rsidRPr="00D944E8">
              <w:rPr>
                <w:b/>
                <w:bCs/>
                <w:szCs w:val="20"/>
                <w:lang w:eastAsia="en-SG"/>
              </w:rPr>
              <w:t xml:space="preserve"> Pulse</w:t>
            </w:r>
          </w:p>
        </w:tc>
        <w:tc>
          <w:tcPr>
            <w:tcW w:w="1673" w:type="dxa"/>
            <w:tcBorders>
              <w:top w:val="single" w:sz="4" w:space="0" w:color="auto"/>
              <w:left w:val="nil"/>
              <w:bottom w:val="single" w:sz="4" w:space="0" w:color="auto"/>
              <w:right w:val="single" w:sz="4" w:space="0" w:color="auto"/>
            </w:tcBorders>
            <w:shd w:val="clear" w:color="000000" w:fill="77B8E4"/>
            <w:noWrap/>
            <w:vAlign w:val="center"/>
            <w:hideMark/>
          </w:tcPr>
          <w:p w14:paraId="41411F57" w14:textId="77777777" w:rsidR="008212AE" w:rsidRPr="00D944E8" w:rsidRDefault="008212AE" w:rsidP="003F3F98">
            <w:pPr>
              <w:keepNext/>
              <w:spacing w:after="0"/>
              <w:rPr>
                <w:b/>
                <w:bCs/>
                <w:szCs w:val="20"/>
                <w:lang w:eastAsia="en-SG"/>
              </w:rPr>
            </w:pPr>
            <w:proofErr w:type="spellStart"/>
            <w:r w:rsidRPr="00D944E8">
              <w:rPr>
                <w:b/>
                <w:bCs/>
                <w:szCs w:val="20"/>
                <w:lang w:eastAsia="en-SG"/>
              </w:rPr>
              <w:t>SoA</w:t>
            </w:r>
            <w:proofErr w:type="spellEnd"/>
            <w:r w:rsidRPr="00D944E8">
              <w:rPr>
                <w:b/>
                <w:bCs/>
                <w:szCs w:val="20"/>
                <w:lang w:eastAsia="en-SG"/>
              </w:rPr>
              <w:t xml:space="preserve"> In-depth</w:t>
            </w:r>
          </w:p>
        </w:tc>
      </w:tr>
      <w:tr w:rsidR="008212AE" w:rsidRPr="00D944E8" w14:paraId="279CDE92"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vAlign w:val="center"/>
            <w:hideMark/>
          </w:tcPr>
          <w:p w14:paraId="591B1DA2" w14:textId="77777777" w:rsidR="008212AE" w:rsidRPr="00D944E8" w:rsidRDefault="008212AE" w:rsidP="00D944E8">
            <w:pPr>
              <w:keepNext/>
              <w:spacing w:after="0"/>
              <w:rPr>
                <w:szCs w:val="20"/>
                <w:lang w:eastAsia="en-SG"/>
              </w:rPr>
            </w:pPr>
            <w:r w:rsidRPr="00D944E8">
              <w:rPr>
                <w:szCs w:val="20"/>
                <w:lang w:eastAsia="en-SG"/>
              </w:rPr>
              <w:t>India</w:t>
            </w:r>
          </w:p>
        </w:tc>
        <w:tc>
          <w:tcPr>
            <w:tcW w:w="1673" w:type="dxa"/>
            <w:tcBorders>
              <w:top w:val="nil"/>
              <w:left w:val="nil"/>
              <w:bottom w:val="single" w:sz="4" w:space="0" w:color="auto"/>
              <w:right w:val="single" w:sz="4" w:space="0" w:color="auto"/>
            </w:tcBorders>
            <w:shd w:val="clear" w:color="auto" w:fill="auto"/>
            <w:noWrap/>
            <w:vAlign w:val="center"/>
            <w:hideMark/>
          </w:tcPr>
          <w:p w14:paraId="004CABF1" w14:textId="77777777" w:rsidR="008212AE" w:rsidRPr="00D944E8" w:rsidRDefault="008212AE" w:rsidP="00D944E8">
            <w:pPr>
              <w:keepNext/>
              <w:spacing w:after="0"/>
              <w:rPr>
                <w:szCs w:val="20"/>
                <w:lang w:eastAsia="en-SG"/>
              </w:rPr>
            </w:pPr>
            <w:r w:rsidRPr="00D944E8">
              <w:rPr>
                <w:szCs w:val="20"/>
                <w:lang w:eastAsia="en-SG"/>
              </w:rPr>
              <w:t>91.6%</w:t>
            </w:r>
          </w:p>
        </w:tc>
        <w:tc>
          <w:tcPr>
            <w:tcW w:w="1673" w:type="dxa"/>
            <w:tcBorders>
              <w:top w:val="nil"/>
              <w:left w:val="nil"/>
              <w:bottom w:val="single" w:sz="4" w:space="0" w:color="auto"/>
              <w:right w:val="single" w:sz="4" w:space="0" w:color="auto"/>
            </w:tcBorders>
            <w:shd w:val="clear" w:color="auto" w:fill="auto"/>
            <w:noWrap/>
            <w:vAlign w:val="center"/>
            <w:hideMark/>
          </w:tcPr>
          <w:p w14:paraId="186CF918" w14:textId="77777777" w:rsidR="008212AE" w:rsidRPr="00D944E8" w:rsidRDefault="008212AE" w:rsidP="00D944E8">
            <w:pPr>
              <w:keepNext/>
              <w:spacing w:after="0"/>
              <w:rPr>
                <w:szCs w:val="20"/>
                <w:lang w:eastAsia="en-SG"/>
              </w:rPr>
            </w:pPr>
            <w:r w:rsidRPr="00D944E8">
              <w:rPr>
                <w:szCs w:val="20"/>
                <w:lang w:eastAsia="en-SG"/>
              </w:rPr>
              <w:t>79.7%</w:t>
            </w:r>
          </w:p>
        </w:tc>
      </w:tr>
      <w:tr w:rsidR="008212AE" w:rsidRPr="00D944E8" w14:paraId="128D9C85"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48134882" w14:textId="77777777" w:rsidR="008212AE" w:rsidRPr="00D944E8" w:rsidRDefault="008212AE" w:rsidP="003F3F98">
            <w:pPr>
              <w:keepNext/>
              <w:spacing w:after="0"/>
              <w:rPr>
                <w:szCs w:val="20"/>
                <w:lang w:eastAsia="en-SG"/>
              </w:rPr>
            </w:pPr>
            <w:r w:rsidRPr="00D944E8">
              <w:rPr>
                <w:szCs w:val="20"/>
                <w:lang w:eastAsia="en-SG"/>
              </w:rPr>
              <w:t>Andhra Pradesh</w:t>
            </w:r>
          </w:p>
        </w:tc>
        <w:tc>
          <w:tcPr>
            <w:tcW w:w="1673" w:type="dxa"/>
            <w:tcBorders>
              <w:top w:val="nil"/>
              <w:left w:val="nil"/>
              <w:bottom w:val="single" w:sz="4" w:space="0" w:color="auto"/>
              <w:right w:val="single" w:sz="4" w:space="0" w:color="auto"/>
            </w:tcBorders>
            <w:shd w:val="clear" w:color="auto" w:fill="auto"/>
            <w:noWrap/>
            <w:vAlign w:val="center"/>
            <w:hideMark/>
          </w:tcPr>
          <w:p w14:paraId="26D17B7E" w14:textId="77777777" w:rsidR="008212AE" w:rsidRPr="00D944E8" w:rsidRDefault="008212AE" w:rsidP="003F3F98">
            <w:pPr>
              <w:keepNext/>
              <w:spacing w:after="0"/>
              <w:rPr>
                <w:szCs w:val="20"/>
                <w:lang w:eastAsia="en-SG"/>
              </w:rPr>
            </w:pPr>
            <w:r w:rsidRPr="00D944E8">
              <w:rPr>
                <w:szCs w:val="20"/>
                <w:lang w:eastAsia="en-SG"/>
              </w:rPr>
              <w:t>98.2%</w:t>
            </w:r>
          </w:p>
        </w:tc>
        <w:tc>
          <w:tcPr>
            <w:tcW w:w="1673" w:type="dxa"/>
            <w:tcBorders>
              <w:top w:val="nil"/>
              <w:left w:val="nil"/>
              <w:bottom w:val="single" w:sz="4" w:space="0" w:color="auto"/>
              <w:right w:val="single" w:sz="4" w:space="0" w:color="auto"/>
            </w:tcBorders>
            <w:shd w:val="clear" w:color="auto" w:fill="auto"/>
            <w:noWrap/>
            <w:vAlign w:val="center"/>
            <w:hideMark/>
          </w:tcPr>
          <w:p w14:paraId="4D7B6990" w14:textId="77777777" w:rsidR="008212AE" w:rsidRPr="00D944E8" w:rsidRDefault="008212AE" w:rsidP="003F3F98">
            <w:pPr>
              <w:keepNext/>
              <w:spacing w:after="0"/>
              <w:rPr>
                <w:szCs w:val="20"/>
                <w:lang w:eastAsia="en-SG"/>
              </w:rPr>
            </w:pPr>
            <w:r w:rsidRPr="00D944E8">
              <w:rPr>
                <w:szCs w:val="20"/>
                <w:lang w:eastAsia="en-SG"/>
              </w:rPr>
              <w:t>86.0%</w:t>
            </w:r>
          </w:p>
        </w:tc>
      </w:tr>
      <w:tr w:rsidR="008212AE" w:rsidRPr="00D944E8" w14:paraId="19074BAA"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5DBA60AC" w14:textId="77777777" w:rsidR="008212AE" w:rsidRPr="00D944E8" w:rsidRDefault="008212AE" w:rsidP="003F3F98">
            <w:pPr>
              <w:keepNext/>
              <w:spacing w:after="0"/>
              <w:rPr>
                <w:szCs w:val="20"/>
                <w:lang w:eastAsia="en-SG"/>
              </w:rPr>
            </w:pPr>
            <w:r w:rsidRPr="00D944E8">
              <w:rPr>
                <w:szCs w:val="20"/>
                <w:lang w:eastAsia="en-SG"/>
              </w:rPr>
              <w:t>Assam</w:t>
            </w:r>
          </w:p>
        </w:tc>
        <w:tc>
          <w:tcPr>
            <w:tcW w:w="1673" w:type="dxa"/>
            <w:tcBorders>
              <w:top w:val="nil"/>
              <w:left w:val="nil"/>
              <w:bottom w:val="single" w:sz="4" w:space="0" w:color="auto"/>
              <w:right w:val="single" w:sz="4" w:space="0" w:color="auto"/>
            </w:tcBorders>
            <w:shd w:val="clear" w:color="auto" w:fill="auto"/>
            <w:noWrap/>
            <w:vAlign w:val="center"/>
            <w:hideMark/>
          </w:tcPr>
          <w:p w14:paraId="521B95D4" w14:textId="77777777" w:rsidR="008212AE" w:rsidRPr="00D944E8" w:rsidRDefault="008212AE" w:rsidP="003F3F98">
            <w:pPr>
              <w:keepNext/>
              <w:spacing w:after="0"/>
              <w:rPr>
                <w:szCs w:val="20"/>
                <w:lang w:eastAsia="en-SG"/>
              </w:rPr>
            </w:pPr>
            <w:r w:rsidRPr="00D944E8">
              <w:rPr>
                <w:szCs w:val="20"/>
                <w:lang w:eastAsia="en-SG"/>
              </w:rPr>
              <w:t>72.3%</w:t>
            </w:r>
          </w:p>
        </w:tc>
        <w:tc>
          <w:tcPr>
            <w:tcW w:w="1673" w:type="dxa"/>
            <w:tcBorders>
              <w:top w:val="nil"/>
              <w:left w:val="nil"/>
              <w:bottom w:val="single" w:sz="4" w:space="0" w:color="auto"/>
              <w:right w:val="single" w:sz="4" w:space="0" w:color="auto"/>
            </w:tcBorders>
            <w:shd w:val="clear" w:color="auto" w:fill="auto"/>
            <w:noWrap/>
            <w:vAlign w:val="center"/>
            <w:hideMark/>
          </w:tcPr>
          <w:p w14:paraId="074FBCB6" w14:textId="77777777" w:rsidR="008212AE" w:rsidRPr="00D944E8" w:rsidRDefault="008212AE" w:rsidP="003F3F98">
            <w:pPr>
              <w:keepNext/>
              <w:spacing w:after="0"/>
              <w:rPr>
                <w:szCs w:val="20"/>
                <w:lang w:eastAsia="en-SG"/>
              </w:rPr>
            </w:pPr>
            <w:r w:rsidRPr="00D944E8">
              <w:rPr>
                <w:szCs w:val="20"/>
                <w:lang w:eastAsia="en-SG"/>
              </w:rPr>
              <w:t>42.9%</w:t>
            </w:r>
          </w:p>
        </w:tc>
      </w:tr>
      <w:tr w:rsidR="008212AE" w:rsidRPr="00D944E8" w14:paraId="54286CAE"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47EE7F6A" w14:textId="77777777" w:rsidR="008212AE" w:rsidRPr="00D944E8" w:rsidRDefault="008212AE" w:rsidP="003F3F98">
            <w:pPr>
              <w:keepNext/>
              <w:spacing w:after="0" w:line="240" w:lineRule="auto"/>
              <w:rPr>
                <w:szCs w:val="20"/>
                <w:lang w:eastAsia="en-SG"/>
              </w:rPr>
            </w:pPr>
            <w:r w:rsidRPr="00D944E8">
              <w:rPr>
                <w:szCs w:val="20"/>
                <w:lang w:eastAsia="en-SG"/>
              </w:rPr>
              <w:t>Bihar</w:t>
            </w:r>
          </w:p>
        </w:tc>
        <w:tc>
          <w:tcPr>
            <w:tcW w:w="1673" w:type="dxa"/>
            <w:tcBorders>
              <w:top w:val="nil"/>
              <w:left w:val="nil"/>
              <w:bottom w:val="single" w:sz="4" w:space="0" w:color="auto"/>
              <w:right w:val="single" w:sz="4" w:space="0" w:color="auto"/>
            </w:tcBorders>
            <w:shd w:val="clear" w:color="auto" w:fill="auto"/>
            <w:noWrap/>
            <w:vAlign w:val="center"/>
            <w:hideMark/>
          </w:tcPr>
          <w:p w14:paraId="239AEA5D" w14:textId="77777777" w:rsidR="008212AE" w:rsidRPr="00D944E8" w:rsidRDefault="008212AE" w:rsidP="003F3F98">
            <w:pPr>
              <w:keepNext/>
              <w:spacing w:after="0" w:line="240" w:lineRule="auto"/>
              <w:rPr>
                <w:szCs w:val="20"/>
                <w:lang w:eastAsia="en-SG"/>
              </w:rPr>
            </w:pPr>
            <w:r w:rsidRPr="00D944E8">
              <w:rPr>
                <w:szCs w:val="20"/>
                <w:lang w:eastAsia="en-SG"/>
              </w:rPr>
              <w:t>93.5%</w:t>
            </w:r>
          </w:p>
        </w:tc>
        <w:tc>
          <w:tcPr>
            <w:tcW w:w="1673" w:type="dxa"/>
            <w:tcBorders>
              <w:top w:val="nil"/>
              <w:left w:val="nil"/>
              <w:bottom w:val="single" w:sz="4" w:space="0" w:color="auto"/>
              <w:right w:val="single" w:sz="4" w:space="0" w:color="auto"/>
            </w:tcBorders>
            <w:shd w:val="clear" w:color="auto" w:fill="auto"/>
            <w:noWrap/>
            <w:vAlign w:val="center"/>
            <w:hideMark/>
          </w:tcPr>
          <w:p w14:paraId="091DB7FF" w14:textId="77777777" w:rsidR="008212AE" w:rsidRPr="00D944E8" w:rsidRDefault="008212AE" w:rsidP="003F3F98">
            <w:pPr>
              <w:keepNext/>
              <w:spacing w:after="0" w:line="240" w:lineRule="auto"/>
              <w:rPr>
                <w:szCs w:val="20"/>
                <w:lang w:eastAsia="en-SG"/>
              </w:rPr>
            </w:pPr>
            <w:r w:rsidRPr="00D944E8">
              <w:rPr>
                <w:szCs w:val="20"/>
                <w:lang w:eastAsia="en-SG"/>
              </w:rPr>
              <w:t>85.4%</w:t>
            </w:r>
          </w:p>
        </w:tc>
      </w:tr>
      <w:tr w:rsidR="008212AE" w:rsidRPr="00D944E8" w14:paraId="1D927EA5"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2DDE2E26" w14:textId="77777777" w:rsidR="008212AE" w:rsidRPr="00D944E8" w:rsidRDefault="008212AE" w:rsidP="003F3F98">
            <w:pPr>
              <w:keepNext/>
              <w:spacing w:after="0" w:line="240" w:lineRule="auto"/>
              <w:rPr>
                <w:szCs w:val="20"/>
                <w:lang w:eastAsia="en-SG"/>
              </w:rPr>
            </w:pPr>
            <w:r w:rsidRPr="00D944E8">
              <w:rPr>
                <w:szCs w:val="20"/>
                <w:lang w:eastAsia="en-SG"/>
              </w:rPr>
              <w:t>Chandigarh</w:t>
            </w:r>
          </w:p>
        </w:tc>
        <w:tc>
          <w:tcPr>
            <w:tcW w:w="1673" w:type="dxa"/>
            <w:tcBorders>
              <w:top w:val="nil"/>
              <w:left w:val="nil"/>
              <w:bottom w:val="single" w:sz="4" w:space="0" w:color="auto"/>
              <w:right w:val="single" w:sz="4" w:space="0" w:color="auto"/>
            </w:tcBorders>
            <w:shd w:val="clear" w:color="auto" w:fill="auto"/>
            <w:noWrap/>
            <w:vAlign w:val="center"/>
            <w:hideMark/>
          </w:tcPr>
          <w:p w14:paraId="3F9D209A" w14:textId="77777777" w:rsidR="008212AE" w:rsidRPr="00D944E8" w:rsidRDefault="008212AE" w:rsidP="003F3F98">
            <w:pPr>
              <w:keepNext/>
              <w:spacing w:after="0" w:line="240" w:lineRule="auto"/>
              <w:rPr>
                <w:szCs w:val="20"/>
                <w:lang w:eastAsia="en-SG"/>
              </w:rPr>
            </w:pPr>
            <w:r w:rsidRPr="00D944E8">
              <w:rPr>
                <w:szCs w:val="20"/>
                <w:lang w:eastAsia="en-SG"/>
              </w:rPr>
              <w:t>95.8%</w:t>
            </w:r>
          </w:p>
        </w:tc>
        <w:tc>
          <w:tcPr>
            <w:tcW w:w="1673" w:type="dxa"/>
            <w:tcBorders>
              <w:top w:val="nil"/>
              <w:left w:val="nil"/>
              <w:bottom w:val="single" w:sz="4" w:space="0" w:color="auto"/>
              <w:right w:val="single" w:sz="4" w:space="0" w:color="auto"/>
            </w:tcBorders>
            <w:shd w:val="clear" w:color="auto" w:fill="auto"/>
            <w:noWrap/>
            <w:vAlign w:val="center"/>
            <w:hideMark/>
          </w:tcPr>
          <w:p w14:paraId="09F881A6" w14:textId="77777777" w:rsidR="008212AE" w:rsidRPr="00D944E8" w:rsidRDefault="008212AE" w:rsidP="003F3F98">
            <w:pPr>
              <w:keepNext/>
              <w:spacing w:after="0" w:line="240" w:lineRule="auto"/>
              <w:rPr>
                <w:szCs w:val="20"/>
                <w:lang w:eastAsia="en-SG"/>
              </w:rPr>
            </w:pPr>
            <w:r w:rsidRPr="00D944E8">
              <w:rPr>
                <w:color w:val="808080" w:themeColor="background1" w:themeShade="80"/>
                <w:szCs w:val="20"/>
                <w:lang w:eastAsia="en-SG"/>
              </w:rPr>
              <w:t>NA</w:t>
            </w:r>
          </w:p>
        </w:tc>
      </w:tr>
      <w:tr w:rsidR="008212AE" w:rsidRPr="00D944E8" w14:paraId="377E7D3E"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18114268" w14:textId="77777777" w:rsidR="008212AE" w:rsidRPr="00D944E8" w:rsidRDefault="008212AE" w:rsidP="003F3F98">
            <w:pPr>
              <w:keepNext/>
              <w:spacing w:after="0" w:line="240" w:lineRule="auto"/>
              <w:rPr>
                <w:szCs w:val="20"/>
                <w:lang w:eastAsia="en-SG"/>
              </w:rPr>
            </w:pPr>
            <w:r w:rsidRPr="00D944E8">
              <w:rPr>
                <w:szCs w:val="20"/>
                <w:lang w:eastAsia="en-SG"/>
              </w:rPr>
              <w:t>Chhattisgarh</w:t>
            </w:r>
          </w:p>
        </w:tc>
        <w:tc>
          <w:tcPr>
            <w:tcW w:w="1673" w:type="dxa"/>
            <w:tcBorders>
              <w:top w:val="nil"/>
              <w:left w:val="nil"/>
              <w:bottom w:val="single" w:sz="4" w:space="0" w:color="auto"/>
              <w:right w:val="single" w:sz="4" w:space="0" w:color="auto"/>
            </w:tcBorders>
            <w:shd w:val="clear" w:color="auto" w:fill="auto"/>
            <w:noWrap/>
            <w:vAlign w:val="center"/>
            <w:hideMark/>
          </w:tcPr>
          <w:p w14:paraId="692D47AD" w14:textId="77777777" w:rsidR="008212AE" w:rsidRPr="00D944E8" w:rsidRDefault="008212AE" w:rsidP="003F3F98">
            <w:pPr>
              <w:keepNext/>
              <w:spacing w:after="0" w:line="240" w:lineRule="auto"/>
              <w:rPr>
                <w:szCs w:val="20"/>
                <w:lang w:eastAsia="en-SG"/>
              </w:rPr>
            </w:pPr>
            <w:r w:rsidRPr="00D944E8">
              <w:rPr>
                <w:szCs w:val="20"/>
                <w:lang w:eastAsia="en-SG"/>
              </w:rPr>
              <w:t>96.8%</w:t>
            </w:r>
          </w:p>
        </w:tc>
        <w:tc>
          <w:tcPr>
            <w:tcW w:w="1673" w:type="dxa"/>
            <w:tcBorders>
              <w:top w:val="nil"/>
              <w:left w:val="nil"/>
              <w:bottom w:val="single" w:sz="4" w:space="0" w:color="auto"/>
              <w:right w:val="single" w:sz="4" w:space="0" w:color="auto"/>
            </w:tcBorders>
            <w:shd w:val="clear" w:color="auto" w:fill="auto"/>
            <w:noWrap/>
            <w:vAlign w:val="center"/>
            <w:hideMark/>
          </w:tcPr>
          <w:p w14:paraId="0923A506" w14:textId="77777777" w:rsidR="008212AE" w:rsidRPr="00D944E8" w:rsidRDefault="008212AE" w:rsidP="003F3F98">
            <w:pPr>
              <w:keepNext/>
              <w:spacing w:after="0" w:line="240" w:lineRule="auto"/>
              <w:rPr>
                <w:szCs w:val="20"/>
                <w:lang w:eastAsia="en-SG"/>
              </w:rPr>
            </w:pPr>
            <w:r w:rsidRPr="00D944E8">
              <w:rPr>
                <w:szCs w:val="20"/>
                <w:lang w:eastAsia="en-SG"/>
              </w:rPr>
              <w:t>82.7%</w:t>
            </w:r>
          </w:p>
        </w:tc>
      </w:tr>
      <w:tr w:rsidR="008212AE" w:rsidRPr="00D944E8" w14:paraId="1EF682E2"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0A9797DB" w14:textId="77777777" w:rsidR="008212AE" w:rsidRPr="00D944E8" w:rsidRDefault="008212AE" w:rsidP="003F3F98">
            <w:pPr>
              <w:keepNext/>
              <w:spacing w:after="0" w:line="240" w:lineRule="auto"/>
              <w:rPr>
                <w:szCs w:val="20"/>
                <w:lang w:eastAsia="en-SG"/>
              </w:rPr>
            </w:pPr>
            <w:r w:rsidRPr="00D944E8">
              <w:rPr>
                <w:szCs w:val="20"/>
                <w:lang w:eastAsia="en-SG"/>
              </w:rPr>
              <w:t>Delhi</w:t>
            </w:r>
          </w:p>
        </w:tc>
        <w:tc>
          <w:tcPr>
            <w:tcW w:w="1673" w:type="dxa"/>
            <w:tcBorders>
              <w:top w:val="nil"/>
              <w:left w:val="nil"/>
              <w:bottom w:val="single" w:sz="4" w:space="0" w:color="auto"/>
              <w:right w:val="single" w:sz="4" w:space="0" w:color="auto"/>
            </w:tcBorders>
            <w:shd w:val="clear" w:color="auto" w:fill="auto"/>
            <w:noWrap/>
            <w:vAlign w:val="center"/>
            <w:hideMark/>
          </w:tcPr>
          <w:p w14:paraId="74A96859" w14:textId="77777777" w:rsidR="008212AE" w:rsidRPr="00D944E8" w:rsidRDefault="008212AE" w:rsidP="003F3F98">
            <w:pPr>
              <w:keepNext/>
              <w:spacing w:after="0" w:line="240" w:lineRule="auto"/>
              <w:rPr>
                <w:szCs w:val="20"/>
                <w:lang w:eastAsia="en-SG"/>
              </w:rPr>
            </w:pPr>
            <w:r w:rsidRPr="00D944E8">
              <w:rPr>
                <w:szCs w:val="20"/>
                <w:lang w:eastAsia="en-SG"/>
              </w:rPr>
              <w:t>99.5%</w:t>
            </w:r>
          </w:p>
        </w:tc>
        <w:tc>
          <w:tcPr>
            <w:tcW w:w="1673" w:type="dxa"/>
            <w:tcBorders>
              <w:top w:val="nil"/>
              <w:left w:val="nil"/>
              <w:bottom w:val="single" w:sz="4" w:space="0" w:color="auto"/>
              <w:right w:val="single" w:sz="4" w:space="0" w:color="auto"/>
            </w:tcBorders>
            <w:shd w:val="clear" w:color="auto" w:fill="auto"/>
            <w:noWrap/>
            <w:vAlign w:val="center"/>
            <w:hideMark/>
          </w:tcPr>
          <w:p w14:paraId="22151C97" w14:textId="77777777" w:rsidR="008212AE" w:rsidRPr="00D944E8" w:rsidRDefault="008212AE" w:rsidP="003F3F98">
            <w:pPr>
              <w:keepNext/>
              <w:spacing w:after="0" w:line="240" w:lineRule="auto"/>
              <w:rPr>
                <w:szCs w:val="20"/>
                <w:lang w:eastAsia="en-SG"/>
              </w:rPr>
            </w:pPr>
            <w:r w:rsidRPr="00D944E8">
              <w:rPr>
                <w:szCs w:val="20"/>
                <w:lang w:eastAsia="en-SG"/>
              </w:rPr>
              <w:t>74.5%</w:t>
            </w:r>
          </w:p>
        </w:tc>
      </w:tr>
      <w:tr w:rsidR="008212AE" w:rsidRPr="00D944E8" w14:paraId="23B4C183"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7207CA27" w14:textId="77777777" w:rsidR="008212AE" w:rsidRPr="00D944E8" w:rsidRDefault="008212AE" w:rsidP="003F3F98">
            <w:pPr>
              <w:keepNext/>
              <w:spacing w:after="0" w:line="240" w:lineRule="auto"/>
              <w:rPr>
                <w:szCs w:val="20"/>
                <w:lang w:eastAsia="en-SG"/>
              </w:rPr>
            </w:pPr>
            <w:r w:rsidRPr="00D944E8">
              <w:rPr>
                <w:szCs w:val="20"/>
                <w:lang w:eastAsia="en-SG"/>
              </w:rPr>
              <w:t>Goa</w:t>
            </w:r>
          </w:p>
        </w:tc>
        <w:tc>
          <w:tcPr>
            <w:tcW w:w="1673" w:type="dxa"/>
            <w:tcBorders>
              <w:top w:val="nil"/>
              <w:left w:val="nil"/>
              <w:bottom w:val="single" w:sz="4" w:space="0" w:color="auto"/>
              <w:right w:val="single" w:sz="4" w:space="0" w:color="auto"/>
            </w:tcBorders>
            <w:shd w:val="clear" w:color="auto" w:fill="auto"/>
            <w:noWrap/>
            <w:vAlign w:val="center"/>
            <w:hideMark/>
          </w:tcPr>
          <w:p w14:paraId="2FE320E5" w14:textId="77777777" w:rsidR="008212AE" w:rsidRPr="00D944E8" w:rsidRDefault="008212AE" w:rsidP="003F3F98">
            <w:pPr>
              <w:keepNext/>
              <w:spacing w:after="0" w:line="240" w:lineRule="auto"/>
              <w:rPr>
                <w:szCs w:val="20"/>
                <w:lang w:eastAsia="en-SG"/>
              </w:rPr>
            </w:pPr>
            <w:r w:rsidRPr="00D944E8">
              <w:rPr>
                <w:szCs w:val="20"/>
                <w:lang w:eastAsia="en-SG"/>
              </w:rPr>
              <w:t>64.7%</w:t>
            </w:r>
          </w:p>
        </w:tc>
        <w:tc>
          <w:tcPr>
            <w:tcW w:w="1673" w:type="dxa"/>
            <w:tcBorders>
              <w:top w:val="nil"/>
              <w:left w:val="nil"/>
              <w:bottom w:val="single" w:sz="4" w:space="0" w:color="auto"/>
              <w:right w:val="single" w:sz="4" w:space="0" w:color="auto"/>
            </w:tcBorders>
            <w:shd w:val="clear" w:color="auto" w:fill="auto"/>
            <w:noWrap/>
            <w:vAlign w:val="center"/>
            <w:hideMark/>
          </w:tcPr>
          <w:p w14:paraId="3771CC3B" w14:textId="77777777" w:rsidR="008212AE" w:rsidRPr="00D944E8" w:rsidRDefault="008212AE" w:rsidP="003F3F98">
            <w:pPr>
              <w:keepNext/>
              <w:spacing w:after="0" w:line="240" w:lineRule="auto"/>
              <w:rPr>
                <w:szCs w:val="20"/>
                <w:lang w:eastAsia="en-SG"/>
              </w:rPr>
            </w:pPr>
            <w:r w:rsidRPr="00D944E8">
              <w:rPr>
                <w:color w:val="808080" w:themeColor="background1" w:themeShade="80"/>
                <w:szCs w:val="20"/>
                <w:lang w:eastAsia="en-SG"/>
              </w:rPr>
              <w:t>NA</w:t>
            </w:r>
          </w:p>
        </w:tc>
      </w:tr>
      <w:tr w:rsidR="008212AE" w:rsidRPr="00D944E8" w14:paraId="50A2F9EA"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68707C67" w14:textId="77777777" w:rsidR="008212AE" w:rsidRPr="00D944E8" w:rsidRDefault="008212AE" w:rsidP="003F3F98">
            <w:pPr>
              <w:keepNext/>
              <w:spacing w:after="0" w:line="240" w:lineRule="auto"/>
              <w:rPr>
                <w:szCs w:val="20"/>
                <w:lang w:eastAsia="en-SG"/>
              </w:rPr>
            </w:pPr>
            <w:r w:rsidRPr="00D944E8">
              <w:rPr>
                <w:szCs w:val="20"/>
                <w:lang w:eastAsia="en-SG"/>
              </w:rPr>
              <w:t>Gujarat</w:t>
            </w:r>
          </w:p>
        </w:tc>
        <w:tc>
          <w:tcPr>
            <w:tcW w:w="1673" w:type="dxa"/>
            <w:tcBorders>
              <w:top w:val="nil"/>
              <w:left w:val="nil"/>
              <w:bottom w:val="single" w:sz="4" w:space="0" w:color="auto"/>
              <w:right w:val="single" w:sz="4" w:space="0" w:color="auto"/>
            </w:tcBorders>
            <w:shd w:val="clear" w:color="auto" w:fill="auto"/>
            <w:noWrap/>
            <w:vAlign w:val="center"/>
            <w:hideMark/>
          </w:tcPr>
          <w:p w14:paraId="3E617600" w14:textId="77777777" w:rsidR="008212AE" w:rsidRPr="00D944E8" w:rsidRDefault="008212AE" w:rsidP="003F3F98">
            <w:pPr>
              <w:keepNext/>
              <w:spacing w:after="0" w:line="240" w:lineRule="auto"/>
              <w:rPr>
                <w:szCs w:val="20"/>
                <w:lang w:eastAsia="en-SG"/>
              </w:rPr>
            </w:pPr>
            <w:r w:rsidRPr="00D944E8">
              <w:rPr>
                <w:szCs w:val="20"/>
                <w:lang w:eastAsia="en-SG"/>
              </w:rPr>
              <w:t>99.9%</w:t>
            </w:r>
          </w:p>
        </w:tc>
        <w:tc>
          <w:tcPr>
            <w:tcW w:w="1673" w:type="dxa"/>
            <w:tcBorders>
              <w:top w:val="nil"/>
              <w:left w:val="nil"/>
              <w:bottom w:val="single" w:sz="4" w:space="0" w:color="auto"/>
              <w:right w:val="single" w:sz="4" w:space="0" w:color="auto"/>
            </w:tcBorders>
            <w:shd w:val="clear" w:color="auto" w:fill="auto"/>
            <w:noWrap/>
            <w:vAlign w:val="center"/>
            <w:hideMark/>
          </w:tcPr>
          <w:p w14:paraId="3BF8BE22" w14:textId="77777777" w:rsidR="008212AE" w:rsidRPr="00D944E8" w:rsidRDefault="008212AE" w:rsidP="003F3F98">
            <w:pPr>
              <w:keepNext/>
              <w:spacing w:after="0" w:line="240" w:lineRule="auto"/>
              <w:rPr>
                <w:szCs w:val="20"/>
                <w:lang w:eastAsia="en-SG"/>
              </w:rPr>
            </w:pPr>
            <w:r w:rsidRPr="00D944E8">
              <w:rPr>
                <w:szCs w:val="20"/>
                <w:lang w:eastAsia="en-SG"/>
              </w:rPr>
              <w:t>71.5%</w:t>
            </w:r>
          </w:p>
        </w:tc>
      </w:tr>
      <w:tr w:rsidR="008212AE" w:rsidRPr="00D944E8" w14:paraId="564FFF30"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175A5E80" w14:textId="77777777" w:rsidR="008212AE" w:rsidRPr="00D944E8" w:rsidRDefault="008212AE" w:rsidP="003F3F98">
            <w:pPr>
              <w:keepNext/>
              <w:spacing w:after="0" w:line="240" w:lineRule="auto"/>
              <w:rPr>
                <w:szCs w:val="20"/>
                <w:lang w:eastAsia="en-SG"/>
              </w:rPr>
            </w:pPr>
            <w:r w:rsidRPr="00D944E8">
              <w:rPr>
                <w:szCs w:val="20"/>
                <w:lang w:eastAsia="en-SG"/>
              </w:rPr>
              <w:t>Haryana</w:t>
            </w:r>
          </w:p>
        </w:tc>
        <w:tc>
          <w:tcPr>
            <w:tcW w:w="1673" w:type="dxa"/>
            <w:tcBorders>
              <w:top w:val="nil"/>
              <w:left w:val="nil"/>
              <w:bottom w:val="single" w:sz="4" w:space="0" w:color="auto"/>
              <w:right w:val="single" w:sz="4" w:space="0" w:color="auto"/>
            </w:tcBorders>
            <w:shd w:val="clear" w:color="auto" w:fill="auto"/>
            <w:noWrap/>
            <w:vAlign w:val="center"/>
            <w:hideMark/>
          </w:tcPr>
          <w:p w14:paraId="00E81BD6" w14:textId="77777777" w:rsidR="008212AE" w:rsidRPr="00D944E8" w:rsidRDefault="008212AE" w:rsidP="003F3F98">
            <w:pPr>
              <w:keepNext/>
              <w:spacing w:after="0" w:line="240" w:lineRule="auto"/>
              <w:rPr>
                <w:szCs w:val="20"/>
                <w:lang w:eastAsia="en-SG"/>
              </w:rPr>
            </w:pPr>
            <w:r w:rsidRPr="00D944E8">
              <w:rPr>
                <w:szCs w:val="20"/>
                <w:lang w:eastAsia="en-SG"/>
              </w:rPr>
              <w:t>98.9%</w:t>
            </w:r>
          </w:p>
        </w:tc>
        <w:tc>
          <w:tcPr>
            <w:tcW w:w="1673" w:type="dxa"/>
            <w:tcBorders>
              <w:top w:val="nil"/>
              <w:left w:val="nil"/>
              <w:bottom w:val="single" w:sz="4" w:space="0" w:color="auto"/>
              <w:right w:val="single" w:sz="4" w:space="0" w:color="auto"/>
            </w:tcBorders>
            <w:shd w:val="clear" w:color="auto" w:fill="auto"/>
            <w:noWrap/>
            <w:vAlign w:val="center"/>
            <w:hideMark/>
          </w:tcPr>
          <w:p w14:paraId="63809138" w14:textId="77777777" w:rsidR="008212AE" w:rsidRPr="00D944E8" w:rsidRDefault="008212AE" w:rsidP="003F3F98">
            <w:pPr>
              <w:keepNext/>
              <w:spacing w:after="0" w:line="240" w:lineRule="auto"/>
              <w:rPr>
                <w:color w:val="808080" w:themeColor="background1" w:themeShade="80"/>
                <w:szCs w:val="20"/>
                <w:lang w:eastAsia="en-SG"/>
              </w:rPr>
            </w:pPr>
            <w:r w:rsidRPr="00D944E8">
              <w:rPr>
                <w:color w:val="808080" w:themeColor="background1" w:themeShade="80"/>
                <w:szCs w:val="20"/>
                <w:lang w:eastAsia="en-SG"/>
              </w:rPr>
              <w:t>NA</w:t>
            </w:r>
          </w:p>
        </w:tc>
      </w:tr>
      <w:tr w:rsidR="008212AE" w:rsidRPr="00D944E8" w14:paraId="06EFC79E"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55FDC4AE" w14:textId="77777777" w:rsidR="008212AE" w:rsidRPr="00D944E8" w:rsidRDefault="008212AE" w:rsidP="003F3F98">
            <w:pPr>
              <w:keepNext/>
              <w:spacing w:after="0" w:line="240" w:lineRule="auto"/>
              <w:rPr>
                <w:szCs w:val="20"/>
                <w:lang w:eastAsia="en-SG"/>
              </w:rPr>
            </w:pPr>
            <w:r w:rsidRPr="00D944E8">
              <w:rPr>
                <w:szCs w:val="20"/>
                <w:lang w:eastAsia="en-SG"/>
              </w:rPr>
              <w:t>Himachal Pradesh</w:t>
            </w:r>
          </w:p>
        </w:tc>
        <w:tc>
          <w:tcPr>
            <w:tcW w:w="1673" w:type="dxa"/>
            <w:tcBorders>
              <w:top w:val="nil"/>
              <w:left w:val="nil"/>
              <w:bottom w:val="single" w:sz="4" w:space="0" w:color="auto"/>
              <w:right w:val="single" w:sz="4" w:space="0" w:color="auto"/>
            </w:tcBorders>
            <w:shd w:val="clear" w:color="auto" w:fill="auto"/>
            <w:noWrap/>
            <w:vAlign w:val="center"/>
            <w:hideMark/>
          </w:tcPr>
          <w:p w14:paraId="036F24CD" w14:textId="77777777" w:rsidR="008212AE" w:rsidRPr="00D944E8" w:rsidRDefault="008212AE" w:rsidP="003F3F98">
            <w:pPr>
              <w:keepNext/>
              <w:spacing w:after="0" w:line="240" w:lineRule="auto"/>
              <w:rPr>
                <w:szCs w:val="20"/>
                <w:lang w:eastAsia="en-SG"/>
              </w:rPr>
            </w:pPr>
            <w:r w:rsidRPr="00D944E8">
              <w:rPr>
                <w:szCs w:val="20"/>
                <w:lang w:eastAsia="en-SG"/>
              </w:rPr>
              <w:t>99.7%</w:t>
            </w:r>
          </w:p>
        </w:tc>
        <w:tc>
          <w:tcPr>
            <w:tcW w:w="1673" w:type="dxa"/>
            <w:tcBorders>
              <w:top w:val="nil"/>
              <w:left w:val="nil"/>
              <w:bottom w:val="single" w:sz="4" w:space="0" w:color="auto"/>
              <w:right w:val="single" w:sz="4" w:space="0" w:color="auto"/>
            </w:tcBorders>
            <w:shd w:val="clear" w:color="auto" w:fill="auto"/>
            <w:noWrap/>
            <w:vAlign w:val="center"/>
            <w:hideMark/>
          </w:tcPr>
          <w:p w14:paraId="59E37AED" w14:textId="77777777" w:rsidR="008212AE" w:rsidRPr="00D944E8" w:rsidRDefault="008212AE" w:rsidP="003F3F98">
            <w:pPr>
              <w:keepNext/>
              <w:spacing w:after="0" w:line="240" w:lineRule="auto"/>
              <w:rPr>
                <w:color w:val="808080" w:themeColor="background1" w:themeShade="80"/>
                <w:szCs w:val="20"/>
                <w:lang w:eastAsia="en-SG"/>
              </w:rPr>
            </w:pPr>
            <w:r w:rsidRPr="00D944E8">
              <w:rPr>
                <w:color w:val="808080" w:themeColor="background1" w:themeShade="80"/>
                <w:szCs w:val="20"/>
                <w:lang w:eastAsia="en-SG"/>
              </w:rPr>
              <w:t>NA</w:t>
            </w:r>
          </w:p>
        </w:tc>
      </w:tr>
      <w:tr w:rsidR="008212AE" w:rsidRPr="00D944E8" w14:paraId="5E565A3D"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37C9B2FE" w14:textId="77777777" w:rsidR="008212AE" w:rsidRPr="00D944E8" w:rsidRDefault="008212AE" w:rsidP="003F3F98">
            <w:pPr>
              <w:keepNext/>
              <w:spacing w:after="0" w:line="240" w:lineRule="auto"/>
              <w:rPr>
                <w:szCs w:val="20"/>
                <w:lang w:eastAsia="en-SG"/>
              </w:rPr>
            </w:pPr>
            <w:r w:rsidRPr="00D944E8">
              <w:rPr>
                <w:szCs w:val="20"/>
                <w:lang w:eastAsia="en-SG"/>
              </w:rPr>
              <w:t>Jammu and Kashmir</w:t>
            </w:r>
          </w:p>
        </w:tc>
        <w:tc>
          <w:tcPr>
            <w:tcW w:w="1673" w:type="dxa"/>
            <w:tcBorders>
              <w:top w:val="nil"/>
              <w:left w:val="nil"/>
              <w:bottom w:val="single" w:sz="4" w:space="0" w:color="auto"/>
              <w:right w:val="single" w:sz="4" w:space="0" w:color="auto"/>
            </w:tcBorders>
            <w:shd w:val="clear" w:color="auto" w:fill="auto"/>
            <w:noWrap/>
            <w:vAlign w:val="center"/>
            <w:hideMark/>
          </w:tcPr>
          <w:p w14:paraId="4FE495C3" w14:textId="77777777" w:rsidR="008212AE" w:rsidRPr="00D944E8" w:rsidRDefault="008212AE" w:rsidP="003F3F98">
            <w:pPr>
              <w:keepNext/>
              <w:spacing w:after="0" w:line="240" w:lineRule="auto"/>
              <w:rPr>
                <w:szCs w:val="20"/>
                <w:lang w:eastAsia="en-SG"/>
              </w:rPr>
            </w:pPr>
            <w:r w:rsidRPr="00D944E8">
              <w:rPr>
                <w:szCs w:val="20"/>
                <w:lang w:eastAsia="en-SG"/>
              </w:rPr>
              <w:t>86.3%</w:t>
            </w:r>
          </w:p>
        </w:tc>
        <w:tc>
          <w:tcPr>
            <w:tcW w:w="1673" w:type="dxa"/>
            <w:tcBorders>
              <w:top w:val="nil"/>
              <w:left w:val="nil"/>
              <w:bottom w:val="single" w:sz="4" w:space="0" w:color="auto"/>
              <w:right w:val="single" w:sz="4" w:space="0" w:color="auto"/>
            </w:tcBorders>
            <w:shd w:val="clear" w:color="auto" w:fill="auto"/>
            <w:noWrap/>
            <w:vAlign w:val="center"/>
            <w:hideMark/>
          </w:tcPr>
          <w:p w14:paraId="0F522B5D" w14:textId="77777777" w:rsidR="008212AE" w:rsidRPr="00D944E8" w:rsidRDefault="008212AE" w:rsidP="003F3F98">
            <w:pPr>
              <w:keepNext/>
              <w:spacing w:after="0" w:line="240" w:lineRule="auto"/>
              <w:rPr>
                <w:color w:val="808080" w:themeColor="background1" w:themeShade="80"/>
                <w:szCs w:val="20"/>
                <w:lang w:eastAsia="en-SG"/>
              </w:rPr>
            </w:pPr>
            <w:r w:rsidRPr="00D944E8">
              <w:rPr>
                <w:color w:val="808080" w:themeColor="background1" w:themeShade="80"/>
                <w:szCs w:val="20"/>
                <w:lang w:eastAsia="en-SG"/>
              </w:rPr>
              <w:t>NA</w:t>
            </w:r>
          </w:p>
        </w:tc>
      </w:tr>
      <w:tr w:rsidR="008212AE" w:rsidRPr="00D944E8" w14:paraId="5456927A"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31D0ACA1" w14:textId="77777777" w:rsidR="008212AE" w:rsidRPr="00D944E8" w:rsidRDefault="008212AE" w:rsidP="003F3F98">
            <w:pPr>
              <w:keepNext/>
              <w:spacing w:after="0" w:line="240" w:lineRule="auto"/>
              <w:rPr>
                <w:szCs w:val="20"/>
                <w:lang w:eastAsia="en-SG"/>
              </w:rPr>
            </w:pPr>
            <w:r w:rsidRPr="00D944E8">
              <w:rPr>
                <w:szCs w:val="20"/>
                <w:lang w:eastAsia="en-SG"/>
              </w:rPr>
              <w:t>Jharkhand</w:t>
            </w:r>
          </w:p>
        </w:tc>
        <w:tc>
          <w:tcPr>
            <w:tcW w:w="1673" w:type="dxa"/>
            <w:tcBorders>
              <w:top w:val="nil"/>
              <w:left w:val="nil"/>
              <w:bottom w:val="single" w:sz="4" w:space="0" w:color="auto"/>
              <w:right w:val="single" w:sz="4" w:space="0" w:color="auto"/>
            </w:tcBorders>
            <w:shd w:val="clear" w:color="auto" w:fill="auto"/>
            <w:noWrap/>
            <w:vAlign w:val="center"/>
            <w:hideMark/>
          </w:tcPr>
          <w:p w14:paraId="2D7B677E" w14:textId="77777777" w:rsidR="008212AE" w:rsidRPr="00D944E8" w:rsidRDefault="008212AE" w:rsidP="003F3F98">
            <w:pPr>
              <w:keepNext/>
              <w:spacing w:after="0" w:line="240" w:lineRule="auto"/>
              <w:rPr>
                <w:szCs w:val="20"/>
                <w:lang w:eastAsia="en-SG"/>
              </w:rPr>
            </w:pPr>
            <w:r w:rsidRPr="00D944E8">
              <w:rPr>
                <w:szCs w:val="20"/>
                <w:lang w:eastAsia="en-SG"/>
              </w:rPr>
              <w:t>98.3%</w:t>
            </w:r>
          </w:p>
        </w:tc>
        <w:tc>
          <w:tcPr>
            <w:tcW w:w="1673" w:type="dxa"/>
            <w:tcBorders>
              <w:top w:val="nil"/>
              <w:left w:val="nil"/>
              <w:bottom w:val="single" w:sz="4" w:space="0" w:color="auto"/>
              <w:right w:val="single" w:sz="4" w:space="0" w:color="auto"/>
            </w:tcBorders>
            <w:shd w:val="clear" w:color="auto" w:fill="auto"/>
            <w:noWrap/>
            <w:vAlign w:val="center"/>
            <w:hideMark/>
          </w:tcPr>
          <w:p w14:paraId="723E1FCB" w14:textId="77777777" w:rsidR="008212AE" w:rsidRPr="00D944E8" w:rsidRDefault="008212AE" w:rsidP="003F3F98">
            <w:pPr>
              <w:keepNext/>
              <w:spacing w:after="0" w:line="240" w:lineRule="auto"/>
              <w:rPr>
                <w:szCs w:val="20"/>
                <w:lang w:eastAsia="en-SG"/>
              </w:rPr>
            </w:pPr>
            <w:r w:rsidRPr="00D944E8">
              <w:rPr>
                <w:szCs w:val="20"/>
                <w:lang w:eastAsia="en-SG"/>
              </w:rPr>
              <w:t>93.7%</w:t>
            </w:r>
          </w:p>
        </w:tc>
      </w:tr>
      <w:tr w:rsidR="008212AE" w:rsidRPr="00D944E8" w14:paraId="27E98812"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183E232C" w14:textId="77777777" w:rsidR="008212AE" w:rsidRPr="00D944E8" w:rsidRDefault="008212AE" w:rsidP="003F3F98">
            <w:pPr>
              <w:keepNext/>
              <w:spacing w:after="0" w:line="240" w:lineRule="auto"/>
              <w:rPr>
                <w:szCs w:val="20"/>
                <w:lang w:eastAsia="en-SG"/>
              </w:rPr>
            </w:pPr>
            <w:r w:rsidRPr="00D944E8">
              <w:rPr>
                <w:szCs w:val="20"/>
                <w:lang w:eastAsia="en-SG"/>
              </w:rPr>
              <w:t>Karnataka</w:t>
            </w:r>
          </w:p>
        </w:tc>
        <w:tc>
          <w:tcPr>
            <w:tcW w:w="1673" w:type="dxa"/>
            <w:tcBorders>
              <w:top w:val="nil"/>
              <w:left w:val="nil"/>
              <w:bottom w:val="single" w:sz="4" w:space="0" w:color="auto"/>
              <w:right w:val="single" w:sz="4" w:space="0" w:color="auto"/>
            </w:tcBorders>
            <w:shd w:val="clear" w:color="auto" w:fill="auto"/>
            <w:noWrap/>
            <w:vAlign w:val="center"/>
            <w:hideMark/>
          </w:tcPr>
          <w:p w14:paraId="22D80216" w14:textId="77777777" w:rsidR="008212AE" w:rsidRPr="00D944E8" w:rsidRDefault="008212AE" w:rsidP="003F3F98">
            <w:pPr>
              <w:keepNext/>
              <w:spacing w:after="0" w:line="240" w:lineRule="auto"/>
              <w:rPr>
                <w:szCs w:val="20"/>
                <w:lang w:eastAsia="en-SG"/>
              </w:rPr>
            </w:pPr>
            <w:r w:rsidRPr="00D944E8">
              <w:rPr>
                <w:szCs w:val="20"/>
                <w:lang w:eastAsia="en-SG"/>
              </w:rPr>
              <w:t>85.0%</w:t>
            </w:r>
          </w:p>
        </w:tc>
        <w:tc>
          <w:tcPr>
            <w:tcW w:w="1673" w:type="dxa"/>
            <w:tcBorders>
              <w:top w:val="nil"/>
              <w:left w:val="nil"/>
              <w:bottom w:val="single" w:sz="4" w:space="0" w:color="auto"/>
              <w:right w:val="single" w:sz="4" w:space="0" w:color="auto"/>
            </w:tcBorders>
            <w:shd w:val="clear" w:color="auto" w:fill="auto"/>
            <w:noWrap/>
            <w:vAlign w:val="center"/>
            <w:hideMark/>
          </w:tcPr>
          <w:p w14:paraId="53D4DB2F" w14:textId="77777777" w:rsidR="008212AE" w:rsidRPr="00D944E8" w:rsidRDefault="008212AE" w:rsidP="003F3F98">
            <w:pPr>
              <w:keepNext/>
              <w:spacing w:after="0" w:line="240" w:lineRule="auto"/>
              <w:rPr>
                <w:szCs w:val="20"/>
                <w:lang w:eastAsia="en-SG"/>
              </w:rPr>
            </w:pPr>
            <w:r w:rsidRPr="00D944E8">
              <w:rPr>
                <w:szCs w:val="20"/>
                <w:lang w:eastAsia="en-SG"/>
              </w:rPr>
              <w:t>67.6%</w:t>
            </w:r>
          </w:p>
        </w:tc>
      </w:tr>
      <w:tr w:rsidR="008212AE" w:rsidRPr="00D944E8" w14:paraId="7CD16511"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4515E6E4" w14:textId="77777777" w:rsidR="008212AE" w:rsidRPr="00D944E8" w:rsidRDefault="008212AE" w:rsidP="003F3F98">
            <w:pPr>
              <w:keepNext/>
              <w:spacing w:after="0" w:line="240" w:lineRule="auto"/>
              <w:rPr>
                <w:szCs w:val="20"/>
                <w:lang w:eastAsia="en-SG"/>
              </w:rPr>
            </w:pPr>
            <w:r w:rsidRPr="00D944E8">
              <w:rPr>
                <w:szCs w:val="20"/>
                <w:lang w:eastAsia="en-SG"/>
              </w:rPr>
              <w:t>Kerala</w:t>
            </w:r>
          </w:p>
        </w:tc>
        <w:tc>
          <w:tcPr>
            <w:tcW w:w="1673" w:type="dxa"/>
            <w:tcBorders>
              <w:top w:val="nil"/>
              <w:left w:val="nil"/>
              <w:bottom w:val="single" w:sz="4" w:space="0" w:color="auto"/>
              <w:right w:val="single" w:sz="4" w:space="0" w:color="auto"/>
            </w:tcBorders>
            <w:shd w:val="clear" w:color="auto" w:fill="auto"/>
            <w:noWrap/>
            <w:vAlign w:val="center"/>
            <w:hideMark/>
          </w:tcPr>
          <w:p w14:paraId="74479630" w14:textId="77777777" w:rsidR="008212AE" w:rsidRPr="00D944E8" w:rsidRDefault="008212AE" w:rsidP="003F3F98">
            <w:pPr>
              <w:keepNext/>
              <w:spacing w:after="0" w:line="240" w:lineRule="auto"/>
              <w:rPr>
                <w:szCs w:val="20"/>
                <w:lang w:eastAsia="en-SG"/>
              </w:rPr>
            </w:pPr>
            <w:r w:rsidRPr="00D944E8">
              <w:rPr>
                <w:szCs w:val="20"/>
                <w:lang w:eastAsia="en-SG"/>
              </w:rPr>
              <w:t>65.3%</w:t>
            </w:r>
          </w:p>
        </w:tc>
        <w:tc>
          <w:tcPr>
            <w:tcW w:w="1673" w:type="dxa"/>
            <w:tcBorders>
              <w:top w:val="nil"/>
              <w:left w:val="nil"/>
              <w:bottom w:val="single" w:sz="4" w:space="0" w:color="auto"/>
              <w:right w:val="single" w:sz="4" w:space="0" w:color="auto"/>
            </w:tcBorders>
            <w:shd w:val="clear" w:color="auto" w:fill="auto"/>
            <w:noWrap/>
            <w:vAlign w:val="center"/>
            <w:hideMark/>
          </w:tcPr>
          <w:p w14:paraId="795995B6" w14:textId="77777777" w:rsidR="008212AE" w:rsidRPr="00D944E8" w:rsidRDefault="008212AE" w:rsidP="003F3F98">
            <w:pPr>
              <w:keepNext/>
              <w:spacing w:after="0" w:line="240" w:lineRule="auto"/>
              <w:rPr>
                <w:szCs w:val="20"/>
                <w:lang w:eastAsia="en-SG"/>
              </w:rPr>
            </w:pPr>
            <w:r w:rsidRPr="00D944E8">
              <w:rPr>
                <w:szCs w:val="20"/>
                <w:lang w:eastAsia="en-SG"/>
              </w:rPr>
              <w:t>47.0%</w:t>
            </w:r>
          </w:p>
        </w:tc>
      </w:tr>
      <w:tr w:rsidR="008212AE" w:rsidRPr="00D944E8" w14:paraId="35D523AB"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081F4A6B" w14:textId="77777777" w:rsidR="008212AE" w:rsidRPr="00D944E8" w:rsidRDefault="008212AE" w:rsidP="003F3F98">
            <w:pPr>
              <w:keepNext/>
              <w:spacing w:after="0" w:line="240" w:lineRule="auto"/>
              <w:rPr>
                <w:szCs w:val="20"/>
                <w:lang w:eastAsia="en-SG"/>
              </w:rPr>
            </w:pPr>
            <w:r w:rsidRPr="00D944E8">
              <w:rPr>
                <w:szCs w:val="20"/>
                <w:lang w:eastAsia="en-SG"/>
              </w:rPr>
              <w:t>Madhya Pradesh</w:t>
            </w:r>
          </w:p>
        </w:tc>
        <w:tc>
          <w:tcPr>
            <w:tcW w:w="1673" w:type="dxa"/>
            <w:tcBorders>
              <w:top w:val="nil"/>
              <w:left w:val="nil"/>
              <w:bottom w:val="single" w:sz="4" w:space="0" w:color="auto"/>
              <w:right w:val="single" w:sz="4" w:space="0" w:color="auto"/>
            </w:tcBorders>
            <w:shd w:val="clear" w:color="auto" w:fill="auto"/>
            <w:noWrap/>
            <w:vAlign w:val="center"/>
            <w:hideMark/>
          </w:tcPr>
          <w:p w14:paraId="3376AD7C" w14:textId="77777777" w:rsidR="008212AE" w:rsidRPr="00D944E8" w:rsidRDefault="008212AE" w:rsidP="003F3F98">
            <w:pPr>
              <w:keepNext/>
              <w:spacing w:after="0" w:line="240" w:lineRule="auto"/>
              <w:rPr>
                <w:szCs w:val="20"/>
                <w:lang w:eastAsia="en-SG"/>
              </w:rPr>
            </w:pPr>
            <w:r w:rsidRPr="00D944E8">
              <w:rPr>
                <w:szCs w:val="20"/>
                <w:lang w:eastAsia="en-SG"/>
              </w:rPr>
              <w:t>87.7%</w:t>
            </w:r>
          </w:p>
        </w:tc>
        <w:tc>
          <w:tcPr>
            <w:tcW w:w="1673" w:type="dxa"/>
            <w:tcBorders>
              <w:top w:val="nil"/>
              <w:left w:val="nil"/>
              <w:bottom w:val="single" w:sz="4" w:space="0" w:color="auto"/>
              <w:right w:val="single" w:sz="4" w:space="0" w:color="auto"/>
            </w:tcBorders>
            <w:shd w:val="clear" w:color="auto" w:fill="auto"/>
            <w:noWrap/>
            <w:vAlign w:val="center"/>
            <w:hideMark/>
          </w:tcPr>
          <w:p w14:paraId="6AEA33E1" w14:textId="77777777" w:rsidR="008212AE" w:rsidRPr="00D944E8" w:rsidRDefault="008212AE" w:rsidP="003F3F98">
            <w:pPr>
              <w:keepNext/>
              <w:spacing w:after="0" w:line="240" w:lineRule="auto"/>
              <w:rPr>
                <w:szCs w:val="20"/>
                <w:lang w:eastAsia="en-SG"/>
              </w:rPr>
            </w:pPr>
            <w:r w:rsidRPr="00D944E8">
              <w:rPr>
                <w:szCs w:val="20"/>
                <w:lang w:eastAsia="en-SG"/>
              </w:rPr>
              <w:t>77.3%</w:t>
            </w:r>
          </w:p>
        </w:tc>
      </w:tr>
      <w:tr w:rsidR="008212AE" w:rsidRPr="00D944E8" w14:paraId="64F9BE57"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4CC6245F" w14:textId="77777777" w:rsidR="008212AE" w:rsidRPr="00D944E8" w:rsidRDefault="008212AE" w:rsidP="003F3F98">
            <w:pPr>
              <w:keepNext/>
              <w:spacing w:after="0" w:line="240" w:lineRule="auto"/>
              <w:rPr>
                <w:szCs w:val="20"/>
                <w:lang w:eastAsia="en-SG"/>
              </w:rPr>
            </w:pPr>
            <w:r w:rsidRPr="00D944E8">
              <w:rPr>
                <w:szCs w:val="20"/>
                <w:lang w:eastAsia="en-SG"/>
              </w:rPr>
              <w:t>Maharashtra</w:t>
            </w:r>
          </w:p>
        </w:tc>
        <w:tc>
          <w:tcPr>
            <w:tcW w:w="1673" w:type="dxa"/>
            <w:tcBorders>
              <w:top w:val="nil"/>
              <w:left w:val="nil"/>
              <w:bottom w:val="single" w:sz="4" w:space="0" w:color="auto"/>
              <w:right w:val="single" w:sz="4" w:space="0" w:color="auto"/>
            </w:tcBorders>
            <w:shd w:val="clear" w:color="auto" w:fill="auto"/>
            <w:noWrap/>
            <w:vAlign w:val="center"/>
            <w:hideMark/>
          </w:tcPr>
          <w:p w14:paraId="686E34C3" w14:textId="77777777" w:rsidR="008212AE" w:rsidRPr="00D944E8" w:rsidRDefault="008212AE" w:rsidP="003F3F98">
            <w:pPr>
              <w:keepNext/>
              <w:spacing w:after="0" w:line="240" w:lineRule="auto"/>
              <w:rPr>
                <w:szCs w:val="20"/>
                <w:lang w:eastAsia="en-SG"/>
              </w:rPr>
            </w:pPr>
            <w:r w:rsidRPr="00D944E8">
              <w:rPr>
                <w:szCs w:val="20"/>
                <w:lang w:eastAsia="en-SG"/>
              </w:rPr>
              <w:t>92.5%</w:t>
            </w:r>
          </w:p>
        </w:tc>
        <w:tc>
          <w:tcPr>
            <w:tcW w:w="1673" w:type="dxa"/>
            <w:tcBorders>
              <w:top w:val="nil"/>
              <w:left w:val="nil"/>
              <w:bottom w:val="single" w:sz="4" w:space="0" w:color="auto"/>
              <w:right w:val="single" w:sz="4" w:space="0" w:color="auto"/>
            </w:tcBorders>
            <w:shd w:val="clear" w:color="auto" w:fill="auto"/>
            <w:noWrap/>
            <w:vAlign w:val="center"/>
            <w:hideMark/>
          </w:tcPr>
          <w:p w14:paraId="66EB1E64" w14:textId="77777777" w:rsidR="008212AE" w:rsidRPr="00D944E8" w:rsidRDefault="008212AE" w:rsidP="003F3F98">
            <w:pPr>
              <w:keepNext/>
              <w:spacing w:after="0" w:line="240" w:lineRule="auto"/>
              <w:rPr>
                <w:szCs w:val="20"/>
                <w:lang w:eastAsia="en-SG"/>
              </w:rPr>
            </w:pPr>
            <w:r w:rsidRPr="00D944E8">
              <w:rPr>
                <w:szCs w:val="20"/>
                <w:lang w:eastAsia="en-SG"/>
              </w:rPr>
              <w:t>92.2%</w:t>
            </w:r>
          </w:p>
        </w:tc>
      </w:tr>
      <w:tr w:rsidR="008212AE" w:rsidRPr="00D944E8" w14:paraId="6E04A080"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5C07EB8B" w14:textId="77777777" w:rsidR="008212AE" w:rsidRPr="00D944E8" w:rsidRDefault="008212AE" w:rsidP="003F3F98">
            <w:pPr>
              <w:keepNext/>
              <w:spacing w:after="0" w:line="240" w:lineRule="auto"/>
              <w:rPr>
                <w:szCs w:val="20"/>
                <w:lang w:eastAsia="en-SG"/>
              </w:rPr>
            </w:pPr>
            <w:r w:rsidRPr="00D944E8">
              <w:rPr>
                <w:szCs w:val="20"/>
                <w:lang w:eastAsia="en-SG"/>
              </w:rPr>
              <w:t>Meghalaya</w:t>
            </w:r>
          </w:p>
        </w:tc>
        <w:tc>
          <w:tcPr>
            <w:tcW w:w="1673" w:type="dxa"/>
            <w:tcBorders>
              <w:top w:val="nil"/>
              <w:left w:val="nil"/>
              <w:bottom w:val="single" w:sz="4" w:space="0" w:color="auto"/>
              <w:right w:val="single" w:sz="4" w:space="0" w:color="auto"/>
            </w:tcBorders>
            <w:shd w:val="clear" w:color="auto" w:fill="auto"/>
            <w:noWrap/>
            <w:vAlign w:val="center"/>
            <w:hideMark/>
          </w:tcPr>
          <w:p w14:paraId="36E40877" w14:textId="77777777" w:rsidR="008212AE" w:rsidRPr="00D944E8" w:rsidRDefault="008212AE" w:rsidP="003F3F98">
            <w:pPr>
              <w:keepNext/>
              <w:spacing w:after="0" w:line="240" w:lineRule="auto"/>
              <w:rPr>
                <w:szCs w:val="20"/>
                <w:lang w:eastAsia="en-SG"/>
              </w:rPr>
            </w:pPr>
            <w:r w:rsidRPr="00D944E8">
              <w:rPr>
                <w:szCs w:val="20"/>
                <w:lang w:eastAsia="en-SG"/>
              </w:rPr>
              <w:t>0.0%</w:t>
            </w:r>
          </w:p>
        </w:tc>
        <w:tc>
          <w:tcPr>
            <w:tcW w:w="1673" w:type="dxa"/>
            <w:tcBorders>
              <w:top w:val="nil"/>
              <w:left w:val="nil"/>
              <w:bottom w:val="single" w:sz="4" w:space="0" w:color="auto"/>
              <w:right w:val="single" w:sz="4" w:space="0" w:color="auto"/>
            </w:tcBorders>
            <w:shd w:val="clear" w:color="auto" w:fill="auto"/>
            <w:noWrap/>
            <w:vAlign w:val="center"/>
            <w:hideMark/>
          </w:tcPr>
          <w:p w14:paraId="65259651" w14:textId="77777777" w:rsidR="008212AE" w:rsidRPr="00D944E8" w:rsidRDefault="008212AE" w:rsidP="003F3F98">
            <w:pPr>
              <w:keepNext/>
              <w:spacing w:after="0" w:line="240" w:lineRule="auto"/>
              <w:rPr>
                <w:szCs w:val="20"/>
                <w:lang w:eastAsia="en-SG"/>
              </w:rPr>
            </w:pPr>
            <w:r w:rsidRPr="00D944E8">
              <w:rPr>
                <w:color w:val="808080" w:themeColor="background1" w:themeShade="80"/>
                <w:szCs w:val="20"/>
                <w:lang w:eastAsia="en-SG"/>
              </w:rPr>
              <w:t>NA</w:t>
            </w:r>
          </w:p>
        </w:tc>
      </w:tr>
      <w:tr w:rsidR="008212AE" w:rsidRPr="00D944E8" w14:paraId="769DD57E"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428E511A" w14:textId="77777777" w:rsidR="008212AE" w:rsidRPr="00D944E8" w:rsidRDefault="008212AE" w:rsidP="003F3F98">
            <w:pPr>
              <w:keepNext/>
              <w:spacing w:after="0" w:line="240" w:lineRule="auto"/>
              <w:rPr>
                <w:szCs w:val="20"/>
                <w:lang w:eastAsia="en-SG"/>
              </w:rPr>
            </w:pPr>
            <w:r w:rsidRPr="00D944E8">
              <w:rPr>
                <w:szCs w:val="20"/>
                <w:lang w:eastAsia="en-SG"/>
              </w:rPr>
              <w:t>Odisha</w:t>
            </w:r>
          </w:p>
        </w:tc>
        <w:tc>
          <w:tcPr>
            <w:tcW w:w="1673" w:type="dxa"/>
            <w:tcBorders>
              <w:top w:val="nil"/>
              <w:left w:val="nil"/>
              <w:bottom w:val="single" w:sz="4" w:space="0" w:color="auto"/>
              <w:right w:val="single" w:sz="4" w:space="0" w:color="auto"/>
            </w:tcBorders>
            <w:shd w:val="clear" w:color="auto" w:fill="auto"/>
            <w:noWrap/>
            <w:vAlign w:val="center"/>
            <w:hideMark/>
          </w:tcPr>
          <w:p w14:paraId="68CA1CFF" w14:textId="77777777" w:rsidR="008212AE" w:rsidRPr="00D944E8" w:rsidRDefault="008212AE" w:rsidP="003F3F98">
            <w:pPr>
              <w:keepNext/>
              <w:spacing w:after="0" w:line="240" w:lineRule="auto"/>
              <w:rPr>
                <w:szCs w:val="20"/>
                <w:lang w:eastAsia="en-SG"/>
              </w:rPr>
            </w:pPr>
            <w:r w:rsidRPr="00D944E8">
              <w:rPr>
                <w:szCs w:val="20"/>
                <w:lang w:eastAsia="en-SG"/>
              </w:rPr>
              <w:t>99.2%</w:t>
            </w:r>
          </w:p>
        </w:tc>
        <w:tc>
          <w:tcPr>
            <w:tcW w:w="1673" w:type="dxa"/>
            <w:tcBorders>
              <w:top w:val="nil"/>
              <w:left w:val="nil"/>
              <w:bottom w:val="single" w:sz="4" w:space="0" w:color="auto"/>
              <w:right w:val="single" w:sz="4" w:space="0" w:color="auto"/>
            </w:tcBorders>
            <w:shd w:val="clear" w:color="auto" w:fill="auto"/>
            <w:noWrap/>
            <w:vAlign w:val="center"/>
            <w:hideMark/>
          </w:tcPr>
          <w:p w14:paraId="2CC75893" w14:textId="77777777" w:rsidR="008212AE" w:rsidRPr="00D944E8" w:rsidRDefault="008212AE" w:rsidP="003F3F98">
            <w:pPr>
              <w:keepNext/>
              <w:spacing w:after="0" w:line="240" w:lineRule="auto"/>
              <w:rPr>
                <w:szCs w:val="20"/>
                <w:lang w:eastAsia="en-SG"/>
              </w:rPr>
            </w:pPr>
            <w:r w:rsidRPr="00D944E8">
              <w:rPr>
                <w:szCs w:val="20"/>
                <w:lang w:eastAsia="en-SG"/>
              </w:rPr>
              <w:t>97.5%</w:t>
            </w:r>
          </w:p>
        </w:tc>
      </w:tr>
      <w:tr w:rsidR="008212AE" w:rsidRPr="00D944E8" w14:paraId="44F08BDE"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201437AA" w14:textId="77777777" w:rsidR="008212AE" w:rsidRPr="00D944E8" w:rsidRDefault="008212AE" w:rsidP="003F3F98">
            <w:pPr>
              <w:keepNext/>
              <w:spacing w:after="0" w:line="240" w:lineRule="auto"/>
              <w:rPr>
                <w:szCs w:val="20"/>
                <w:lang w:eastAsia="en-SG"/>
              </w:rPr>
            </w:pPr>
            <w:r w:rsidRPr="00D944E8">
              <w:rPr>
                <w:szCs w:val="20"/>
                <w:lang w:eastAsia="en-SG"/>
              </w:rPr>
              <w:t>Puducherry</w:t>
            </w:r>
          </w:p>
        </w:tc>
        <w:tc>
          <w:tcPr>
            <w:tcW w:w="1673" w:type="dxa"/>
            <w:tcBorders>
              <w:top w:val="nil"/>
              <w:left w:val="nil"/>
              <w:bottom w:val="single" w:sz="4" w:space="0" w:color="auto"/>
              <w:right w:val="single" w:sz="4" w:space="0" w:color="auto"/>
            </w:tcBorders>
            <w:shd w:val="clear" w:color="auto" w:fill="auto"/>
            <w:noWrap/>
            <w:vAlign w:val="center"/>
            <w:hideMark/>
          </w:tcPr>
          <w:p w14:paraId="42A83605" w14:textId="77777777" w:rsidR="008212AE" w:rsidRPr="00D944E8" w:rsidRDefault="008212AE" w:rsidP="003F3F98">
            <w:pPr>
              <w:keepNext/>
              <w:spacing w:after="0" w:line="240" w:lineRule="auto"/>
              <w:rPr>
                <w:szCs w:val="20"/>
                <w:lang w:eastAsia="en-SG"/>
              </w:rPr>
            </w:pPr>
            <w:r w:rsidRPr="00D944E8">
              <w:rPr>
                <w:szCs w:val="20"/>
                <w:lang w:eastAsia="en-SG"/>
              </w:rPr>
              <w:t>78.3%</w:t>
            </w:r>
          </w:p>
        </w:tc>
        <w:tc>
          <w:tcPr>
            <w:tcW w:w="1673" w:type="dxa"/>
            <w:tcBorders>
              <w:top w:val="nil"/>
              <w:left w:val="nil"/>
              <w:bottom w:val="single" w:sz="4" w:space="0" w:color="auto"/>
              <w:right w:val="single" w:sz="4" w:space="0" w:color="auto"/>
            </w:tcBorders>
            <w:shd w:val="clear" w:color="auto" w:fill="auto"/>
            <w:noWrap/>
            <w:vAlign w:val="center"/>
            <w:hideMark/>
          </w:tcPr>
          <w:p w14:paraId="4A2D3FAC" w14:textId="77777777" w:rsidR="008212AE" w:rsidRPr="00D944E8" w:rsidRDefault="008212AE" w:rsidP="003F3F98">
            <w:pPr>
              <w:keepNext/>
              <w:spacing w:after="0" w:line="240" w:lineRule="auto"/>
              <w:rPr>
                <w:szCs w:val="20"/>
                <w:lang w:eastAsia="en-SG"/>
              </w:rPr>
            </w:pPr>
            <w:r w:rsidRPr="00D944E8">
              <w:rPr>
                <w:color w:val="808080" w:themeColor="background1" w:themeShade="80"/>
                <w:szCs w:val="20"/>
                <w:lang w:eastAsia="en-SG"/>
              </w:rPr>
              <w:t>NA</w:t>
            </w:r>
          </w:p>
        </w:tc>
      </w:tr>
      <w:tr w:rsidR="008212AE" w:rsidRPr="00D944E8" w14:paraId="7D05D286"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5B328A14" w14:textId="77777777" w:rsidR="008212AE" w:rsidRPr="00D944E8" w:rsidRDefault="008212AE" w:rsidP="003F3F98">
            <w:pPr>
              <w:keepNext/>
              <w:spacing w:after="0" w:line="240" w:lineRule="auto"/>
              <w:rPr>
                <w:szCs w:val="20"/>
                <w:lang w:eastAsia="en-SG"/>
              </w:rPr>
            </w:pPr>
            <w:r w:rsidRPr="00D944E8">
              <w:rPr>
                <w:szCs w:val="20"/>
                <w:lang w:eastAsia="en-SG"/>
              </w:rPr>
              <w:t>Punjab</w:t>
            </w:r>
          </w:p>
        </w:tc>
        <w:tc>
          <w:tcPr>
            <w:tcW w:w="1673" w:type="dxa"/>
            <w:tcBorders>
              <w:top w:val="nil"/>
              <w:left w:val="nil"/>
              <w:bottom w:val="single" w:sz="4" w:space="0" w:color="auto"/>
              <w:right w:val="single" w:sz="4" w:space="0" w:color="auto"/>
            </w:tcBorders>
            <w:shd w:val="clear" w:color="auto" w:fill="auto"/>
            <w:noWrap/>
            <w:vAlign w:val="center"/>
            <w:hideMark/>
          </w:tcPr>
          <w:p w14:paraId="3CE81794" w14:textId="77777777" w:rsidR="008212AE" w:rsidRPr="00D944E8" w:rsidRDefault="008212AE" w:rsidP="003F3F98">
            <w:pPr>
              <w:keepNext/>
              <w:spacing w:after="0" w:line="240" w:lineRule="auto"/>
              <w:rPr>
                <w:szCs w:val="20"/>
                <w:lang w:eastAsia="en-SG"/>
              </w:rPr>
            </w:pPr>
            <w:r w:rsidRPr="00D944E8">
              <w:rPr>
                <w:szCs w:val="20"/>
                <w:lang w:eastAsia="en-SG"/>
              </w:rPr>
              <w:t>94.6%</w:t>
            </w:r>
          </w:p>
        </w:tc>
        <w:tc>
          <w:tcPr>
            <w:tcW w:w="1673" w:type="dxa"/>
            <w:tcBorders>
              <w:top w:val="nil"/>
              <w:left w:val="nil"/>
              <w:bottom w:val="single" w:sz="4" w:space="0" w:color="auto"/>
              <w:right w:val="single" w:sz="4" w:space="0" w:color="auto"/>
            </w:tcBorders>
            <w:shd w:val="clear" w:color="auto" w:fill="auto"/>
            <w:noWrap/>
            <w:vAlign w:val="center"/>
            <w:hideMark/>
          </w:tcPr>
          <w:p w14:paraId="2EDD5B57" w14:textId="77777777" w:rsidR="008212AE" w:rsidRPr="00D944E8" w:rsidRDefault="008212AE" w:rsidP="003F3F98">
            <w:pPr>
              <w:keepNext/>
              <w:spacing w:after="0" w:line="240" w:lineRule="auto"/>
              <w:rPr>
                <w:szCs w:val="20"/>
                <w:lang w:eastAsia="en-SG"/>
              </w:rPr>
            </w:pPr>
            <w:r w:rsidRPr="00D944E8">
              <w:rPr>
                <w:szCs w:val="20"/>
                <w:lang w:eastAsia="en-SG"/>
              </w:rPr>
              <w:t>77.2%</w:t>
            </w:r>
          </w:p>
        </w:tc>
      </w:tr>
      <w:tr w:rsidR="008212AE" w:rsidRPr="00D944E8" w14:paraId="4654B8BA"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636A482D" w14:textId="77777777" w:rsidR="008212AE" w:rsidRPr="00D944E8" w:rsidRDefault="008212AE" w:rsidP="003F3F98">
            <w:pPr>
              <w:keepNext/>
              <w:spacing w:after="0" w:line="240" w:lineRule="auto"/>
              <w:rPr>
                <w:szCs w:val="20"/>
                <w:lang w:eastAsia="en-SG"/>
              </w:rPr>
            </w:pPr>
            <w:r w:rsidRPr="00D944E8">
              <w:rPr>
                <w:szCs w:val="20"/>
                <w:lang w:eastAsia="en-SG"/>
              </w:rPr>
              <w:t>Rajasthan</w:t>
            </w:r>
          </w:p>
        </w:tc>
        <w:tc>
          <w:tcPr>
            <w:tcW w:w="1673" w:type="dxa"/>
            <w:tcBorders>
              <w:top w:val="nil"/>
              <w:left w:val="nil"/>
              <w:bottom w:val="single" w:sz="4" w:space="0" w:color="auto"/>
              <w:right w:val="single" w:sz="4" w:space="0" w:color="auto"/>
            </w:tcBorders>
            <w:shd w:val="clear" w:color="auto" w:fill="auto"/>
            <w:noWrap/>
            <w:vAlign w:val="center"/>
            <w:hideMark/>
          </w:tcPr>
          <w:p w14:paraId="7F5FDCF5" w14:textId="77777777" w:rsidR="008212AE" w:rsidRPr="00D944E8" w:rsidRDefault="008212AE" w:rsidP="003F3F98">
            <w:pPr>
              <w:keepNext/>
              <w:spacing w:after="0" w:line="240" w:lineRule="auto"/>
              <w:rPr>
                <w:szCs w:val="20"/>
                <w:lang w:eastAsia="en-SG"/>
              </w:rPr>
            </w:pPr>
            <w:r w:rsidRPr="00D944E8">
              <w:rPr>
                <w:szCs w:val="20"/>
                <w:lang w:eastAsia="en-SG"/>
              </w:rPr>
              <w:t>90.0%</w:t>
            </w:r>
          </w:p>
        </w:tc>
        <w:tc>
          <w:tcPr>
            <w:tcW w:w="1673" w:type="dxa"/>
            <w:tcBorders>
              <w:top w:val="nil"/>
              <w:left w:val="nil"/>
              <w:bottom w:val="single" w:sz="4" w:space="0" w:color="auto"/>
              <w:right w:val="single" w:sz="4" w:space="0" w:color="auto"/>
            </w:tcBorders>
            <w:shd w:val="clear" w:color="auto" w:fill="auto"/>
            <w:noWrap/>
            <w:vAlign w:val="center"/>
            <w:hideMark/>
          </w:tcPr>
          <w:p w14:paraId="1BAC9173" w14:textId="77777777" w:rsidR="008212AE" w:rsidRPr="00D944E8" w:rsidRDefault="008212AE" w:rsidP="003F3F98">
            <w:pPr>
              <w:keepNext/>
              <w:spacing w:after="0" w:line="240" w:lineRule="auto"/>
              <w:rPr>
                <w:szCs w:val="20"/>
                <w:lang w:eastAsia="en-SG"/>
              </w:rPr>
            </w:pPr>
            <w:r w:rsidRPr="00D944E8">
              <w:rPr>
                <w:szCs w:val="20"/>
                <w:lang w:eastAsia="en-SG"/>
              </w:rPr>
              <w:t>51.6%</w:t>
            </w:r>
          </w:p>
        </w:tc>
      </w:tr>
      <w:tr w:rsidR="008212AE" w:rsidRPr="00D944E8" w14:paraId="2DA5B6FC"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3B3F8A24" w14:textId="77777777" w:rsidR="008212AE" w:rsidRPr="00D944E8" w:rsidRDefault="008212AE" w:rsidP="003F3F98">
            <w:pPr>
              <w:keepNext/>
              <w:spacing w:after="0" w:line="240" w:lineRule="auto"/>
              <w:rPr>
                <w:szCs w:val="20"/>
                <w:lang w:eastAsia="en-SG"/>
              </w:rPr>
            </w:pPr>
            <w:r w:rsidRPr="00D944E8">
              <w:rPr>
                <w:szCs w:val="20"/>
                <w:lang w:eastAsia="en-SG"/>
              </w:rPr>
              <w:t>Sikkim</w:t>
            </w:r>
          </w:p>
        </w:tc>
        <w:tc>
          <w:tcPr>
            <w:tcW w:w="1673" w:type="dxa"/>
            <w:tcBorders>
              <w:top w:val="nil"/>
              <w:left w:val="nil"/>
              <w:bottom w:val="single" w:sz="4" w:space="0" w:color="auto"/>
              <w:right w:val="single" w:sz="4" w:space="0" w:color="auto"/>
            </w:tcBorders>
            <w:shd w:val="clear" w:color="auto" w:fill="auto"/>
            <w:noWrap/>
            <w:vAlign w:val="center"/>
            <w:hideMark/>
          </w:tcPr>
          <w:p w14:paraId="0FA3675D" w14:textId="77777777" w:rsidR="008212AE" w:rsidRPr="00D944E8" w:rsidRDefault="008212AE" w:rsidP="003F3F98">
            <w:pPr>
              <w:keepNext/>
              <w:spacing w:after="0" w:line="240" w:lineRule="auto"/>
              <w:rPr>
                <w:szCs w:val="20"/>
                <w:lang w:eastAsia="en-SG"/>
              </w:rPr>
            </w:pPr>
            <w:r w:rsidRPr="00D944E8">
              <w:rPr>
                <w:szCs w:val="20"/>
                <w:lang w:eastAsia="en-SG"/>
              </w:rPr>
              <w:t>98.0%</w:t>
            </w:r>
          </w:p>
        </w:tc>
        <w:tc>
          <w:tcPr>
            <w:tcW w:w="1673" w:type="dxa"/>
            <w:tcBorders>
              <w:top w:val="nil"/>
              <w:left w:val="nil"/>
              <w:bottom w:val="single" w:sz="4" w:space="0" w:color="auto"/>
              <w:right w:val="single" w:sz="4" w:space="0" w:color="auto"/>
            </w:tcBorders>
            <w:shd w:val="clear" w:color="auto" w:fill="auto"/>
            <w:noWrap/>
            <w:vAlign w:val="center"/>
            <w:hideMark/>
          </w:tcPr>
          <w:p w14:paraId="0AC11DED" w14:textId="77777777" w:rsidR="008212AE" w:rsidRPr="00D944E8" w:rsidRDefault="008212AE" w:rsidP="003F3F98">
            <w:pPr>
              <w:keepNext/>
              <w:spacing w:after="0" w:line="240" w:lineRule="auto"/>
              <w:rPr>
                <w:szCs w:val="20"/>
                <w:lang w:eastAsia="en-SG"/>
              </w:rPr>
            </w:pPr>
            <w:r w:rsidRPr="00D944E8">
              <w:rPr>
                <w:color w:val="808080" w:themeColor="background1" w:themeShade="80"/>
                <w:szCs w:val="20"/>
                <w:lang w:eastAsia="en-SG"/>
              </w:rPr>
              <w:t>NA</w:t>
            </w:r>
          </w:p>
        </w:tc>
      </w:tr>
      <w:tr w:rsidR="008212AE" w:rsidRPr="00D944E8" w14:paraId="6895FC7A"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4969A9A1" w14:textId="77777777" w:rsidR="008212AE" w:rsidRPr="00D944E8" w:rsidRDefault="008212AE" w:rsidP="003F3F98">
            <w:pPr>
              <w:keepNext/>
              <w:spacing w:after="0" w:line="240" w:lineRule="auto"/>
              <w:rPr>
                <w:szCs w:val="20"/>
                <w:lang w:eastAsia="en-SG"/>
              </w:rPr>
            </w:pPr>
            <w:r w:rsidRPr="00D944E8">
              <w:rPr>
                <w:szCs w:val="20"/>
                <w:lang w:eastAsia="en-SG"/>
              </w:rPr>
              <w:t>Tamil Nadu</w:t>
            </w:r>
          </w:p>
        </w:tc>
        <w:tc>
          <w:tcPr>
            <w:tcW w:w="1673" w:type="dxa"/>
            <w:tcBorders>
              <w:top w:val="nil"/>
              <w:left w:val="nil"/>
              <w:bottom w:val="single" w:sz="4" w:space="0" w:color="auto"/>
              <w:right w:val="single" w:sz="4" w:space="0" w:color="auto"/>
            </w:tcBorders>
            <w:shd w:val="clear" w:color="auto" w:fill="auto"/>
            <w:noWrap/>
            <w:vAlign w:val="center"/>
            <w:hideMark/>
          </w:tcPr>
          <w:p w14:paraId="759D5549" w14:textId="77777777" w:rsidR="008212AE" w:rsidRPr="00D944E8" w:rsidRDefault="008212AE" w:rsidP="003F3F98">
            <w:pPr>
              <w:keepNext/>
              <w:spacing w:after="0" w:line="240" w:lineRule="auto"/>
              <w:rPr>
                <w:szCs w:val="20"/>
                <w:lang w:eastAsia="en-SG"/>
              </w:rPr>
            </w:pPr>
            <w:r w:rsidRPr="00D944E8">
              <w:rPr>
                <w:szCs w:val="20"/>
                <w:lang w:eastAsia="en-SG"/>
              </w:rPr>
              <w:t>83.0%</w:t>
            </w:r>
          </w:p>
        </w:tc>
        <w:tc>
          <w:tcPr>
            <w:tcW w:w="1673" w:type="dxa"/>
            <w:tcBorders>
              <w:top w:val="nil"/>
              <w:left w:val="nil"/>
              <w:bottom w:val="single" w:sz="4" w:space="0" w:color="auto"/>
              <w:right w:val="single" w:sz="4" w:space="0" w:color="auto"/>
            </w:tcBorders>
            <w:shd w:val="clear" w:color="auto" w:fill="auto"/>
            <w:noWrap/>
            <w:vAlign w:val="center"/>
            <w:hideMark/>
          </w:tcPr>
          <w:p w14:paraId="2FDDBC85" w14:textId="77777777" w:rsidR="008212AE" w:rsidRPr="00D944E8" w:rsidRDefault="008212AE" w:rsidP="003F3F98">
            <w:pPr>
              <w:keepNext/>
              <w:spacing w:after="0" w:line="240" w:lineRule="auto"/>
              <w:rPr>
                <w:szCs w:val="20"/>
                <w:lang w:eastAsia="en-SG"/>
              </w:rPr>
            </w:pPr>
            <w:r w:rsidRPr="00D944E8">
              <w:rPr>
                <w:szCs w:val="20"/>
                <w:lang w:eastAsia="en-SG"/>
              </w:rPr>
              <w:t>76.9%</w:t>
            </w:r>
          </w:p>
        </w:tc>
      </w:tr>
      <w:tr w:rsidR="008212AE" w:rsidRPr="00D944E8" w14:paraId="0F6D02C1"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5D03BD12" w14:textId="77777777" w:rsidR="008212AE" w:rsidRPr="00D944E8" w:rsidRDefault="008212AE" w:rsidP="003F3F98">
            <w:pPr>
              <w:keepNext/>
              <w:spacing w:after="0" w:line="240" w:lineRule="auto"/>
              <w:rPr>
                <w:szCs w:val="20"/>
                <w:lang w:eastAsia="en-SG"/>
              </w:rPr>
            </w:pPr>
            <w:r w:rsidRPr="00D944E8">
              <w:rPr>
                <w:szCs w:val="20"/>
                <w:lang w:eastAsia="en-SG"/>
              </w:rPr>
              <w:t>Telangana</w:t>
            </w:r>
          </w:p>
        </w:tc>
        <w:tc>
          <w:tcPr>
            <w:tcW w:w="1673" w:type="dxa"/>
            <w:tcBorders>
              <w:top w:val="nil"/>
              <w:left w:val="nil"/>
              <w:bottom w:val="single" w:sz="4" w:space="0" w:color="auto"/>
              <w:right w:val="single" w:sz="4" w:space="0" w:color="auto"/>
            </w:tcBorders>
            <w:shd w:val="clear" w:color="auto" w:fill="auto"/>
            <w:noWrap/>
            <w:vAlign w:val="center"/>
            <w:hideMark/>
          </w:tcPr>
          <w:p w14:paraId="737932D4" w14:textId="77777777" w:rsidR="008212AE" w:rsidRPr="00D944E8" w:rsidRDefault="008212AE" w:rsidP="003F3F98">
            <w:pPr>
              <w:keepNext/>
              <w:spacing w:after="0" w:line="240" w:lineRule="auto"/>
              <w:rPr>
                <w:szCs w:val="20"/>
                <w:lang w:eastAsia="en-SG"/>
              </w:rPr>
            </w:pPr>
            <w:r w:rsidRPr="00D944E8">
              <w:rPr>
                <w:szCs w:val="20"/>
                <w:lang w:eastAsia="en-SG"/>
              </w:rPr>
              <w:t>96.7%</w:t>
            </w:r>
          </w:p>
        </w:tc>
        <w:tc>
          <w:tcPr>
            <w:tcW w:w="1673" w:type="dxa"/>
            <w:tcBorders>
              <w:top w:val="nil"/>
              <w:left w:val="nil"/>
              <w:bottom w:val="single" w:sz="4" w:space="0" w:color="auto"/>
              <w:right w:val="single" w:sz="4" w:space="0" w:color="auto"/>
            </w:tcBorders>
            <w:shd w:val="clear" w:color="auto" w:fill="auto"/>
            <w:noWrap/>
            <w:vAlign w:val="center"/>
            <w:hideMark/>
          </w:tcPr>
          <w:p w14:paraId="0B9FE050" w14:textId="77777777" w:rsidR="008212AE" w:rsidRPr="00D944E8" w:rsidRDefault="008212AE" w:rsidP="003F3F98">
            <w:pPr>
              <w:keepNext/>
              <w:spacing w:after="0" w:line="240" w:lineRule="auto"/>
              <w:rPr>
                <w:color w:val="808080" w:themeColor="background1" w:themeShade="80"/>
                <w:szCs w:val="20"/>
                <w:lang w:eastAsia="en-SG"/>
              </w:rPr>
            </w:pPr>
            <w:r w:rsidRPr="00D944E8">
              <w:rPr>
                <w:color w:val="808080" w:themeColor="background1" w:themeShade="80"/>
                <w:szCs w:val="20"/>
                <w:lang w:eastAsia="en-SG"/>
              </w:rPr>
              <w:t>NA</w:t>
            </w:r>
          </w:p>
        </w:tc>
      </w:tr>
      <w:tr w:rsidR="008212AE" w:rsidRPr="00D944E8" w14:paraId="1CAB8978"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640F6799" w14:textId="77777777" w:rsidR="008212AE" w:rsidRPr="00D944E8" w:rsidRDefault="008212AE" w:rsidP="003F3F98">
            <w:pPr>
              <w:keepNext/>
              <w:spacing w:after="0" w:line="240" w:lineRule="auto"/>
              <w:rPr>
                <w:szCs w:val="20"/>
                <w:lang w:eastAsia="en-SG"/>
              </w:rPr>
            </w:pPr>
            <w:r w:rsidRPr="00D944E8">
              <w:rPr>
                <w:szCs w:val="20"/>
                <w:lang w:eastAsia="en-SG"/>
              </w:rPr>
              <w:t>Tripura</w:t>
            </w:r>
          </w:p>
        </w:tc>
        <w:tc>
          <w:tcPr>
            <w:tcW w:w="1673" w:type="dxa"/>
            <w:tcBorders>
              <w:top w:val="nil"/>
              <w:left w:val="nil"/>
              <w:bottom w:val="single" w:sz="4" w:space="0" w:color="auto"/>
              <w:right w:val="single" w:sz="4" w:space="0" w:color="auto"/>
            </w:tcBorders>
            <w:shd w:val="clear" w:color="auto" w:fill="auto"/>
            <w:noWrap/>
            <w:vAlign w:val="center"/>
            <w:hideMark/>
          </w:tcPr>
          <w:p w14:paraId="3E064F58" w14:textId="77777777" w:rsidR="008212AE" w:rsidRPr="00D944E8" w:rsidRDefault="008212AE" w:rsidP="003F3F98">
            <w:pPr>
              <w:keepNext/>
              <w:spacing w:after="0" w:line="240" w:lineRule="auto"/>
              <w:rPr>
                <w:szCs w:val="20"/>
                <w:lang w:eastAsia="en-SG"/>
              </w:rPr>
            </w:pPr>
            <w:r w:rsidRPr="00D944E8">
              <w:rPr>
                <w:szCs w:val="20"/>
                <w:lang w:eastAsia="en-SG"/>
              </w:rPr>
              <w:t>65.3%</w:t>
            </w:r>
          </w:p>
        </w:tc>
        <w:tc>
          <w:tcPr>
            <w:tcW w:w="1673" w:type="dxa"/>
            <w:tcBorders>
              <w:top w:val="nil"/>
              <w:left w:val="nil"/>
              <w:bottom w:val="single" w:sz="4" w:space="0" w:color="auto"/>
              <w:right w:val="single" w:sz="4" w:space="0" w:color="auto"/>
            </w:tcBorders>
            <w:shd w:val="clear" w:color="auto" w:fill="auto"/>
            <w:noWrap/>
            <w:vAlign w:val="center"/>
            <w:hideMark/>
          </w:tcPr>
          <w:p w14:paraId="131EB8FD" w14:textId="77777777" w:rsidR="008212AE" w:rsidRPr="00D944E8" w:rsidRDefault="008212AE" w:rsidP="003F3F98">
            <w:pPr>
              <w:keepNext/>
              <w:spacing w:after="0" w:line="240" w:lineRule="auto"/>
              <w:rPr>
                <w:color w:val="808080" w:themeColor="background1" w:themeShade="80"/>
                <w:szCs w:val="20"/>
                <w:lang w:eastAsia="en-SG"/>
              </w:rPr>
            </w:pPr>
            <w:r w:rsidRPr="00D944E8">
              <w:rPr>
                <w:color w:val="808080" w:themeColor="background1" w:themeShade="80"/>
                <w:szCs w:val="20"/>
                <w:lang w:eastAsia="en-SG"/>
              </w:rPr>
              <w:t>NA</w:t>
            </w:r>
          </w:p>
        </w:tc>
      </w:tr>
      <w:tr w:rsidR="008212AE" w:rsidRPr="00D944E8" w14:paraId="1ACE5049"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7BC585F9" w14:textId="77777777" w:rsidR="008212AE" w:rsidRPr="00D944E8" w:rsidRDefault="008212AE" w:rsidP="003F3F98">
            <w:pPr>
              <w:keepNext/>
              <w:spacing w:after="0" w:line="240" w:lineRule="auto"/>
              <w:rPr>
                <w:szCs w:val="20"/>
                <w:lang w:eastAsia="en-SG"/>
              </w:rPr>
            </w:pPr>
            <w:r w:rsidRPr="00D944E8">
              <w:rPr>
                <w:szCs w:val="20"/>
                <w:lang w:eastAsia="en-SG"/>
              </w:rPr>
              <w:t>Uttar Pradesh</w:t>
            </w:r>
          </w:p>
        </w:tc>
        <w:tc>
          <w:tcPr>
            <w:tcW w:w="1673" w:type="dxa"/>
            <w:tcBorders>
              <w:top w:val="nil"/>
              <w:left w:val="nil"/>
              <w:bottom w:val="single" w:sz="4" w:space="0" w:color="auto"/>
              <w:right w:val="single" w:sz="4" w:space="0" w:color="auto"/>
            </w:tcBorders>
            <w:shd w:val="clear" w:color="auto" w:fill="auto"/>
            <w:noWrap/>
            <w:vAlign w:val="center"/>
            <w:hideMark/>
          </w:tcPr>
          <w:p w14:paraId="63B1A94D" w14:textId="77777777" w:rsidR="008212AE" w:rsidRPr="00D944E8" w:rsidRDefault="008212AE" w:rsidP="003F3F98">
            <w:pPr>
              <w:keepNext/>
              <w:spacing w:after="0" w:line="240" w:lineRule="auto"/>
              <w:rPr>
                <w:szCs w:val="20"/>
                <w:lang w:eastAsia="en-SG"/>
              </w:rPr>
            </w:pPr>
            <w:r w:rsidRPr="00D944E8">
              <w:rPr>
                <w:szCs w:val="20"/>
                <w:lang w:eastAsia="en-SG"/>
              </w:rPr>
              <w:t>93.7%</w:t>
            </w:r>
          </w:p>
        </w:tc>
        <w:tc>
          <w:tcPr>
            <w:tcW w:w="1673" w:type="dxa"/>
            <w:tcBorders>
              <w:top w:val="nil"/>
              <w:left w:val="nil"/>
              <w:bottom w:val="single" w:sz="4" w:space="0" w:color="auto"/>
              <w:right w:val="single" w:sz="4" w:space="0" w:color="auto"/>
            </w:tcBorders>
            <w:shd w:val="clear" w:color="auto" w:fill="auto"/>
            <w:noWrap/>
            <w:vAlign w:val="center"/>
            <w:hideMark/>
          </w:tcPr>
          <w:p w14:paraId="31B8D4F4" w14:textId="77777777" w:rsidR="008212AE" w:rsidRPr="00D944E8" w:rsidRDefault="008212AE" w:rsidP="003F3F98">
            <w:pPr>
              <w:keepNext/>
              <w:spacing w:after="0" w:line="240" w:lineRule="auto"/>
              <w:rPr>
                <w:szCs w:val="20"/>
                <w:lang w:eastAsia="en-SG"/>
              </w:rPr>
            </w:pPr>
            <w:r w:rsidRPr="00D944E8">
              <w:rPr>
                <w:szCs w:val="20"/>
                <w:lang w:eastAsia="en-SG"/>
              </w:rPr>
              <w:t>86.1%</w:t>
            </w:r>
          </w:p>
        </w:tc>
      </w:tr>
      <w:tr w:rsidR="008212AE" w:rsidRPr="00D944E8" w14:paraId="3702B427"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77EACA78" w14:textId="77777777" w:rsidR="008212AE" w:rsidRPr="00D944E8" w:rsidRDefault="008212AE" w:rsidP="003F3F98">
            <w:pPr>
              <w:keepNext/>
              <w:spacing w:after="0" w:line="240" w:lineRule="auto"/>
              <w:rPr>
                <w:szCs w:val="20"/>
                <w:lang w:eastAsia="en-SG"/>
              </w:rPr>
            </w:pPr>
            <w:r w:rsidRPr="00D944E8">
              <w:rPr>
                <w:szCs w:val="20"/>
                <w:lang w:eastAsia="en-SG"/>
              </w:rPr>
              <w:t>Uttarakhand</w:t>
            </w:r>
          </w:p>
        </w:tc>
        <w:tc>
          <w:tcPr>
            <w:tcW w:w="1673" w:type="dxa"/>
            <w:tcBorders>
              <w:top w:val="nil"/>
              <w:left w:val="nil"/>
              <w:bottom w:val="single" w:sz="4" w:space="0" w:color="auto"/>
              <w:right w:val="single" w:sz="4" w:space="0" w:color="auto"/>
            </w:tcBorders>
            <w:shd w:val="clear" w:color="auto" w:fill="auto"/>
            <w:noWrap/>
            <w:vAlign w:val="center"/>
            <w:hideMark/>
          </w:tcPr>
          <w:p w14:paraId="05666884" w14:textId="77777777" w:rsidR="008212AE" w:rsidRPr="00D944E8" w:rsidRDefault="008212AE" w:rsidP="003F3F98">
            <w:pPr>
              <w:keepNext/>
              <w:spacing w:after="0" w:line="240" w:lineRule="auto"/>
              <w:rPr>
                <w:szCs w:val="20"/>
                <w:lang w:eastAsia="en-SG"/>
              </w:rPr>
            </w:pPr>
            <w:r w:rsidRPr="00D944E8">
              <w:rPr>
                <w:szCs w:val="20"/>
                <w:lang w:eastAsia="en-SG"/>
              </w:rPr>
              <w:t>98.4%</w:t>
            </w:r>
          </w:p>
        </w:tc>
        <w:tc>
          <w:tcPr>
            <w:tcW w:w="1673" w:type="dxa"/>
            <w:tcBorders>
              <w:top w:val="nil"/>
              <w:left w:val="nil"/>
              <w:bottom w:val="single" w:sz="4" w:space="0" w:color="auto"/>
              <w:right w:val="single" w:sz="4" w:space="0" w:color="auto"/>
            </w:tcBorders>
            <w:shd w:val="clear" w:color="auto" w:fill="auto"/>
            <w:noWrap/>
            <w:vAlign w:val="center"/>
            <w:hideMark/>
          </w:tcPr>
          <w:p w14:paraId="44C43A70" w14:textId="77777777" w:rsidR="008212AE" w:rsidRPr="00D944E8" w:rsidRDefault="008212AE" w:rsidP="003F3F98">
            <w:pPr>
              <w:keepNext/>
              <w:spacing w:after="0" w:line="240" w:lineRule="auto"/>
              <w:rPr>
                <w:szCs w:val="20"/>
                <w:lang w:eastAsia="en-SG"/>
              </w:rPr>
            </w:pPr>
            <w:r w:rsidRPr="00D944E8">
              <w:rPr>
                <w:color w:val="808080" w:themeColor="background1" w:themeShade="80"/>
                <w:szCs w:val="20"/>
                <w:lang w:eastAsia="en-SG"/>
              </w:rPr>
              <w:t>NA</w:t>
            </w:r>
          </w:p>
        </w:tc>
      </w:tr>
      <w:tr w:rsidR="008212AE" w:rsidRPr="00D944E8" w14:paraId="7B67CD10" w14:textId="77777777" w:rsidTr="00D944E8">
        <w:trPr>
          <w:trHeight w:val="244"/>
          <w:jc w:val="center"/>
        </w:trPr>
        <w:tc>
          <w:tcPr>
            <w:tcW w:w="3449" w:type="dxa"/>
            <w:tcBorders>
              <w:top w:val="nil"/>
              <w:left w:val="single" w:sz="4" w:space="0" w:color="auto"/>
              <w:bottom w:val="single" w:sz="4" w:space="0" w:color="auto"/>
              <w:right w:val="single" w:sz="4" w:space="0" w:color="auto"/>
            </w:tcBorders>
            <w:shd w:val="clear" w:color="auto" w:fill="auto"/>
            <w:noWrap/>
            <w:vAlign w:val="center"/>
            <w:hideMark/>
          </w:tcPr>
          <w:p w14:paraId="7DC6115C" w14:textId="77777777" w:rsidR="008212AE" w:rsidRPr="00D944E8" w:rsidRDefault="008212AE" w:rsidP="00D944E8">
            <w:pPr>
              <w:spacing w:after="0"/>
              <w:rPr>
                <w:szCs w:val="20"/>
                <w:lang w:eastAsia="en-SG"/>
              </w:rPr>
            </w:pPr>
            <w:r w:rsidRPr="00D944E8">
              <w:rPr>
                <w:szCs w:val="20"/>
                <w:lang w:eastAsia="en-SG"/>
              </w:rPr>
              <w:t>West Bengal</w:t>
            </w:r>
          </w:p>
        </w:tc>
        <w:tc>
          <w:tcPr>
            <w:tcW w:w="1673" w:type="dxa"/>
            <w:tcBorders>
              <w:top w:val="nil"/>
              <w:left w:val="nil"/>
              <w:bottom w:val="single" w:sz="4" w:space="0" w:color="auto"/>
              <w:right w:val="single" w:sz="4" w:space="0" w:color="auto"/>
            </w:tcBorders>
            <w:shd w:val="clear" w:color="auto" w:fill="auto"/>
            <w:noWrap/>
            <w:vAlign w:val="center"/>
            <w:hideMark/>
          </w:tcPr>
          <w:p w14:paraId="3294E46B" w14:textId="77777777" w:rsidR="008212AE" w:rsidRPr="00D944E8" w:rsidRDefault="008212AE" w:rsidP="00D944E8">
            <w:pPr>
              <w:spacing w:after="0"/>
              <w:rPr>
                <w:szCs w:val="20"/>
                <w:lang w:eastAsia="en-SG"/>
              </w:rPr>
            </w:pPr>
            <w:r w:rsidRPr="00D944E8">
              <w:rPr>
                <w:szCs w:val="20"/>
                <w:lang w:eastAsia="en-SG"/>
              </w:rPr>
              <w:t>90.7%</w:t>
            </w:r>
          </w:p>
        </w:tc>
        <w:tc>
          <w:tcPr>
            <w:tcW w:w="1673" w:type="dxa"/>
            <w:tcBorders>
              <w:top w:val="nil"/>
              <w:left w:val="nil"/>
              <w:bottom w:val="single" w:sz="4" w:space="0" w:color="auto"/>
              <w:right w:val="single" w:sz="4" w:space="0" w:color="auto"/>
            </w:tcBorders>
            <w:shd w:val="clear" w:color="auto" w:fill="auto"/>
            <w:noWrap/>
            <w:vAlign w:val="center"/>
            <w:hideMark/>
          </w:tcPr>
          <w:p w14:paraId="150BA93A" w14:textId="77777777" w:rsidR="008212AE" w:rsidRPr="00D944E8" w:rsidRDefault="008212AE" w:rsidP="00D944E8">
            <w:pPr>
              <w:spacing w:after="0"/>
              <w:rPr>
                <w:szCs w:val="20"/>
                <w:lang w:eastAsia="en-SG"/>
              </w:rPr>
            </w:pPr>
            <w:r w:rsidRPr="00D944E8">
              <w:rPr>
                <w:szCs w:val="20"/>
                <w:lang w:eastAsia="en-SG"/>
              </w:rPr>
              <w:t>84.1%</w:t>
            </w:r>
          </w:p>
        </w:tc>
      </w:tr>
    </w:tbl>
    <w:p w14:paraId="10569C42" w14:textId="78E526B5" w:rsidR="00BE1303" w:rsidRDefault="00BE1303" w:rsidP="00F511BC"/>
    <w:p w14:paraId="0A0ADFCC" w14:textId="636C644E" w:rsidR="001232D6" w:rsidRPr="00A13B61" w:rsidRDefault="001232D6" w:rsidP="00F511BC">
      <w:r>
        <w:t>Note: The pulse survey used a 5-point scale. The in-depth survey used a 3-point scale.</w:t>
      </w:r>
    </w:p>
    <w:p w14:paraId="6D354B89" w14:textId="77777777" w:rsidR="003C2EB2" w:rsidRPr="00A13B61" w:rsidRDefault="003C2EB2" w:rsidP="001E6177">
      <w:pPr>
        <w:pStyle w:val="Heading4"/>
      </w:pPr>
      <w:r w:rsidRPr="00A13B61">
        <w:t xml:space="preserve">External validation </w:t>
      </w:r>
    </w:p>
    <w:p w14:paraId="77DBB833" w14:textId="76111F7D" w:rsidR="00C33DB2" w:rsidRPr="00A13B61" w:rsidRDefault="00C33DB2" w:rsidP="008F1432">
      <w:r w:rsidRPr="00A13B61">
        <w:t xml:space="preserve">We </w:t>
      </w:r>
      <w:r w:rsidR="00D65508" w:rsidRPr="00A13B61">
        <w:t xml:space="preserve">also </w:t>
      </w:r>
      <w:r w:rsidRPr="00A13B61">
        <w:t xml:space="preserve">compared our results on enrolment rates and error rates among the pulse survey, in-depth survey, UIDAI, and State of Aadhaar 2017-2018 survey, listed in Tables </w:t>
      </w:r>
      <w:r w:rsidR="00B80909" w:rsidRPr="00A13B61">
        <w:t>6</w:t>
      </w:r>
      <w:r w:rsidRPr="00A13B61">
        <w:t xml:space="preserve"> and </w:t>
      </w:r>
      <w:r w:rsidR="00B80909" w:rsidRPr="00A13B61">
        <w:t>7</w:t>
      </w:r>
      <w:r w:rsidRPr="00A13B61">
        <w:t>. The correlations among these results are high.</w:t>
      </w:r>
    </w:p>
    <w:p w14:paraId="2D3C6EA5" w14:textId="6D636C5C" w:rsidR="00742275" w:rsidRPr="00A13B61" w:rsidRDefault="00742275" w:rsidP="003F3F98">
      <w:pPr>
        <w:pStyle w:val="Caption"/>
      </w:pPr>
      <w:r w:rsidRPr="00A13B61">
        <w:lastRenderedPageBreak/>
        <w:t xml:space="preserve">Table </w:t>
      </w:r>
      <w:r w:rsidR="00B0125A" w:rsidRPr="00A13B61">
        <w:t>6</w:t>
      </w:r>
      <w:r w:rsidRPr="00A13B61">
        <w:t xml:space="preserve"> Comparison of results on enrolment rates among </w:t>
      </w:r>
      <w:proofErr w:type="spellStart"/>
      <w:r w:rsidRPr="00A13B61">
        <w:t>SoA</w:t>
      </w:r>
      <w:proofErr w:type="spellEnd"/>
      <w:r w:rsidRPr="00A13B61">
        <w:t xml:space="preserve"> pulse and in-depth surveys, and UIDAI</w:t>
      </w:r>
    </w:p>
    <w:tbl>
      <w:tblPr>
        <w:tblW w:w="8819" w:type="dxa"/>
        <w:jc w:val="center"/>
        <w:tblLook w:val="04A0" w:firstRow="1" w:lastRow="0" w:firstColumn="1" w:lastColumn="0" w:noHBand="0" w:noVBand="1"/>
      </w:tblPr>
      <w:tblGrid>
        <w:gridCol w:w="3003"/>
        <w:gridCol w:w="1938"/>
        <w:gridCol w:w="1938"/>
        <w:gridCol w:w="1940"/>
      </w:tblGrid>
      <w:tr w:rsidR="000769F3" w:rsidRPr="00D944E8" w14:paraId="41E7489F" w14:textId="77777777" w:rsidTr="003F3F98">
        <w:trPr>
          <w:trHeight w:val="340"/>
          <w:tblHeader/>
          <w:jc w:val="center"/>
        </w:trPr>
        <w:tc>
          <w:tcPr>
            <w:tcW w:w="3003" w:type="dxa"/>
            <w:tcBorders>
              <w:top w:val="single" w:sz="4" w:space="0" w:color="auto"/>
              <w:left w:val="single" w:sz="4" w:space="0" w:color="auto"/>
              <w:bottom w:val="single" w:sz="4" w:space="0" w:color="auto"/>
              <w:right w:val="single" w:sz="4" w:space="0" w:color="auto"/>
            </w:tcBorders>
            <w:shd w:val="clear" w:color="000000" w:fill="77B8E4"/>
            <w:noWrap/>
            <w:vAlign w:val="center"/>
            <w:hideMark/>
          </w:tcPr>
          <w:p w14:paraId="026D7900" w14:textId="447E5331" w:rsidR="00742275" w:rsidRPr="00D944E8" w:rsidRDefault="001232D6" w:rsidP="003F3F98">
            <w:pPr>
              <w:keepNext/>
              <w:spacing w:after="0"/>
              <w:rPr>
                <w:b/>
                <w:bCs/>
                <w:lang w:eastAsia="en-SG"/>
              </w:rPr>
            </w:pPr>
            <w:r>
              <w:rPr>
                <w:b/>
                <w:bCs/>
                <w:lang w:eastAsia="en-SG"/>
              </w:rPr>
              <w:t>State</w:t>
            </w:r>
          </w:p>
        </w:tc>
        <w:tc>
          <w:tcPr>
            <w:tcW w:w="1938" w:type="dxa"/>
            <w:tcBorders>
              <w:top w:val="single" w:sz="4" w:space="0" w:color="auto"/>
              <w:left w:val="nil"/>
              <w:bottom w:val="single" w:sz="4" w:space="0" w:color="auto"/>
              <w:right w:val="single" w:sz="4" w:space="0" w:color="auto"/>
            </w:tcBorders>
            <w:shd w:val="clear" w:color="000000" w:fill="77B8E4"/>
            <w:noWrap/>
            <w:vAlign w:val="center"/>
            <w:hideMark/>
          </w:tcPr>
          <w:p w14:paraId="3CC7AC4C" w14:textId="77777777" w:rsidR="00742275" w:rsidRPr="00D944E8" w:rsidRDefault="00742275" w:rsidP="003F3F98">
            <w:pPr>
              <w:keepNext/>
              <w:spacing w:after="0"/>
              <w:rPr>
                <w:b/>
                <w:bCs/>
                <w:lang w:eastAsia="en-SG"/>
              </w:rPr>
            </w:pPr>
            <w:proofErr w:type="spellStart"/>
            <w:r w:rsidRPr="00D944E8">
              <w:rPr>
                <w:b/>
                <w:bCs/>
                <w:lang w:eastAsia="en-SG"/>
              </w:rPr>
              <w:t>SoA</w:t>
            </w:r>
            <w:proofErr w:type="spellEnd"/>
            <w:r w:rsidRPr="00D944E8">
              <w:rPr>
                <w:b/>
                <w:bCs/>
                <w:lang w:eastAsia="en-SG"/>
              </w:rPr>
              <w:t xml:space="preserve"> Pulse</w:t>
            </w:r>
          </w:p>
        </w:tc>
        <w:tc>
          <w:tcPr>
            <w:tcW w:w="1938" w:type="dxa"/>
            <w:tcBorders>
              <w:top w:val="single" w:sz="4" w:space="0" w:color="auto"/>
              <w:left w:val="nil"/>
              <w:bottom w:val="single" w:sz="4" w:space="0" w:color="auto"/>
              <w:right w:val="single" w:sz="4" w:space="0" w:color="auto"/>
            </w:tcBorders>
            <w:shd w:val="clear" w:color="000000" w:fill="77B8E4"/>
            <w:noWrap/>
            <w:vAlign w:val="center"/>
            <w:hideMark/>
          </w:tcPr>
          <w:p w14:paraId="5329BB66" w14:textId="77777777" w:rsidR="00742275" w:rsidRPr="00D944E8" w:rsidRDefault="00742275" w:rsidP="003F3F98">
            <w:pPr>
              <w:keepNext/>
              <w:spacing w:after="0"/>
              <w:rPr>
                <w:b/>
                <w:bCs/>
                <w:lang w:eastAsia="en-SG"/>
              </w:rPr>
            </w:pPr>
            <w:proofErr w:type="spellStart"/>
            <w:r w:rsidRPr="00D944E8">
              <w:rPr>
                <w:b/>
                <w:bCs/>
                <w:lang w:eastAsia="en-SG"/>
              </w:rPr>
              <w:t>SoA</w:t>
            </w:r>
            <w:proofErr w:type="spellEnd"/>
            <w:r w:rsidRPr="00D944E8">
              <w:rPr>
                <w:b/>
                <w:bCs/>
                <w:lang w:eastAsia="en-SG"/>
              </w:rPr>
              <w:t xml:space="preserve"> In-depth</w:t>
            </w:r>
          </w:p>
        </w:tc>
        <w:tc>
          <w:tcPr>
            <w:tcW w:w="1940" w:type="dxa"/>
            <w:tcBorders>
              <w:top w:val="single" w:sz="4" w:space="0" w:color="auto"/>
              <w:left w:val="nil"/>
              <w:bottom w:val="single" w:sz="4" w:space="0" w:color="auto"/>
              <w:right w:val="single" w:sz="4" w:space="0" w:color="auto"/>
            </w:tcBorders>
            <w:shd w:val="clear" w:color="000000" w:fill="77B8E4"/>
            <w:noWrap/>
            <w:vAlign w:val="center"/>
            <w:hideMark/>
          </w:tcPr>
          <w:p w14:paraId="03071618" w14:textId="77777777" w:rsidR="00742275" w:rsidRPr="00D944E8" w:rsidRDefault="00742275" w:rsidP="003F3F98">
            <w:pPr>
              <w:keepNext/>
              <w:spacing w:after="0"/>
              <w:rPr>
                <w:b/>
                <w:bCs/>
                <w:lang w:eastAsia="en-SG"/>
              </w:rPr>
            </w:pPr>
            <w:r w:rsidRPr="00D944E8">
              <w:rPr>
                <w:b/>
                <w:bCs/>
                <w:lang w:eastAsia="en-SG"/>
              </w:rPr>
              <w:t>UIDAI</w:t>
            </w:r>
          </w:p>
        </w:tc>
      </w:tr>
      <w:tr w:rsidR="000769F3" w:rsidRPr="00A13B61" w14:paraId="6727BE66"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vAlign w:val="center"/>
            <w:hideMark/>
          </w:tcPr>
          <w:p w14:paraId="0F0EA29E" w14:textId="77777777" w:rsidR="00742275" w:rsidRPr="00A13B61" w:rsidRDefault="00742275" w:rsidP="002D3B5C">
            <w:pPr>
              <w:keepNext/>
              <w:spacing w:after="0"/>
              <w:rPr>
                <w:lang w:eastAsia="en-SG"/>
              </w:rPr>
            </w:pPr>
            <w:r w:rsidRPr="00A13B61">
              <w:rPr>
                <w:lang w:eastAsia="en-SG"/>
              </w:rPr>
              <w:t>India</w:t>
            </w:r>
          </w:p>
        </w:tc>
        <w:tc>
          <w:tcPr>
            <w:tcW w:w="1938" w:type="dxa"/>
            <w:tcBorders>
              <w:top w:val="nil"/>
              <w:left w:val="nil"/>
              <w:bottom w:val="single" w:sz="4" w:space="0" w:color="auto"/>
              <w:right w:val="single" w:sz="4" w:space="0" w:color="auto"/>
            </w:tcBorders>
            <w:shd w:val="clear" w:color="auto" w:fill="auto"/>
            <w:vAlign w:val="center"/>
            <w:hideMark/>
          </w:tcPr>
          <w:p w14:paraId="3F815134" w14:textId="77777777" w:rsidR="00742275" w:rsidRPr="00A13B61" w:rsidRDefault="00742275" w:rsidP="002D3B5C">
            <w:pPr>
              <w:keepNext/>
              <w:spacing w:after="0"/>
              <w:rPr>
                <w:lang w:eastAsia="en-SG"/>
              </w:rPr>
            </w:pPr>
            <w:r w:rsidRPr="00A13B61">
              <w:rPr>
                <w:lang w:eastAsia="en-SG"/>
              </w:rPr>
              <w:t>90.5%</w:t>
            </w:r>
          </w:p>
        </w:tc>
        <w:tc>
          <w:tcPr>
            <w:tcW w:w="1938" w:type="dxa"/>
            <w:tcBorders>
              <w:top w:val="nil"/>
              <w:left w:val="nil"/>
              <w:bottom w:val="single" w:sz="4" w:space="0" w:color="auto"/>
              <w:right w:val="single" w:sz="4" w:space="0" w:color="auto"/>
            </w:tcBorders>
            <w:shd w:val="clear" w:color="auto" w:fill="auto"/>
            <w:vAlign w:val="center"/>
            <w:hideMark/>
          </w:tcPr>
          <w:p w14:paraId="5F150E82" w14:textId="77777777" w:rsidR="00742275" w:rsidRPr="00A13B61" w:rsidRDefault="00742275" w:rsidP="002D3B5C">
            <w:pPr>
              <w:keepNext/>
              <w:spacing w:after="0"/>
              <w:rPr>
                <w:lang w:eastAsia="en-SG"/>
              </w:rPr>
            </w:pPr>
            <w:r w:rsidRPr="00A13B61">
              <w:rPr>
                <w:lang w:eastAsia="en-SG"/>
              </w:rPr>
              <w:t>90.5%</w:t>
            </w:r>
          </w:p>
        </w:tc>
        <w:tc>
          <w:tcPr>
            <w:tcW w:w="1940" w:type="dxa"/>
            <w:tcBorders>
              <w:top w:val="nil"/>
              <w:left w:val="nil"/>
              <w:bottom w:val="single" w:sz="4" w:space="0" w:color="auto"/>
              <w:right w:val="single" w:sz="4" w:space="0" w:color="auto"/>
            </w:tcBorders>
            <w:shd w:val="clear" w:color="auto" w:fill="auto"/>
            <w:vAlign w:val="center"/>
            <w:hideMark/>
          </w:tcPr>
          <w:p w14:paraId="45DA6A2B" w14:textId="77777777" w:rsidR="00742275" w:rsidRPr="00A13B61" w:rsidRDefault="00742275" w:rsidP="002D3B5C">
            <w:pPr>
              <w:keepNext/>
              <w:spacing w:after="0"/>
              <w:rPr>
                <w:lang w:eastAsia="en-SG"/>
              </w:rPr>
            </w:pPr>
            <w:r w:rsidRPr="00A13B61">
              <w:rPr>
                <w:lang w:eastAsia="en-SG"/>
              </w:rPr>
              <w:t>89.2%</w:t>
            </w:r>
          </w:p>
        </w:tc>
      </w:tr>
      <w:tr w:rsidR="000769F3" w:rsidRPr="00A13B61" w14:paraId="5C014B0D"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7AC03388" w14:textId="77777777" w:rsidR="00742275" w:rsidRPr="00A13B61" w:rsidRDefault="00742275" w:rsidP="002D3B5C">
            <w:pPr>
              <w:keepNext/>
              <w:spacing w:after="0"/>
              <w:rPr>
                <w:lang w:eastAsia="en-SG"/>
              </w:rPr>
            </w:pPr>
            <w:r w:rsidRPr="00A13B61">
              <w:rPr>
                <w:lang w:eastAsia="en-SG"/>
              </w:rPr>
              <w:t>Andhra Pradesh</w:t>
            </w:r>
          </w:p>
        </w:tc>
        <w:tc>
          <w:tcPr>
            <w:tcW w:w="1938" w:type="dxa"/>
            <w:tcBorders>
              <w:top w:val="nil"/>
              <w:left w:val="nil"/>
              <w:bottom w:val="single" w:sz="4" w:space="0" w:color="auto"/>
              <w:right w:val="single" w:sz="4" w:space="0" w:color="auto"/>
            </w:tcBorders>
            <w:shd w:val="clear" w:color="auto" w:fill="auto"/>
            <w:noWrap/>
            <w:vAlign w:val="center"/>
            <w:hideMark/>
          </w:tcPr>
          <w:p w14:paraId="3A85D880" w14:textId="77777777" w:rsidR="00742275" w:rsidRPr="00A13B61" w:rsidRDefault="00742275" w:rsidP="002D3B5C">
            <w:pPr>
              <w:keepNext/>
              <w:spacing w:after="0"/>
              <w:rPr>
                <w:lang w:eastAsia="en-SG"/>
              </w:rPr>
            </w:pPr>
            <w:r w:rsidRPr="00A13B61">
              <w:rPr>
                <w:lang w:eastAsia="en-SG"/>
              </w:rPr>
              <w:t>99.8%</w:t>
            </w:r>
          </w:p>
        </w:tc>
        <w:tc>
          <w:tcPr>
            <w:tcW w:w="1938" w:type="dxa"/>
            <w:tcBorders>
              <w:top w:val="nil"/>
              <w:left w:val="nil"/>
              <w:bottom w:val="single" w:sz="4" w:space="0" w:color="auto"/>
              <w:right w:val="single" w:sz="4" w:space="0" w:color="auto"/>
            </w:tcBorders>
            <w:shd w:val="clear" w:color="auto" w:fill="auto"/>
            <w:noWrap/>
            <w:vAlign w:val="center"/>
            <w:hideMark/>
          </w:tcPr>
          <w:p w14:paraId="3BCF7626" w14:textId="77777777" w:rsidR="00742275" w:rsidRPr="00A13B61" w:rsidRDefault="00742275" w:rsidP="002D3B5C">
            <w:pPr>
              <w:keepNext/>
              <w:spacing w:after="0"/>
              <w:rPr>
                <w:lang w:eastAsia="en-SG"/>
              </w:rPr>
            </w:pPr>
            <w:r w:rsidRPr="00A13B61">
              <w:rPr>
                <w:lang w:eastAsia="en-SG"/>
              </w:rPr>
              <w:t>96.0%</w:t>
            </w:r>
          </w:p>
        </w:tc>
        <w:tc>
          <w:tcPr>
            <w:tcW w:w="1940" w:type="dxa"/>
            <w:tcBorders>
              <w:top w:val="nil"/>
              <w:left w:val="nil"/>
              <w:bottom w:val="single" w:sz="4" w:space="0" w:color="auto"/>
              <w:right w:val="single" w:sz="4" w:space="0" w:color="auto"/>
            </w:tcBorders>
            <w:shd w:val="clear" w:color="auto" w:fill="auto"/>
            <w:noWrap/>
            <w:vAlign w:val="center"/>
            <w:hideMark/>
          </w:tcPr>
          <w:p w14:paraId="20F46CDE" w14:textId="77777777" w:rsidR="00742275" w:rsidRPr="00A13B61" w:rsidRDefault="00742275" w:rsidP="002D3B5C">
            <w:pPr>
              <w:keepNext/>
              <w:spacing w:after="0"/>
              <w:rPr>
                <w:lang w:eastAsia="en-SG"/>
              </w:rPr>
            </w:pPr>
            <w:r w:rsidRPr="00A13B61">
              <w:rPr>
                <w:lang w:eastAsia="en-SG"/>
              </w:rPr>
              <w:t>91.3%</w:t>
            </w:r>
          </w:p>
        </w:tc>
      </w:tr>
      <w:tr w:rsidR="000769F3" w:rsidRPr="00A13B61" w14:paraId="04BCB014"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38A919B9" w14:textId="77777777" w:rsidR="00742275" w:rsidRPr="00A13B61" w:rsidRDefault="00742275" w:rsidP="002D3B5C">
            <w:pPr>
              <w:keepNext/>
              <w:spacing w:after="0"/>
              <w:rPr>
                <w:lang w:eastAsia="en-SG"/>
              </w:rPr>
            </w:pPr>
            <w:r w:rsidRPr="00A13B61">
              <w:rPr>
                <w:lang w:eastAsia="en-SG"/>
              </w:rPr>
              <w:t>Assam</w:t>
            </w:r>
          </w:p>
        </w:tc>
        <w:tc>
          <w:tcPr>
            <w:tcW w:w="1938" w:type="dxa"/>
            <w:tcBorders>
              <w:top w:val="nil"/>
              <w:left w:val="nil"/>
              <w:bottom w:val="single" w:sz="4" w:space="0" w:color="auto"/>
              <w:right w:val="single" w:sz="4" w:space="0" w:color="auto"/>
            </w:tcBorders>
            <w:shd w:val="clear" w:color="auto" w:fill="auto"/>
            <w:noWrap/>
            <w:vAlign w:val="center"/>
            <w:hideMark/>
          </w:tcPr>
          <w:p w14:paraId="4A4CAC8B" w14:textId="77777777" w:rsidR="00742275" w:rsidRPr="00A13B61" w:rsidRDefault="00742275" w:rsidP="002D3B5C">
            <w:pPr>
              <w:keepNext/>
              <w:spacing w:after="0"/>
              <w:rPr>
                <w:lang w:eastAsia="en-SG"/>
              </w:rPr>
            </w:pPr>
            <w:r w:rsidRPr="00A13B61">
              <w:rPr>
                <w:lang w:eastAsia="en-SG"/>
              </w:rPr>
              <w:t>10.1%</w:t>
            </w:r>
          </w:p>
        </w:tc>
        <w:tc>
          <w:tcPr>
            <w:tcW w:w="1938" w:type="dxa"/>
            <w:tcBorders>
              <w:top w:val="nil"/>
              <w:left w:val="nil"/>
              <w:bottom w:val="single" w:sz="4" w:space="0" w:color="auto"/>
              <w:right w:val="single" w:sz="4" w:space="0" w:color="auto"/>
            </w:tcBorders>
            <w:shd w:val="clear" w:color="auto" w:fill="auto"/>
            <w:noWrap/>
            <w:vAlign w:val="center"/>
            <w:hideMark/>
          </w:tcPr>
          <w:p w14:paraId="7A841E45" w14:textId="77777777" w:rsidR="00742275" w:rsidRPr="00A13B61" w:rsidRDefault="00742275" w:rsidP="002D3B5C">
            <w:pPr>
              <w:keepNext/>
              <w:spacing w:after="0"/>
              <w:rPr>
                <w:lang w:eastAsia="en-SG"/>
              </w:rPr>
            </w:pPr>
            <w:r w:rsidRPr="00A13B61">
              <w:rPr>
                <w:lang w:eastAsia="en-SG"/>
              </w:rPr>
              <w:t>14.5%</w:t>
            </w:r>
          </w:p>
        </w:tc>
        <w:tc>
          <w:tcPr>
            <w:tcW w:w="1940" w:type="dxa"/>
            <w:tcBorders>
              <w:top w:val="nil"/>
              <w:left w:val="nil"/>
              <w:bottom w:val="single" w:sz="4" w:space="0" w:color="auto"/>
              <w:right w:val="single" w:sz="4" w:space="0" w:color="auto"/>
            </w:tcBorders>
            <w:shd w:val="clear" w:color="auto" w:fill="auto"/>
            <w:noWrap/>
            <w:vAlign w:val="center"/>
            <w:hideMark/>
          </w:tcPr>
          <w:p w14:paraId="398A2BBC" w14:textId="77777777" w:rsidR="00742275" w:rsidRPr="00A13B61" w:rsidRDefault="00742275" w:rsidP="002D3B5C">
            <w:pPr>
              <w:keepNext/>
              <w:spacing w:after="0"/>
              <w:rPr>
                <w:lang w:eastAsia="en-SG"/>
              </w:rPr>
            </w:pPr>
            <w:r w:rsidRPr="00A13B61">
              <w:rPr>
                <w:lang w:eastAsia="en-SG"/>
              </w:rPr>
              <w:t>15.1%</w:t>
            </w:r>
          </w:p>
        </w:tc>
      </w:tr>
      <w:tr w:rsidR="000769F3" w:rsidRPr="00A13B61" w14:paraId="3462B2D3"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55BBAE81" w14:textId="77777777" w:rsidR="00742275" w:rsidRPr="00A13B61" w:rsidRDefault="00742275" w:rsidP="002D3B5C">
            <w:pPr>
              <w:keepNext/>
              <w:spacing w:after="0"/>
              <w:rPr>
                <w:lang w:eastAsia="en-SG"/>
              </w:rPr>
            </w:pPr>
            <w:r w:rsidRPr="00A13B61">
              <w:rPr>
                <w:lang w:eastAsia="en-SG"/>
              </w:rPr>
              <w:t>Bihar</w:t>
            </w:r>
          </w:p>
        </w:tc>
        <w:tc>
          <w:tcPr>
            <w:tcW w:w="1938" w:type="dxa"/>
            <w:tcBorders>
              <w:top w:val="nil"/>
              <w:left w:val="nil"/>
              <w:bottom w:val="single" w:sz="4" w:space="0" w:color="auto"/>
              <w:right w:val="single" w:sz="4" w:space="0" w:color="auto"/>
            </w:tcBorders>
            <w:shd w:val="clear" w:color="auto" w:fill="auto"/>
            <w:noWrap/>
            <w:vAlign w:val="center"/>
            <w:hideMark/>
          </w:tcPr>
          <w:p w14:paraId="1C227065" w14:textId="77777777" w:rsidR="00742275" w:rsidRPr="00A13B61" w:rsidRDefault="00742275" w:rsidP="002D3B5C">
            <w:pPr>
              <w:keepNext/>
              <w:spacing w:after="0"/>
              <w:rPr>
                <w:lang w:eastAsia="en-SG"/>
              </w:rPr>
            </w:pPr>
            <w:r w:rsidRPr="00A13B61">
              <w:rPr>
                <w:lang w:eastAsia="en-SG"/>
              </w:rPr>
              <w:t>89.5%</w:t>
            </w:r>
          </w:p>
        </w:tc>
        <w:tc>
          <w:tcPr>
            <w:tcW w:w="1938" w:type="dxa"/>
            <w:tcBorders>
              <w:top w:val="nil"/>
              <w:left w:val="nil"/>
              <w:bottom w:val="single" w:sz="4" w:space="0" w:color="auto"/>
              <w:right w:val="single" w:sz="4" w:space="0" w:color="auto"/>
            </w:tcBorders>
            <w:shd w:val="clear" w:color="auto" w:fill="auto"/>
            <w:noWrap/>
            <w:vAlign w:val="center"/>
            <w:hideMark/>
          </w:tcPr>
          <w:p w14:paraId="703E8AE3" w14:textId="77777777" w:rsidR="00742275" w:rsidRPr="00A13B61" w:rsidRDefault="00742275" w:rsidP="002D3B5C">
            <w:pPr>
              <w:keepNext/>
              <w:spacing w:after="0"/>
              <w:rPr>
                <w:lang w:eastAsia="en-SG"/>
              </w:rPr>
            </w:pPr>
            <w:r w:rsidRPr="00A13B61">
              <w:rPr>
                <w:lang w:eastAsia="en-SG"/>
              </w:rPr>
              <w:t>83.8%</w:t>
            </w:r>
          </w:p>
        </w:tc>
        <w:tc>
          <w:tcPr>
            <w:tcW w:w="1940" w:type="dxa"/>
            <w:tcBorders>
              <w:top w:val="nil"/>
              <w:left w:val="nil"/>
              <w:bottom w:val="single" w:sz="4" w:space="0" w:color="auto"/>
              <w:right w:val="single" w:sz="4" w:space="0" w:color="auto"/>
            </w:tcBorders>
            <w:shd w:val="clear" w:color="auto" w:fill="auto"/>
            <w:noWrap/>
            <w:vAlign w:val="center"/>
            <w:hideMark/>
          </w:tcPr>
          <w:p w14:paraId="2A630926" w14:textId="77777777" w:rsidR="00742275" w:rsidRPr="00A13B61" w:rsidRDefault="00742275" w:rsidP="002D3B5C">
            <w:pPr>
              <w:keepNext/>
              <w:spacing w:after="0"/>
              <w:rPr>
                <w:lang w:eastAsia="en-SG"/>
              </w:rPr>
            </w:pPr>
            <w:r w:rsidRPr="00A13B61">
              <w:rPr>
                <w:lang w:eastAsia="en-SG"/>
              </w:rPr>
              <w:t>83.3%</w:t>
            </w:r>
          </w:p>
        </w:tc>
      </w:tr>
      <w:tr w:rsidR="000769F3" w:rsidRPr="00A13B61" w14:paraId="143A4500"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49730F16" w14:textId="77777777" w:rsidR="00742275" w:rsidRPr="00A13B61" w:rsidRDefault="00742275" w:rsidP="002D3B5C">
            <w:pPr>
              <w:keepNext/>
              <w:spacing w:after="0"/>
              <w:rPr>
                <w:lang w:eastAsia="en-SG"/>
              </w:rPr>
            </w:pPr>
            <w:r w:rsidRPr="00A13B61">
              <w:rPr>
                <w:lang w:eastAsia="en-SG"/>
              </w:rPr>
              <w:t>Chandigarh</w:t>
            </w:r>
          </w:p>
        </w:tc>
        <w:tc>
          <w:tcPr>
            <w:tcW w:w="1938" w:type="dxa"/>
            <w:tcBorders>
              <w:top w:val="nil"/>
              <w:left w:val="nil"/>
              <w:bottom w:val="single" w:sz="4" w:space="0" w:color="auto"/>
              <w:right w:val="single" w:sz="4" w:space="0" w:color="auto"/>
            </w:tcBorders>
            <w:shd w:val="clear" w:color="auto" w:fill="auto"/>
            <w:noWrap/>
            <w:vAlign w:val="center"/>
            <w:hideMark/>
          </w:tcPr>
          <w:p w14:paraId="5E168EF0" w14:textId="77777777" w:rsidR="00742275" w:rsidRPr="00A13B61" w:rsidRDefault="00742275" w:rsidP="002D3B5C">
            <w:pPr>
              <w:keepNext/>
              <w:spacing w:after="0"/>
              <w:rPr>
                <w:lang w:eastAsia="en-SG"/>
              </w:rPr>
            </w:pPr>
            <w:r w:rsidRPr="00A13B61">
              <w:rPr>
                <w:lang w:eastAsia="en-SG"/>
              </w:rPr>
              <w:t>99.1%</w:t>
            </w:r>
          </w:p>
        </w:tc>
        <w:tc>
          <w:tcPr>
            <w:tcW w:w="1938" w:type="dxa"/>
            <w:tcBorders>
              <w:top w:val="nil"/>
              <w:left w:val="nil"/>
              <w:bottom w:val="single" w:sz="4" w:space="0" w:color="auto"/>
              <w:right w:val="single" w:sz="4" w:space="0" w:color="auto"/>
            </w:tcBorders>
            <w:shd w:val="clear" w:color="auto" w:fill="auto"/>
            <w:noWrap/>
            <w:vAlign w:val="center"/>
            <w:hideMark/>
          </w:tcPr>
          <w:p w14:paraId="22768620" w14:textId="77777777" w:rsidR="00742275" w:rsidRPr="00A13B61" w:rsidRDefault="00742275" w:rsidP="002D3B5C">
            <w:pPr>
              <w:keepNext/>
              <w:spacing w:after="0"/>
              <w:rPr>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3804338C" w14:textId="77777777" w:rsidR="00742275" w:rsidRPr="00A13B61" w:rsidRDefault="00742275" w:rsidP="002D3B5C">
            <w:pPr>
              <w:keepNext/>
              <w:spacing w:after="0"/>
              <w:rPr>
                <w:lang w:eastAsia="en-SG"/>
              </w:rPr>
            </w:pPr>
            <w:r w:rsidRPr="00A13B61">
              <w:rPr>
                <w:lang w:eastAsia="en-SG"/>
              </w:rPr>
              <w:t>99.0%</w:t>
            </w:r>
          </w:p>
        </w:tc>
      </w:tr>
      <w:tr w:rsidR="000769F3" w:rsidRPr="00A13B61" w14:paraId="085B1D12"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1A75BAE3" w14:textId="77777777" w:rsidR="00742275" w:rsidRPr="00A13B61" w:rsidRDefault="00742275" w:rsidP="002D3B5C">
            <w:pPr>
              <w:keepNext/>
              <w:spacing w:after="0"/>
              <w:rPr>
                <w:lang w:eastAsia="en-SG"/>
              </w:rPr>
            </w:pPr>
            <w:r w:rsidRPr="00A13B61">
              <w:rPr>
                <w:lang w:eastAsia="en-SG"/>
              </w:rPr>
              <w:t>Chhattisgarh</w:t>
            </w:r>
          </w:p>
        </w:tc>
        <w:tc>
          <w:tcPr>
            <w:tcW w:w="1938" w:type="dxa"/>
            <w:tcBorders>
              <w:top w:val="nil"/>
              <w:left w:val="nil"/>
              <w:bottom w:val="single" w:sz="4" w:space="0" w:color="auto"/>
              <w:right w:val="single" w:sz="4" w:space="0" w:color="auto"/>
            </w:tcBorders>
            <w:shd w:val="clear" w:color="auto" w:fill="auto"/>
            <w:noWrap/>
            <w:vAlign w:val="center"/>
            <w:hideMark/>
          </w:tcPr>
          <w:p w14:paraId="318F5E8C" w14:textId="77777777" w:rsidR="00742275" w:rsidRPr="00A13B61" w:rsidRDefault="00742275" w:rsidP="002D3B5C">
            <w:pPr>
              <w:keepNext/>
              <w:spacing w:after="0"/>
              <w:rPr>
                <w:lang w:eastAsia="en-SG"/>
              </w:rPr>
            </w:pPr>
            <w:r w:rsidRPr="00A13B61">
              <w:rPr>
                <w:lang w:eastAsia="en-SG"/>
              </w:rPr>
              <w:t>99.2%</w:t>
            </w:r>
          </w:p>
        </w:tc>
        <w:tc>
          <w:tcPr>
            <w:tcW w:w="1938" w:type="dxa"/>
            <w:tcBorders>
              <w:top w:val="nil"/>
              <w:left w:val="nil"/>
              <w:bottom w:val="single" w:sz="4" w:space="0" w:color="auto"/>
              <w:right w:val="single" w:sz="4" w:space="0" w:color="auto"/>
            </w:tcBorders>
            <w:shd w:val="clear" w:color="auto" w:fill="auto"/>
            <w:noWrap/>
            <w:vAlign w:val="center"/>
            <w:hideMark/>
          </w:tcPr>
          <w:p w14:paraId="642AF0A8" w14:textId="77777777" w:rsidR="00742275" w:rsidRPr="00A13B61" w:rsidRDefault="00742275" w:rsidP="002D3B5C">
            <w:pPr>
              <w:keepNext/>
              <w:spacing w:after="0"/>
              <w:rPr>
                <w:lang w:eastAsia="en-SG"/>
              </w:rPr>
            </w:pPr>
            <w:r w:rsidRPr="00A13B61">
              <w:rPr>
                <w:lang w:eastAsia="en-SG"/>
              </w:rPr>
              <w:t>96.3%</w:t>
            </w:r>
          </w:p>
        </w:tc>
        <w:tc>
          <w:tcPr>
            <w:tcW w:w="1940" w:type="dxa"/>
            <w:tcBorders>
              <w:top w:val="nil"/>
              <w:left w:val="nil"/>
              <w:bottom w:val="single" w:sz="4" w:space="0" w:color="auto"/>
              <w:right w:val="single" w:sz="4" w:space="0" w:color="auto"/>
            </w:tcBorders>
            <w:shd w:val="clear" w:color="auto" w:fill="auto"/>
            <w:noWrap/>
            <w:vAlign w:val="center"/>
            <w:hideMark/>
          </w:tcPr>
          <w:p w14:paraId="5E5F4807" w14:textId="77777777" w:rsidR="00742275" w:rsidRPr="00A13B61" w:rsidRDefault="00742275" w:rsidP="002D3B5C">
            <w:pPr>
              <w:keepNext/>
              <w:spacing w:after="0"/>
              <w:rPr>
                <w:lang w:eastAsia="en-SG"/>
              </w:rPr>
            </w:pPr>
            <w:r w:rsidRPr="00A13B61">
              <w:rPr>
                <w:lang w:eastAsia="en-SG"/>
              </w:rPr>
              <w:t>93.9%</w:t>
            </w:r>
          </w:p>
        </w:tc>
      </w:tr>
      <w:tr w:rsidR="000769F3" w:rsidRPr="00A13B61" w14:paraId="0F1F7766"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2A76FDED" w14:textId="77777777" w:rsidR="00742275" w:rsidRPr="00A13B61" w:rsidRDefault="00742275" w:rsidP="002D3B5C">
            <w:pPr>
              <w:keepNext/>
              <w:spacing w:after="0"/>
              <w:rPr>
                <w:lang w:eastAsia="en-SG"/>
              </w:rPr>
            </w:pPr>
            <w:r w:rsidRPr="00A13B61">
              <w:rPr>
                <w:lang w:eastAsia="en-SG"/>
              </w:rPr>
              <w:t>Delhi</w:t>
            </w:r>
          </w:p>
        </w:tc>
        <w:tc>
          <w:tcPr>
            <w:tcW w:w="1938" w:type="dxa"/>
            <w:tcBorders>
              <w:top w:val="nil"/>
              <w:left w:val="nil"/>
              <w:bottom w:val="single" w:sz="4" w:space="0" w:color="auto"/>
              <w:right w:val="single" w:sz="4" w:space="0" w:color="auto"/>
            </w:tcBorders>
            <w:shd w:val="clear" w:color="auto" w:fill="auto"/>
            <w:noWrap/>
            <w:vAlign w:val="center"/>
            <w:hideMark/>
          </w:tcPr>
          <w:p w14:paraId="31F84464" w14:textId="77777777" w:rsidR="00742275" w:rsidRPr="00A13B61" w:rsidRDefault="00742275" w:rsidP="002D3B5C">
            <w:pPr>
              <w:keepNext/>
              <w:spacing w:after="0"/>
              <w:rPr>
                <w:lang w:eastAsia="en-SG"/>
              </w:rPr>
            </w:pPr>
            <w:r w:rsidRPr="00A13B61">
              <w:rPr>
                <w:lang w:eastAsia="en-SG"/>
              </w:rPr>
              <w:t>96.7%</w:t>
            </w:r>
          </w:p>
        </w:tc>
        <w:tc>
          <w:tcPr>
            <w:tcW w:w="1938" w:type="dxa"/>
            <w:tcBorders>
              <w:top w:val="nil"/>
              <w:left w:val="nil"/>
              <w:bottom w:val="single" w:sz="4" w:space="0" w:color="auto"/>
              <w:right w:val="single" w:sz="4" w:space="0" w:color="auto"/>
            </w:tcBorders>
            <w:shd w:val="clear" w:color="auto" w:fill="auto"/>
            <w:noWrap/>
            <w:vAlign w:val="center"/>
            <w:hideMark/>
          </w:tcPr>
          <w:p w14:paraId="1C647B42" w14:textId="77777777" w:rsidR="00742275" w:rsidRPr="00A13B61" w:rsidRDefault="00742275" w:rsidP="002D3B5C">
            <w:pPr>
              <w:keepNext/>
              <w:spacing w:after="0"/>
              <w:rPr>
                <w:lang w:eastAsia="en-SG"/>
              </w:rPr>
            </w:pPr>
            <w:r w:rsidRPr="00A13B61">
              <w:rPr>
                <w:lang w:eastAsia="en-SG"/>
              </w:rPr>
              <w:t>92.9%</w:t>
            </w:r>
          </w:p>
        </w:tc>
        <w:tc>
          <w:tcPr>
            <w:tcW w:w="1940" w:type="dxa"/>
            <w:tcBorders>
              <w:top w:val="nil"/>
              <w:left w:val="nil"/>
              <w:bottom w:val="single" w:sz="4" w:space="0" w:color="auto"/>
              <w:right w:val="single" w:sz="4" w:space="0" w:color="auto"/>
            </w:tcBorders>
            <w:shd w:val="clear" w:color="auto" w:fill="auto"/>
            <w:noWrap/>
            <w:vAlign w:val="center"/>
            <w:hideMark/>
          </w:tcPr>
          <w:p w14:paraId="55D95F07" w14:textId="77777777" w:rsidR="00742275" w:rsidRPr="00A13B61" w:rsidRDefault="00742275" w:rsidP="002D3B5C">
            <w:pPr>
              <w:keepNext/>
              <w:spacing w:after="0"/>
              <w:rPr>
                <w:lang w:eastAsia="en-SG"/>
              </w:rPr>
            </w:pPr>
            <w:r w:rsidRPr="00A13B61">
              <w:rPr>
                <w:lang w:eastAsia="en-SG"/>
              </w:rPr>
              <w:t>116.7%</w:t>
            </w:r>
          </w:p>
        </w:tc>
      </w:tr>
      <w:tr w:rsidR="000769F3" w:rsidRPr="00A13B61" w14:paraId="54263C1B"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45342E17" w14:textId="77777777" w:rsidR="00742275" w:rsidRPr="00A13B61" w:rsidRDefault="00742275" w:rsidP="002D3B5C">
            <w:pPr>
              <w:keepNext/>
              <w:spacing w:after="0"/>
              <w:rPr>
                <w:lang w:eastAsia="en-SG"/>
              </w:rPr>
            </w:pPr>
            <w:r w:rsidRPr="00A13B61">
              <w:rPr>
                <w:lang w:eastAsia="en-SG"/>
              </w:rPr>
              <w:t>Goa</w:t>
            </w:r>
          </w:p>
        </w:tc>
        <w:tc>
          <w:tcPr>
            <w:tcW w:w="1938" w:type="dxa"/>
            <w:tcBorders>
              <w:top w:val="nil"/>
              <w:left w:val="nil"/>
              <w:bottom w:val="single" w:sz="4" w:space="0" w:color="auto"/>
              <w:right w:val="single" w:sz="4" w:space="0" w:color="auto"/>
            </w:tcBorders>
            <w:shd w:val="clear" w:color="auto" w:fill="auto"/>
            <w:noWrap/>
            <w:vAlign w:val="center"/>
            <w:hideMark/>
          </w:tcPr>
          <w:p w14:paraId="7DD8FE5F" w14:textId="77777777" w:rsidR="00742275" w:rsidRPr="00A13B61" w:rsidRDefault="00742275" w:rsidP="002D3B5C">
            <w:pPr>
              <w:keepNext/>
              <w:spacing w:after="0"/>
              <w:rPr>
                <w:lang w:eastAsia="en-SG"/>
              </w:rPr>
            </w:pPr>
            <w:r w:rsidRPr="00A13B61">
              <w:rPr>
                <w:lang w:eastAsia="en-SG"/>
              </w:rPr>
              <w:t>95.7%</w:t>
            </w:r>
          </w:p>
        </w:tc>
        <w:tc>
          <w:tcPr>
            <w:tcW w:w="1938" w:type="dxa"/>
            <w:tcBorders>
              <w:top w:val="nil"/>
              <w:left w:val="nil"/>
              <w:bottom w:val="single" w:sz="4" w:space="0" w:color="auto"/>
              <w:right w:val="single" w:sz="4" w:space="0" w:color="auto"/>
            </w:tcBorders>
            <w:shd w:val="clear" w:color="auto" w:fill="auto"/>
            <w:noWrap/>
            <w:vAlign w:val="center"/>
            <w:hideMark/>
          </w:tcPr>
          <w:p w14:paraId="08A3706F" w14:textId="77777777" w:rsidR="00742275" w:rsidRPr="00EF3F7D" w:rsidRDefault="00742275" w:rsidP="002D3B5C">
            <w:pPr>
              <w:keepNext/>
              <w:spacing w:after="0"/>
              <w:rPr>
                <w:color w:val="808080" w:themeColor="background1" w:themeShade="80"/>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011D17C9" w14:textId="77777777" w:rsidR="00742275" w:rsidRPr="00A13B61" w:rsidRDefault="00742275" w:rsidP="002D3B5C">
            <w:pPr>
              <w:keepNext/>
              <w:spacing w:after="0"/>
              <w:rPr>
                <w:lang w:eastAsia="en-SG"/>
              </w:rPr>
            </w:pPr>
            <w:r w:rsidRPr="00A13B61">
              <w:rPr>
                <w:lang w:eastAsia="en-SG"/>
              </w:rPr>
              <w:t>100.9%</w:t>
            </w:r>
          </w:p>
        </w:tc>
      </w:tr>
      <w:tr w:rsidR="000769F3" w:rsidRPr="00A13B61" w14:paraId="17F03D5C"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59DCB997" w14:textId="77777777" w:rsidR="00742275" w:rsidRPr="00A13B61" w:rsidRDefault="00742275" w:rsidP="002D3B5C">
            <w:pPr>
              <w:keepNext/>
              <w:spacing w:after="0"/>
              <w:rPr>
                <w:lang w:eastAsia="en-SG"/>
              </w:rPr>
            </w:pPr>
            <w:r w:rsidRPr="00A13B61">
              <w:rPr>
                <w:lang w:eastAsia="en-SG"/>
              </w:rPr>
              <w:t>Gujarat</w:t>
            </w:r>
          </w:p>
        </w:tc>
        <w:tc>
          <w:tcPr>
            <w:tcW w:w="1938" w:type="dxa"/>
            <w:tcBorders>
              <w:top w:val="nil"/>
              <w:left w:val="nil"/>
              <w:bottom w:val="single" w:sz="4" w:space="0" w:color="auto"/>
              <w:right w:val="single" w:sz="4" w:space="0" w:color="auto"/>
            </w:tcBorders>
            <w:shd w:val="clear" w:color="auto" w:fill="auto"/>
            <w:noWrap/>
            <w:vAlign w:val="center"/>
            <w:hideMark/>
          </w:tcPr>
          <w:p w14:paraId="03C8BCBC" w14:textId="77777777" w:rsidR="00742275" w:rsidRPr="00A13B61" w:rsidRDefault="00742275" w:rsidP="002D3B5C">
            <w:pPr>
              <w:keepNext/>
              <w:spacing w:after="0"/>
              <w:rPr>
                <w:lang w:eastAsia="en-SG"/>
              </w:rPr>
            </w:pPr>
            <w:r w:rsidRPr="00A13B61">
              <w:rPr>
                <w:lang w:eastAsia="en-SG"/>
              </w:rPr>
              <w:t>96.9%</w:t>
            </w:r>
          </w:p>
        </w:tc>
        <w:tc>
          <w:tcPr>
            <w:tcW w:w="1938" w:type="dxa"/>
            <w:tcBorders>
              <w:top w:val="nil"/>
              <w:left w:val="nil"/>
              <w:bottom w:val="single" w:sz="4" w:space="0" w:color="auto"/>
              <w:right w:val="single" w:sz="4" w:space="0" w:color="auto"/>
            </w:tcBorders>
            <w:shd w:val="clear" w:color="auto" w:fill="auto"/>
            <w:noWrap/>
            <w:vAlign w:val="center"/>
            <w:hideMark/>
          </w:tcPr>
          <w:p w14:paraId="46FD3AD5" w14:textId="77777777" w:rsidR="00742275" w:rsidRPr="00A13B61" w:rsidRDefault="00742275" w:rsidP="002D3B5C">
            <w:pPr>
              <w:keepNext/>
              <w:spacing w:after="0"/>
              <w:rPr>
                <w:lang w:eastAsia="en-SG"/>
              </w:rPr>
            </w:pPr>
            <w:r w:rsidRPr="00A13B61">
              <w:rPr>
                <w:lang w:eastAsia="en-SG"/>
              </w:rPr>
              <w:t>93.0%</w:t>
            </w:r>
          </w:p>
        </w:tc>
        <w:tc>
          <w:tcPr>
            <w:tcW w:w="1940" w:type="dxa"/>
            <w:tcBorders>
              <w:top w:val="nil"/>
              <w:left w:val="nil"/>
              <w:bottom w:val="single" w:sz="4" w:space="0" w:color="auto"/>
              <w:right w:val="single" w:sz="4" w:space="0" w:color="auto"/>
            </w:tcBorders>
            <w:shd w:val="clear" w:color="auto" w:fill="auto"/>
            <w:noWrap/>
            <w:vAlign w:val="center"/>
            <w:hideMark/>
          </w:tcPr>
          <w:p w14:paraId="7BC6E29B" w14:textId="77777777" w:rsidR="00742275" w:rsidRPr="00A13B61" w:rsidRDefault="00742275" w:rsidP="002D3B5C">
            <w:pPr>
              <w:keepNext/>
              <w:spacing w:after="0"/>
              <w:rPr>
                <w:lang w:eastAsia="en-SG"/>
              </w:rPr>
            </w:pPr>
            <w:r w:rsidRPr="00A13B61">
              <w:rPr>
                <w:lang w:eastAsia="en-SG"/>
              </w:rPr>
              <w:t>95.3%</w:t>
            </w:r>
          </w:p>
        </w:tc>
      </w:tr>
      <w:tr w:rsidR="000769F3" w:rsidRPr="00A13B61" w14:paraId="3F5426B6"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766EBF5F" w14:textId="77777777" w:rsidR="00742275" w:rsidRPr="00A13B61" w:rsidRDefault="00742275" w:rsidP="002D3B5C">
            <w:pPr>
              <w:keepNext/>
              <w:spacing w:after="0"/>
              <w:rPr>
                <w:lang w:eastAsia="en-SG"/>
              </w:rPr>
            </w:pPr>
            <w:r w:rsidRPr="00A13B61">
              <w:rPr>
                <w:lang w:eastAsia="en-SG"/>
              </w:rPr>
              <w:t>Haryana</w:t>
            </w:r>
          </w:p>
        </w:tc>
        <w:tc>
          <w:tcPr>
            <w:tcW w:w="1938" w:type="dxa"/>
            <w:tcBorders>
              <w:top w:val="nil"/>
              <w:left w:val="nil"/>
              <w:bottom w:val="single" w:sz="4" w:space="0" w:color="auto"/>
              <w:right w:val="single" w:sz="4" w:space="0" w:color="auto"/>
            </w:tcBorders>
            <w:shd w:val="clear" w:color="auto" w:fill="auto"/>
            <w:noWrap/>
            <w:vAlign w:val="center"/>
            <w:hideMark/>
          </w:tcPr>
          <w:p w14:paraId="11B08E42" w14:textId="77777777" w:rsidR="00742275" w:rsidRPr="00A13B61" w:rsidRDefault="00742275" w:rsidP="002D3B5C">
            <w:pPr>
              <w:keepNext/>
              <w:spacing w:after="0"/>
              <w:rPr>
                <w:lang w:eastAsia="en-SG"/>
              </w:rPr>
            </w:pPr>
            <w:r w:rsidRPr="00A13B61">
              <w:rPr>
                <w:lang w:eastAsia="en-SG"/>
              </w:rPr>
              <w:t>94.2%</w:t>
            </w:r>
          </w:p>
        </w:tc>
        <w:tc>
          <w:tcPr>
            <w:tcW w:w="1938" w:type="dxa"/>
            <w:tcBorders>
              <w:top w:val="nil"/>
              <w:left w:val="nil"/>
              <w:bottom w:val="single" w:sz="4" w:space="0" w:color="auto"/>
              <w:right w:val="single" w:sz="4" w:space="0" w:color="auto"/>
            </w:tcBorders>
            <w:shd w:val="clear" w:color="auto" w:fill="auto"/>
            <w:noWrap/>
            <w:vAlign w:val="center"/>
            <w:hideMark/>
          </w:tcPr>
          <w:p w14:paraId="3D4E3F70" w14:textId="77777777" w:rsidR="00742275" w:rsidRPr="00EF3F7D" w:rsidRDefault="00742275" w:rsidP="002D3B5C">
            <w:pPr>
              <w:keepNext/>
              <w:spacing w:after="0"/>
              <w:rPr>
                <w:color w:val="808080" w:themeColor="background1" w:themeShade="80"/>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7DE46DC5" w14:textId="77777777" w:rsidR="00742275" w:rsidRPr="00A13B61" w:rsidRDefault="00742275" w:rsidP="002D3B5C">
            <w:pPr>
              <w:keepNext/>
              <w:spacing w:after="0"/>
              <w:rPr>
                <w:lang w:eastAsia="en-SG"/>
              </w:rPr>
            </w:pPr>
            <w:r w:rsidRPr="00A13B61">
              <w:rPr>
                <w:lang w:eastAsia="en-SG"/>
              </w:rPr>
              <w:t>103.2%</w:t>
            </w:r>
          </w:p>
        </w:tc>
      </w:tr>
      <w:tr w:rsidR="000769F3" w:rsidRPr="00A13B61" w14:paraId="34B3A8D6"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1A5DEF9B" w14:textId="77777777" w:rsidR="00742275" w:rsidRPr="00A13B61" w:rsidRDefault="00742275" w:rsidP="002D3B5C">
            <w:pPr>
              <w:keepNext/>
              <w:spacing w:after="0"/>
              <w:rPr>
                <w:lang w:eastAsia="en-SG"/>
              </w:rPr>
            </w:pPr>
            <w:r w:rsidRPr="00A13B61">
              <w:rPr>
                <w:lang w:eastAsia="en-SG"/>
              </w:rPr>
              <w:t>Himachal Pradesh</w:t>
            </w:r>
          </w:p>
        </w:tc>
        <w:tc>
          <w:tcPr>
            <w:tcW w:w="1938" w:type="dxa"/>
            <w:tcBorders>
              <w:top w:val="nil"/>
              <w:left w:val="nil"/>
              <w:bottom w:val="single" w:sz="4" w:space="0" w:color="auto"/>
              <w:right w:val="single" w:sz="4" w:space="0" w:color="auto"/>
            </w:tcBorders>
            <w:shd w:val="clear" w:color="auto" w:fill="auto"/>
            <w:noWrap/>
            <w:vAlign w:val="center"/>
            <w:hideMark/>
          </w:tcPr>
          <w:p w14:paraId="20BDDED5" w14:textId="77777777" w:rsidR="00742275" w:rsidRPr="00A13B61" w:rsidRDefault="00742275" w:rsidP="002D3B5C">
            <w:pPr>
              <w:keepNext/>
              <w:spacing w:after="0"/>
              <w:rPr>
                <w:lang w:eastAsia="en-SG"/>
              </w:rPr>
            </w:pPr>
            <w:r w:rsidRPr="00A13B61">
              <w:rPr>
                <w:lang w:eastAsia="en-SG"/>
              </w:rPr>
              <w:t>99.6%</w:t>
            </w:r>
          </w:p>
        </w:tc>
        <w:tc>
          <w:tcPr>
            <w:tcW w:w="1938" w:type="dxa"/>
            <w:tcBorders>
              <w:top w:val="nil"/>
              <w:left w:val="nil"/>
              <w:bottom w:val="single" w:sz="4" w:space="0" w:color="auto"/>
              <w:right w:val="single" w:sz="4" w:space="0" w:color="auto"/>
            </w:tcBorders>
            <w:shd w:val="clear" w:color="auto" w:fill="auto"/>
            <w:noWrap/>
            <w:vAlign w:val="center"/>
            <w:hideMark/>
          </w:tcPr>
          <w:p w14:paraId="2F1A5CD5" w14:textId="77777777" w:rsidR="00742275" w:rsidRPr="00EF3F7D" w:rsidRDefault="00742275" w:rsidP="002D3B5C">
            <w:pPr>
              <w:keepNext/>
              <w:spacing w:after="0"/>
              <w:rPr>
                <w:color w:val="808080" w:themeColor="background1" w:themeShade="80"/>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21682DD9" w14:textId="77777777" w:rsidR="00742275" w:rsidRPr="00A13B61" w:rsidRDefault="00742275" w:rsidP="002D3B5C">
            <w:pPr>
              <w:keepNext/>
              <w:spacing w:after="0"/>
              <w:rPr>
                <w:lang w:eastAsia="en-SG"/>
              </w:rPr>
            </w:pPr>
            <w:r w:rsidRPr="00A13B61">
              <w:rPr>
                <w:lang w:eastAsia="en-SG"/>
              </w:rPr>
              <w:t>101.9%</w:t>
            </w:r>
          </w:p>
        </w:tc>
      </w:tr>
      <w:tr w:rsidR="000769F3" w:rsidRPr="00A13B61" w14:paraId="14B6080B"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6B60ECC3" w14:textId="77777777" w:rsidR="00742275" w:rsidRPr="00A13B61" w:rsidRDefault="00742275" w:rsidP="002D3B5C">
            <w:pPr>
              <w:keepNext/>
              <w:spacing w:after="0"/>
              <w:rPr>
                <w:lang w:eastAsia="en-SG"/>
              </w:rPr>
            </w:pPr>
            <w:r w:rsidRPr="00A13B61">
              <w:rPr>
                <w:lang w:eastAsia="en-SG"/>
              </w:rPr>
              <w:t>Jammu and Kashmir</w:t>
            </w:r>
          </w:p>
        </w:tc>
        <w:tc>
          <w:tcPr>
            <w:tcW w:w="1938" w:type="dxa"/>
            <w:tcBorders>
              <w:top w:val="nil"/>
              <w:left w:val="nil"/>
              <w:bottom w:val="single" w:sz="4" w:space="0" w:color="auto"/>
              <w:right w:val="single" w:sz="4" w:space="0" w:color="auto"/>
            </w:tcBorders>
            <w:shd w:val="clear" w:color="auto" w:fill="auto"/>
            <w:noWrap/>
            <w:vAlign w:val="center"/>
            <w:hideMark/>
          </w:tcPr>
          <w:p w14:paraId="0067D893" w14:textId="77777777" w:rsidR="00742275" w:rsidRPr="00A13B61" w:rsidRDefault="00742275" w:rsidP="002D3B5C">
            <w:pPr>
              <w:keepNext/>
              <w:spacing w:after="0"/>
              <w:rPr>
                <w:lang w:eastAsia="en-SG"/>
              </w:rPr>
            </w:pPr>
            <w:r w:rsidRPr="00A13B61">
              <w:rPr>
                <w:lang w:eastAsia="en-SG"/>
              </w:rPr>
              <w:t>83.4%</w:t>
            </w:r>
          </w:p>
        </w:tc>
        <w:tc>
          <w:tcPr>
            <w:tcW w:w="1938" w:type="dxa"/>
            <w:tcBorders>
              <w:top w:val="nil"/>
              <w:left w:val="nil"/>
              <w:bottom w:val="single" w:sz="4" w:space="0" w:color="auto"/>
              <w:right w:val="single" w:sz="4" w:space="0" w:color="auto"/>
            </w:tcBorders>
            <w:shd w:val="clear" w:color="auto" w:fill="auto"/>
            <w:noWrap/>
            <w:vAlign w:val="center"/>
            <w:hideMark/>
          </w:tcPr>
          <w:p w14:paraId="2AEC29E3" w14:textId="77777777" w:rsidR="00742275" w:rsidRPr="00EF3F7D" w:rsidRDefault="00742275" w:rsidP="002D3B5C">
            <w:pPr>
              <w:keepNext/>
              <w:spacing w:after="0"/>
              <w:rPr>
                <w:color w:val="808080" w:themeColor="background1" w:themeShade="80"/>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410FC2EE" w14:textId="77777777" w:rsidR="00742275" w:rsidRPr="00A13B61" w:rsidRDefault="00742275" w:rsidP="002D3B5C">
            <w:pPr>
              <w:keepNext/>
              <w:spacing w:after="0"/>
              <w:rPr>
                <w:lang w:eastAsia="en-SG"/>
              </w:rPr>
            </w:pPr>
            <w:r w:rsidRPr="00A13B61">
              <w:rPr>
                <w:lang w:eastAsia="en-SG"/>
              </w:rPr>
              <w:t>75.6%</w:t>
            </w:r>
          </w:p>
        </w:tc>
      </w:tr>
      <w:tr w:rsidR="000769F3" w:rsidRPr="00A13B61" w14:paraId="59DCE820"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265F50D6" w14:textId="77777777" w:rsidR="00742275" w:rsidRPr="00A13B61" w:rsidRDefault="00742275" w:rsidP="002D3B5C">
            <w:pPr>
              <w:keepNext/>
              <w:spacing w:after="0"/>
              <w:rPr>
                <w:lang w:eastAsia="en-SG"/>
              </w:rPr>
            </w:pPr>
            <w:r w:rsidRPr="00A13B61">
              <w:rPr>
                <w:lang w:eastAsia="en-SG"/>
              </w:rPr>
              <w:t>Jharkhand</w:t>
            </w:r>
          </w:p>
        </w:tc>
        <w:tc>
          <w:tcPr>
            <w:tcW w:w="1938" w:type="dxa"/>
            <w:tcBorders>
              <w:top w:val="nil"/>
              <w:left w:val="nil"/>
              <w:bottom w:val="single" w:sz="4" w:space="0" w:color="auto"/>
              <w:right w:val="single" w:sz="4" w:space="0" w:color="auto"/>
            </w:tcBorders>
            <w:shd w:val="clear" w:color="auto" w:fill="auto"/>
            <w:noWrap/>
            <w:vAlign w:val="center"/>
            <w:hideMark/>
          </w:tcPr>
          <w:p w14:paraId="31ACD61E" w14:textId="77777777" w:rsidR="00742275" w:rsidRPr="00A13B61" w:rsidRDefault="00742275" w:rsidP="002D3B5C">
            <w:pPr>
              <w:keepNext/>
              <w:spacing w:after="0"/>
              <w:rPr>
                <w:lang w:eastAsia="en-SG"/>
              </w:rPr>
            </w:pPr>
            <w:r w:rsidRPr="00A13B61">
              <w:rPr>
                <w:lang w:eastAsia="en-SG"/>
              </w:rPr>
              <w:t>87.5%</w:t>
            </w:r>
          </w:p>
        </w:tc>
        <w:tc>
          <w:tcPr>
            <w:tcW w:w="1938" w:type="dxa"/>
            <w:tcBorders>
              <w:top w:val="nil"/>
              <w:left w:val="nil"/>
              <w:bottom w:val="single" w:sz="4" w:space="0" w:color="auto"/>
              <w:right w:val="single" w:sz="4" w:space="0" w:color="auto"/>
            </w:tcBorders>
            <w:shd w:val="clear" w:color="auto" w:fill="auto"/>
            <w:noWrap/>
            <w:vAlign w:val="center"/>
            <w:hideMark/>
          </w:tcPr>
          <w:p w14:paraId="4E9F1577" w14:textId="77777777" w:rsidR="00742275" w:rsidRPr="00A13B61" w:rsidRDefault="00742275" w:rsidP="002D3B5C">
            <w:pPr>
              <w:keepNext/>
              <w:spacing w:after="0"/>
              <w:rPr>
                <w:lang w:eastAsia="en-SG"/>
              </w:rPr>
            </w:pPr>
            <w:r w:rsidRPr="00A13B61">
              <w:rPr>
                <w:lang w:eastAsia="en-SG"/>
              </w:rPr>
              <w:t>93.1%</w:t>
            </w:r>
          </w:p>
        </w:tc>
        <w:tc>
          <w:tcPr>
            <w:tcW w:w="1940" w:type="dxa"/>
            <w:tcBorders>
              <w:top w:val="nil"/>
              <w:left w:val="nil"/>
              <w:bottom w:val="single" w:sz="4" w:space="0" w:color="auto"/>
              <w:right w:val="single" w:sz="4" w:space="0" w:color="auto"/>
            </w:tcBorders>
            <w:shd w:val="clear" w:color="auto" w:fill="auto"/>
            <w:noWrap/>
            <w:vAlign w:val="center"/>
            <w:hideMark/>
          </w:tcPr>
          <w:p w14:paraId="48074488" w14:textId="77777777" w:rsidR="00742275" w:rsidRPr="00A13B61" w:rsidRDefault="00742275" w:rsidP="002D3B5C">
            <w:pPr>
              <w:keepNext/>
              <w:spacing w:after="0"/>
              <w:rPr>
                <w:lang w:eastAsia="en-SG"/>
              </w:rPr>
            </w:pPr>
            <w:r w:rsidRPr="00A13B61">
              <w:rPr>
                <w:lang w:eastAsia="en-SG"/>
              </w:rPr>
              <w:t>91.0%</w:t>
            </w:r>
          </w:p>
        </w:tc>
      </w:tr>
      <w:tr w:rsidR="000769F3" w:rsidRPr="00A13B61" w14:paraId="0C76E238"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0AC201D9" w14:textId="77777777" w:rsidR="00742275" w:rsidRPr="00A13B61" w:rsidRDefault="00742275" w:rsidP="002D3B5C">
            <w:pPr>
              <w:keepNext/>
              <w:spacing w:after="0"/>
              <w:rPr>
                <w:lang w:eastAsia="en-SG"/>
              </w:rPr>
            </w:pPr>
            <w:r w:rsidRPr="00A13B61">
              <w:rPr>
                <w:lang w:eastAsia="en-SG"/>
              </w:rPr>
              <w:t>Karnataka</w:t>
            </w:r>
          </w:p>
        </w:tc>
        <w:tc>
          <w:tcPr>
            <w:tcW w:w="1938" w:type="dxa"/>
            <w:tcBorders>
              <w:top w:val="nil"/>
              <w:left w:val="nil"/>
              <w:bottom w:val="single" w:sz="4" w:space="0" w:color="auto"/>
              <w:right w:val="single" w:sz="4" w:space="0" w:color="auto"/>
            </w:tcBorders>
            <w:shd w:val="clear" w:color="auto" w:fill="auto"/>
            <w:noWrap/>
            <w:vAlign w:val="center"/>
            <w:hideMark/>
          </w:tcPr>
          <w:p w14:paraId="4FCD9CBA" w14:textId="77777777" w:rsidR="00742275" w:rsidRPr="00A13B61" w:rsidRDefault="00742275" w:rsidP="002D3B5C">
            <w:pPr>
              <w:keepNext/>
              <w:spacing w:after="0"/>
              <w:rPr>
                <w:lang w:eastAsia="en-SG"/>
              </w:rPr>
            </w:pPr>
            <w:r w:rsidRPr="00A13B61">
              <w:rPr>
                <w:lang w:eastAsia="en-SG"/>
              </w:rPr>
              <w:t>94.4%</w:t>
            </w:r>
          </w:p>
        </w:tc>
        <w:tc>
          <w:tcPr>
            <w:tcW w:w="1938" w:type="dxa"/>
            <w:tcBorders>
              <w:top w:val="nil"/>
              <w:left w:val="nil"/>
              <w:bottom w:val="single" w:sz="4" w:space="0" w:color="auto"/>
              <w:right w:val="single" w:sz="4" w:space="0" w:color="auto"/>
            </w:tcBorders>
            <w:shd w:val="clear" w:color="auto" w:fill="auto"/>
            <w:noWrap/>
            <w:vAlign w:val="center"/>
            <w:hideMark/>
          </w:tcPr>
          <w:p w14:paraId="1E025C92" w14:textId="77777777" w:rsidR="00742275" w:rsidRPr="00A13B61" w:rsidRDefault="00742275" w:rsidP="002D3B5C">
            <w:pPr>
              <w:keepNext/>
              <w:spacing w:after="0"/>
              <w:rPr>
                <w:lang w:eastAsia="en-SG"/>
              </w:rPr>
            </w:pPr>
            <w:r w:rsidRPr="00A13B61">
              <w:rPr>
                <w:lang w:eastAsia="en-SG"/>
              </w:rPr>
              <w:t>96.3%</w:t>
            </w:r>
          </w:p>
        </w:tc>
        <w:tc>
          <w:tcPr>
            <w:tcW w:w="1940" w:type="dxa"/>
            <w:tcBorders>
              <w:top w:val="nil"/>
              <w:left w:val="nil"/>
              <w:bottom w:val="single" w:sz="4" w:space="0" w:color="auto"/>
              <w:right w:val="single" w:sz="4" w:space="0" w:color="auto"/>
            </w:tcBorders>
            <w:shd w:val="clear" w:color="auto" w:fill="auto"/>
            <w:noWrap/>
            <w:vAlign w:val="center"/>
            <w:hideMark/>
          </w:tcPr>
          <w:p w14:paraId="5BA60E13" w14:textId="77777777" w:rsidR="00742275" w:rsidRPr="00A13B61" w:rsidRDefault="00742275" w:rsidP="002D3B5C">
            <w:pPr>
              <w:keepNext/>
              <w:spacing w:after="0"/>
              <w:rPr>
                <w:lang w:eastAsia="en-SG"/>
              </w:rPr>
            </w:pPr>
            <w:r w:rsidRPr="00A13B61">
              <w:rPr>
                <w:lang w:eastAsia="en-SG"/>
              </w:rPr>
              <w:t>92.7%</w:t>
            </w:r>
          </w:p>
        </w:tc>
      </w:tr>
      <w:tr w:rsidR="000769F3" w:rsidRPr="00A13B61" w14:paraId="79B43117"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47D146B9" w14:textId="77777777" w:rsidR="00742275" w:rsidRPr="00A13B61" w:rsidRDefault="00742275" w:rsidP="002D3B5C">
            <w:pPr>
              <w:keepNext/>
              <w:spacing w:after="0"/>
              <w:rPr>
                <w:lang w:eastAsia="en-SG"/>
              </w:rPr>
            </w:pPr>
            <w:r w:rsidRPr="00A13B61">
              <w:rPr>
                <w:lang w:eastAsia="en-SG"/>
              </w:rPr>
              <w:t>Kerala</w:t>
            </w:r>
          </w:p>
        </w:tc>
        <w:tc>
          <w:tcPr>
            <w:tcW w:w="1938" w:type="dxa"/>
            <w:tcBorders>
              <w:top w:val="nil"/>
              <w:left w:val="nil"/>
              <w:bottom w:val="single" w:sz="4" w:space="0" w:color="auto"/>
              <w:right w:val="single" w:sz="4" w:space="0" w:color="auto"/>
            </w:tcBorders>
            <w:shd w:val="clear" w:color="auto" w:fill="auto"/>
            <w:noWrap/>
            <w:vAlign w:val="center"/>
            <w:hideMark/>
          </w:tcPr>
          <w:p w14:paraId="429312E1" w14:textId="77777777" w:rsidR="00742275" w:rsidRPr="00A13B61" w:rsidRDefault="00742275" w:rsidP="002D3B5C">
            <w:pPr>
              <w:keepNext/>
              <w:spacing w:after="0"/>
              <w:rPr>
                <w:lang w:eastAsia="en-SG"/>
              </w:rPr>
            </w:pPr>
            <w:r w:rsidRPr="00A13B61">
              <w:rPr>
                <w:lang w:eastAsia="en-SG"/>
              </w:rPr>
              <w:t>97.0%</w:t>
            </w:r>
          </w:p>
        </w:tc>
        <w:tc>
          <w:tcPr>
            <w:tcW w:w="1938" w:type="dxa"/>
            <w:tcBorders>
              <w:top w:val="nil"/>
              <w:left w:val="nil"/>
              <w:bottom w:val="single" w:sz="4" w:space="0" w:color="auto"/>
              <w:right w:val="single" w:sz="4" w:space="0" w:color="auto"/>
            </w:tcBorders>
            <w:shd w:val="clear" w:color="auto" w:fill="auto"/>
            <w:noWrap/>
            <w:vAlign w:val="center"/>
            <w:hideMark/>
          </w:tcPr>
          <w:p w14:paraId="1F481C41" w14:textId="77777777" w:rsidR="00742275" w:rsidRPr="00A13B61" w:rsidRDefault="00742275" w:rsidP="002D3B5C">
            <w:pPr>
              <w:keepNext/>
              <w:spacing w:after="0"/>
              <w:rPr>
                <w:lang w:eastAsia="en-SG"/>
              </w:rPr>
            </w:pPr>
            <w:r w:rsidRPr="00A13B61">
              <w:rPr>
                <w:lang w:eastAsia="en-SG"/>
              </w:rPr>
              <w:t>97.0%</w:t>
            </w:r>
          </w:p>
        </w:tc>
        <w:tc>
          <w:tcPr>
            <w:tcW w:w="1940" w:type="dxa"/>
            <w:tcBorders>
              <w:top w:val="nil"/>
              <w:left w:val="nil"/>
              <w:bottom w:val="single" w:sz="4" w:space="0" w:color="auto"/>
              <w:right w:val="single" w:sz="4" w:space="0" w:color="auto"/>
            </w:tcBorders>
            <w:shd w:val="clear" w:color="auto" w:fill="auto"/>
            <w:noWrap/>
            <w:vAlign w:val="center"/>
            <w:hideMark/>
          </w:tcPr>
          <w:p w14:paraId="2C70AD46" w14:textId="77777777" w:rsidR="00742275" w:rsidRPr="00A13B61" w:rsidRDefault="00742275" w:rsidP="002D3B5C">
            <w:pPr>
              <w:keepNext/>
              <w:spacing w:after="0"/>
              <w:rPr>
                <w:lang w:eastAsia="en-SG"/>
              </w:rPr>
            </w:pPr>
            <w:r w:rsidRPr="00A13B61">
              <w:rPr>
                <w:lang w:eastAsia="en-SG"/>
              </w:rPr>
              <w:t>102.2%</w:t>
            </w:r>
          </w:p>
        </w:tc>
      </w:tr>
      <w:tr w:rsidR="000769F3" w:rsidRPr="00A13B61" w14:paraId="5036810E"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10CC3752" w14:textId="77777777" w:rsidR="00742275" w:rsidRPr="00A13B61" w:rsidRDefault="00742275" w:rsidP="002D3B5C">
            <w:pPr>
              <w:keepNext/>
              <w:spacing w:after="0"/>
              <w:rPr>
                <w:lang w:eastAsia="en-SG"/>
              </w:rPr>
            </w:pPr>
            <w:r w:rsidRPr="00A13B61">
              <w:rPr>
                <w:lang w:eastAsia="en-SG"/>
              </w:rPr>
              <w:t>Madhya Pradesh</w:t>
            </w:r>
          </w:p>
        </w:tc>
        <w:tc>
          <w:tcPr>
            <w:tcW w:w="1938" w:type="dxa"/>
            <w:tcBorders>
              <w:top w:val="nil"/>
              <w:left w:val="nil"/>
              <w:bottom w:val="single" w:sz="4" w:space="0" w:color="auto"/>
              <w:right w:val="single" w:sz="4" w:space="0" w:color="auto"/>
            </w:tcBorders>
            <w:shd w:val="clear" w:color="auto" w:fill="auto"/>
            <w:noWrap/>
            <w:vAlign w:val="center"/>
            <w:hideMark/>
          </w:tcPr>
          <w:p w14:paraId="0572F0ED" w14:textId="77777777" w:rsidR="00742275" w:rsidRPr="00A13B61" w:rsidRDefault="00742275" w:rsidP="002D3B5C">
            <w:pPr>
              <w:keepNext/>
              <w:spacing w:after="0"/>
              <w:rPr>
                <w:lang w:eastAsia="en-SG"/>
              </w:rPr>
            </w:pPr>
            <w:r w:rsidRPr="00A13B61">
              <w:rPr>
                <w:lang w:eastAsia="en-SG"/>
              </w:rPr>
              <w:t>78.0%</w:t>
            </w:r>
          </w:p>
        </w:tc>
        <w:tc>
          <w:tcPr>
            <w:tcW w:w="1938" w:type="dxa"/>
            <w:tcBorders>
              <w:top w:val="nil"/>
              <w:left w:val="nil"/>
              <w:bottom w:val="single" w:sz="4" w:space="0" w:color="auto"/>
              <w:right w:val="single" w:sz="4" w:space="0" w:color="auto"/>
            </w:tcBorders>
            <w:shd w:val="clear" w:color="auto" w:fill="auto"/>
            <w:noWrap/>
            <w:vAlign w:val="center"/>
            <w:hideMark/>
          </w:tcPr>
          <w:p w14:paraId="2591670D" w14:textId="77777777" w:rsidR="00742275" w:rsidRPr="00A13B61" w:rsidRDefault="00742275" w:rsidP="002D3B5C">
            <w:pPr>
              <w:keepNext/>
              <w:spacing w:after="0"/>
              <w:rPr>
                <w:lang w:eastAsia="en-SG"/>
              </w:rPr>
            </w:pPr>
            <w:r w:rsidRPr="00A13B61">
              <w:rPr>
                <w:lang w:eastAsia="en-SG"/>
              </w:rPr>
              <w:t>95.4%</w:t>
            </w:r>
          </w:p>
        </w:tc>
        <w:tc>
          <w:tcPr>
            <w:tcW w:w="1940" w:type="dxa"/>
            <w:tcBorders>
              <w:top w:val="nil"/>
              <w:left w:val="nil"/>
              <w:bottom w:val="single" w:sz="4" w:space="0" w:color="auto"/>
              <w:right w:val="single" w:sz="4" w:space="0" w:color="auto"/>
            </w:tcBorders>
            <w:shd w:val="clear" w:color="auto" w:fill="auto"/>
            <w:noWrap/>
            <w:vAlign w:val="center"/>
            <w:hideMark/>
          </w:tcPr>
          <w:p w14:paraId="562B24FA" w14:textId="77777777" w:rsidR="00742275" w:rsidRPr="00A13B61" w:rsidRDefault="00742275" w:rsidP="002D3B5C">
            <w:pPr>
              <w:keepNext/>
              <w:spacing w:after="0"/>
              <w:rPr>
                <w:lang w:eastAsia="en-SG"/>
              </w:rPr>
            </w:pPr>
            <w:r w:rsidRPr="00A13B61">
              <w:rPr>
                <w:lang w:eastAsia="en-SG"/>
              </w:rPr>
              <w:t>88.9%</w:t>
            </w:r>
          </w:p>
        </w:tc>
      </w:tr>
      <w:tr w:rsidR="000769F3" w:rsidRPr="00A13B61" w14:paraId="14E64F01"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5601E80D" w14:textId="77777777" w:rsidR="00742275" w:rsidRPr="00A13B61" w:rsidRDefault="00742275" w:rsidP="002D3B5C">
            <w:pPr>
              <w:keepNext/>
              <w:spacing w:after="0"/>
              <w:rPr>
                <w:lang w:eastAsia="en-SG"/>
              </w:rPr>
            </w:pPr>
            <w:r w:rsidRPr="00A13B61">
              <w:rPr>
                <w:lang w:eastAsia="en-SG"/>
              </w:rPr>
              <w:t>Maharashtra</w:t>
            </w:r>
          </w:p>
        </w:tc>
        <w:tc>
          <w:tcPr>
            <w:tcW w:w="1938" w:type="dxa"/>
            <w:tcBorders>
              <w:top w:val="nil"/>
              <w:left w:val="nil"/>
              <w:bottom w:val="single" w:sz="4" w:space="0" w:color="auto"/>
              <w:right w:val="single" w:sz="4" w:space="0" w:color="auto"/>
            </w:tcBorders>
            <w:shd w:val="clear" w:color="auto" w:fill="auto"/>
            <w:noWrap/>
            <w:vAlign w:val="center"/>
            <w:hideMark/>
          </w:tcPr>
          <w:p w14:paraId="22301F21" w14:textId="77777777" w:rsidR="00742275" w:rsidRPr="00A13B61" w:rsidRDefault="00742275" w:rsidP="002D3B5C">
            <w:pPr>
              <w:keepNext/>
              <w:spacing w:after="0"/>
              <w:rPr>
                <w:lang w:eastAsia="en-SG"/>
              </w:rPr>
            </w:pPr>
            <w:r w:rsidRPr="00A13B61">
              <w:rPr>
                <w:lang w:eastAsia="en-SG"/>
              </w:rPr>
              <w:t>97.4%</w:t>
            </w:r>
          </w:p>
        </w:tc>
        <w:tc>
          <w:tcPr>
            <w:tcW w:w="1938" w:type="dxa"/>
            <w:tcBorders>
              <w:top w:val="nil"/>
              <w:left w:val="nil"/>
              <w:bottom w:val="single" w:sz="4" w:space="0" w:color="auto"/>
              <w:right w:val="single" w:sz="4" w:space="0" w:color="auto"/>
            </w:tcBorders>
            <w:shd w:val="clear" w:color="auto" w:fill="auto"/>
            <w:noWrap/>
            <w:vAlign w:val="center"/>
            <w:hideMark/>
          </w:tcPr>
          <w:p w14:paraId="2B26F7C0" w14:textId="77777777" w:rsidR="00742275" w:rsidRPr="00A13B61" w:rsidRDefault="00742275" w:rsidP="002D3B5C">
            <w:pPr>
              <w:keepNext/>
              <w:spacing w:after="0"/>
              <w:rPr>
                <w:lang w:eastAsia="en-SG"/>
              </w:rPr>
            </w:pPr>
            <w:r w:rsidRPr="00A13B61">
              <w:rPr>
                <w:lang w:eastAsia="en-SG"/>
              </w:rPr>
              <w:t>94.0%</w:t>
            </w:r>
          </w:p>
        </w:tc>
        <w:tc>
          <w:tcPr>
            <w:tcW w:w="1940" w:type="dxa"/>
            <w:tcBorders>
              <w:top w:val="nil"/>
              <w:left w:val="nil"/>
              <w:bottom w:val="single" w:sz="4" w:space="0" w:color="auto"/>
              <w:right w:val="single" w:sz="4" w:space="0" w:color="auto"/>
            </w:tcBorders>
            <w:shd w:val="clear" w:color="auto" w:fill="auto"/>
            <w:noWrap/>
            <w:vAlign w:val="center"/>
            <w:hideMark/>
          </w:tcPr>
          <w:p w14:paraId="10FB5486" w14:textId="77777777" w:rsidR="00742275" w:rsidRPr="00A13B61" w:rsidRDefault="00742275" w:rsidP="002D3B5C">
            <w:pPr>
              <w:keepNext/>
              <w:spacing w:after="0"/>
              <w:rPr>
                <w:lang w:eastAsia="en-SG"/>
              </w:rPr>
            </w:pPr>
            <w:r w:rsidRPr="00A13B61">
              <w:rPr>
                <w:lang w:eastAsia="en-SG"/>
              </w:rPr>
              <w:t>93.0%</w:t>
            </w:r>
          </w:p>
        </w:tc>
      </w:tr>
      <w:tr w:rsidR="000769F3" w:rsidRPr="00A13B61" w14:paraId="00DBC47C"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6271A749" w14:textId="77777777" w:rsidR="00742275" w:rsidRPr="00A13B61" w:rsidRDefault="00742275" w:rsidP="002D3B5C">
            <w:pPr>
              <w:keepNext/>
              <w:spacing w:after="0"/>
              <w:rPr>
                <w:lang w:eastAsia="en-SG"/>
              </w:rPr>
            </w:pPr>
            <w:r w:rsidRPr="00A13B61">
              <w:rPr>
                <w:lang w:eastAsia="en-SG"/>
              </w:rPr>
              <w:t>Meghalaya</w:t>
            </w:r>
          </w:p>
        </w:tc>
        <w:tc>
          <w:tcPr>
            <w:tcW w:w="1938" w:type="dxa"/>
            <w:tcBorders>
              <w:top w:val="nil"/>
              <w:left w:val="nil"/>
              <w:bottom w:val="single" w:sz="4" w:space="0" w:color="auto"/>
              <w:right w:val="single" w:sz="4" w:space="0" w:color="auto"/>
            </w:tcBorders>
            <w:shd w:val="clear" w:color="auto" w:fill="auto"/>
            <w:noWrap/>
            <w:vAlign w:val="center"/>
            <w:hideMark/>
          </w:tcPr>
          <w:p w14:paraId="3D2B9820" w14:textId="77777777" w:rsidR="00742275" w:rsidRPr="00A13B61" w:rsidRDefault="00742275" w:rsidP="002D3B5C">
            <w:pPr>
              <w:keepNext/>
              <w:spacing w:after="0"/>
              <w:rPr>
                <w:lang w:eastAsia="en-SG"/>
              </w:rPr>
            </w:pPr>
            <w:r w:rsidRPr="00A13B61">
              <w:rPr>
                <w:lang w:eastAsia="en-SG"/>
              </w:rPr>
              <w:t>39.5%</w:t>
            </w:r>
          </w:p>
        </w:tc>
        <w:tc>
          <w:tcPr>
            <w:tcW w:w="1938" w:type="dxa"/>
            <w:tcBorders>
              <w:top w:val="nil"/>
              <w:left w:val="nil"/>
              <w:bottom w:val="single" w:sz="4" w:space="0" w:color="auto"/>
              <w:right w:val="single" w:sz="4" w:space="0" w:color="auto"/>
            </w:tcBorders>
            <w:shd w:val="clear" w:color="auto" w:fill="auto"/>
            <w:noWrap/>
            <w:vAlign w:val="center"/>
            <w:hideMark/>
          </w:tcPr>
          <w:p w14:paraId="4C77E016" w14:textId="77777777" w:rsidR="00742275" w:rsidRPr="00A13B61" w:rsidRDefault="00742275" w:rsidP="002D3B5C">
            <w:pPr>
              <w:keepNext/>
              <w:spacing w:after="0"/>
              <w:rPr>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2DDC8B61" w14:textId="77777777" w:rsidR="00742275" w:rsidRPr="00A13B61" w:rsidRDefault="00742275" w:rsidP="002D3B5C">
            <w:pPr>
              <w:keepNext/>
              <w:spacing w:after="0"/>
              <w:rPr>
                <w:lang w:eastAsia="en-SG"/>
              </w:rPr>
            </w:pPr>
            <w:r w:rsidRPr="00A13B61">
              <w:rPr>
                <w:lang w:eastAsia="en-SG"/>
              </w:rPr>
              <w:t>28.8%</w:t>
            </w:r>
          </w:p>
        </w:tc>
      </w:tr>
      <w:tr w:rsidR="000769F3" w:rsidRPr="00A13B61" w14:paraId="49FBA3A1"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0A0D7E06" w14:textId="77777777" w:rsidR="00742275" w:rsidRPr="00A13B61" w:rsidRDefault="00742275" w:rsidP="002D3B5C">
            <w:pPr>
              <w:keepNext/>
              <w:spacing w:after="0"/>
              <w:rPr>
                <w:lang w:eastAsia="en-SG"/>
              </w:rPr>
            </w:pPr>
            <w:r w:rsidRPr="00A13B61">
              <w:rPr>
                <w:lang w:eastAsia="en-SG"/>
              </w:rPr>
              <w:t>Odisha</w:t>
            </w:r>
          </w:p>
        </w:tc>
        <w:tc>
          <w:tcPr>
            <w:tcW w:w="1938" w:type="dxa"/>
            <w:tcBorders>
              <w:top w:val="nil"/>
              <w:left w:val="nil"/>
              <w:bottom w:val="single" w:sz="4" w:space="0" w:color="auto"/>
              <w:right w:val="single" w:sz="4" w:space="0" w:color="auto"/>
            </w:tcBorders>
            <w:shd w:val="clear" w:color="auto" w:fill="auto"/>
            <w:noWrap/>
            <w:vAlign w:val="center"/>
            <w:hideMark/>
          </w:tcPr>
          <w:p w14:paraId="42A86FC4" w14:textId="77777777" w:rsidR="00742275" w:rsidRPr="00A13B61" w:rsidRDefault="00742275" w:rsidP="002D3B5C">
            <w:pPr>
              <w:keepNext/>
              <w:spacing w:after="0"/>
              <w:rPr>
                <w:lang w:eastAsia="en-SG"/>
              </w:rPr>
            </w:pPr>
            <w:r w:rsidRPr="00A13B61">
              <w:rPr>
                <w:lang w:eastAsia="en-SG"/>
              </w:rPr>
              <w:t>96.1%</w:t>
            </w:r>
          </w:p>
        </w:tc>
        <w:tc>
          <w:tcPr>
            <w:tcW w:w="1938" w:type="dxa"/>
            <w:tcBorders>
              <w:top w:val="nil"/>
              <w:left w:val="nil"/>
              <w:bottom w:val="single" w:sz="4" w:space="0" w:color="auto"/>
              <w:right w:val="single" w:sz="4" w:space="0" w:color="auto"/>
            </w:tcBorders>
            <w:shd w:val="clear" w:color="auto" w:fill="auto"/>
            <w:noWrap/>
            <w:vAlign w:val="center"/>
            <w:hideMark/>
          </w:tcPr>
          <w:p w14:paraId="52D49166" w14:textId="77777777" w:rsidR="00742275" w:rsidRPr="00A13B61" w:rsidRDefault="00742275" w:rsidP="002D3B5C">
            <w:pPr>
              <w:keepNext/>
              <w:spacing w:after="0"/>
              <w:rPr>
                <w:lang w:eastAsia="en-SG"/>
              </w:rPr>
            </w:pPr>
            <w:r w:rsidRPr="00A13B61">
              <w:rPr>
                <w:lang w:eastAsia="en-SG"/>
              </w:rPr>
              <w:t>95.4%</w:t>
            </w:r>
          </w:p>
        </w:tc>
        <w:tc>
          <w:tcPr>
            <w:tcW w:w="1940" w:type="dxa"/>
            <w:tcBorders>
              <w:top w:val="nil"/>
              <w:left w:val="nil"/>
              <w:bottom w:val="single" w:sz="4" w:space="0" w:color="auto"/>
              <w:right w:val="single" w:sz="4" w:space="0" w:color="auto"/>
            </w:tcBorders>
            <w:shd w:val="clear" w:color="auto" w:fill="auto"/>
            <w:noWrap/>
            <w:vAlign w:val="center"/>
            <w:hideMark/>
          </w:tcPr>
          <w:p w14:paraId="3FDADA75" w14:textId="77777777" w:rsidR="00742275" w:rsidRPr="00A13B61" w:rsidRDefault="00742275" w:rsidP="002D3B5C">
            <w:pPr>
              <w:keepNext/>
              <w:spacing w:after="0"/>
              <w:rPr>
                <w:lang w:eastAsia="en-SG"/>
              </w:rPr>
            </w:pPr>
            <w:r w:rsidRPr="00A13B61">
              <w:rPr>
                <w:lang w:eastAsia="en-SG"/>
              </w:rPr>
              <w:t>92.7%</w:t>
            </w:r>
          </w:p>
        </w:tc>
      </w:tr>
      <w:tr w:rsidR="000769F3" w:rsidRPr="00A13B61" w14:paraId="79823B62"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55C12B42" w14:textId="77777777" w:rsidR="00742275" w:rsidRPr="00A13B61" w:rsidRDefault="00742275" w:rsidP="002D3B5C">
            <w:pPr>
              <w:keepNext/>
              <w:spacing w:after="0"/>
              <w:rPr>
                <w:lang w:eastAsia="en-SG"/>
              </w:rPr>
            </w:pPr>
            <w:r w:rsidRPr="00A13B61">
              <w:rPr>
                <w:lang w:eastAsia="en-SG"/>
              </w:rPr>
              <w:t>Puducherry</w:t>
            </w:r>
          </w:p>
        </w:tc>
        <w:tc>
          <w:tcPr>
            <w:tcW w:w="1938" w:type="dxa"/>
            <w:tcBorders>
              <w:top w:val="nil"/>
              <w:left w:val="nil"/>
              <w:bottom w:val="single" w:sz="4" w:space="0" w:color="auto"/>
              <w:right w:val="single" w:sz="4" w:space="0" w:color="auto"/>
            </w:tcBorders>
            <w:shd w:val="clear" w:color="auto" w:fill="auto"/>
            <w:noWrap/>
            <w:vAlign w:val="center"/>
            <w:hideMark/>
          </w:tcPr>
          <w:p w14:paraId="6EA55FA9" w14:textId="77777777" w:rsidR="00742275" w:rsidRPr="00A13B61" w:rsidRDefault="00742275" w:rsidP="002D3B5C">
            <w:pPr>
              <w:keepNext/>
              <w:spacing w:after="0"/>
              <w:rPr>
                <w:lang w:eastAsia="en-SG"/>
              </w:rPr>
            </w:pPr>
            <w:r w:rsidRPr="00A13B61">
              <w:rPr>
                <w:lang w:eastAsia="en-SG"/>
              </w:rPr>
              <w:t>99.4%</w:t>
            </w:r>
          </w:p>
        </w:tc>
        <w:tc>
          <w:tcPr>
            <w:tcW w:w="1938" w:type="dxa"/>
            <w:tcBorders>
              <w:top w:val="nil"/>
              <w:left w:val="nil"/>
              <w:bottom w:val="single" w:sz="4" w:space="0" w:color="auto"/>
              <w:right w:val="single" w:sz="4" w:space="0" w:color="auto"/>
            </w:tcBorders>
            <w:shd w:val="clear" w:color="auto" w:fill="auto"/>
            <w:noWrap/>
            <w:vAlign w:val="center"/>
            <w:hideMark/>
          </w:tcPr>
          <w:p w14:paraId="5953CAAF" w14:textId="77777777" w:rsidR="00742275" w:rsidRPr="00A13B61" w:rsidRDefault="00742275" w:rsidP="002D3B5C">
            <w:pPr>
              <w:keepNext/>
              <w:spacing w:after="0"/>
              <w:rPr>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7E9371D0" w14:textId="77777777" w:rsidR="00742275" w:rsidRPr="00A13B61" w:rsidRDefault="00742275" w:rsidP="002D3B5C">
            <w:pPr>
              <w:keepNext/>
              <w:spacing w:after="0"/>
              <w:rPr>
                <w:lang w:eastAsia="en-SG"/>
              </w:rPr>
            </w:pPr>
            <w:r w:rsidRPr="00A13B61">
              <w:rPr>
                <w:lang w:eastAsia="en-SG"/>
              </w:rPr>
              <w:t>92.3%</w:t>
            </w:r>
          </w:p>
        </w:tc>
      </w:tr>
      <w:tr w:rsidR="000769F3" w:rsidRPr="00A13B61" w14:paraId="4C5B9720"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142D2480" w14:textId="77777777" w:rsidR="00742275" w:rsidRPr="00A13B61" w:rsidRDefault="00742275" w:rsidP="002D3B5C">
            <w:pPr>
              <w:keepNext/>
              <w:spacing w:after="0"/>
              <w:rPr>
                <w:lang w:eastAsia="en-SG"/>
              </w:rPr>
            </w:pPr>
            <w:r w:rsidRPr="00A13B61">
              <w:rPr>
                <w:lang w:eastAsia="en-SG"/>
              </w:rPr>
              <w:t>Punjab</w:t>
            </w:r>
          </w:p>
        </w:tc>
        <w:tc>
          <w:tcPr>
            <w:tcW w:w="1938" w:type="dxa"/>
            <w:tcBorders>
              <w:top w:val="nil"/>
              <w:left w:val="nil"/>
              <w:bottom w:val="single" w:sz="4" w:space="0" w:color="auto"/>
              <w:right w:val="single" w:sz="4" w:space="0" w:color="auto"/>
            </w:tcBorders>
            <w:shd w:val="clear" w:color="auto" w:fill="auto"/>
            <w:noWrap/>
            <w:vAlign w:val="center"/>
            <w:hideMark/>
          </w:tcPr>
          <w:p w14:paraId="22DE0CC2" w14:textId="77777777" w:rsidR="00742275" w:rsidRPr="00A13B61" w:rsidRDefault="00742275" w:rsidP="002D3B5C">
            <w:pPr>
              <w:keepNext/>
              <w:spacing w:after="0"/>
              <w:rPr>
                <w:lang w:eastAsia="en-SG"/>
              </w:rPr>
            </w:pPr>
            <w:r w:rsidRPr="00A13B61">
              <w:rPr>
                <w:lang w:eastAsia="en-SG"/>
              </w:rPr>
              <w:t>96.6%</w:t>
            </w:r>
          </w:p>
        </w:tc>
        <w:tc>
          <w:tcPr>
            <w:tcW w:w="1938" w:type="dxa"/>
            <w:tcBorders>
              <w:top w:val="nil"/>
              <w:left w:val="nil"/>
              <w:bottom w:val="single" w:sz="4" w:space="0" w:color="auto"/>
              <w:right w:val="single" w:sz="4" w:space="0" w:color="auto"/>
            </w:tcBorders>
            <w:shd w:val="clear" w:color="auto" w:fill="auto"/>
            <w:noWrap/>
            <w:vAlign w:val="center"/>
            <w:hideMark/>
          </w:tcPr>
          <w:p w14:paraId="3B9C222D" w14:textId="77777777" w:rsidR="00742275" w:rsidRPr="00A13B61" w:rsidRDefault="00742275" w:rsidP="002D3B5C">
            <w:pPr>
              <w:keepNext/>
              <w:spacing w:after="0"/>
              <w:rPr>
                <w:lang w:eastAsia="en-SG"/>
              </w:rPr>
            </w:pPr>
            <w:r w:rsidRPr="00A13B61">
              <w:rPr>
                <w:lang w:eastAsia="en-SG"/>
              </w:rPr>
              <w:t>97.8%</w:t>
            </w:r>
          </w:p>
        </w:tc>
        <w:tc>
          <w:tcPr>
            <w:tcW w:w="1940" w:type="dxa"/>
            <w:tcBorders>
              <w:top w:val="nil"/>
              <w:left w:val="nil"/>
              <w:bottom w:val="single" w:sz="4" w:space="0" w:color="auto"/>
              <w:right w:val="single" w:sz="4" w:space="0" w:color="auto"/>
            </w:tcBorders>
            <w:shd w:val="clear" w:color="auto" w:fill="auto"/>
            <w:noWrap/>
            <w:vAlign w:val="center"/>
            <w:hideMark/>
          </w:tcPr>
          <w:p w14:paraId="6FD7FEEC" w14:textId="77777777" w:rsidR="00742275" w:rsidRPr="00A13B61" w:rsidRDefault="00742275" w:rsidP="002D3B5C">
            <w:pPr>
              <w:keepNext/>
              <w:spacing w:after="0"/>
              <w:rPr>
                <w:lang w:eastAsia="en-SG"/>
              </w:rPr>
            </w:pPr>
            <w:r w:rsidRPr="00A13B61">
              <w:rPr>
                <w:lang w:eastAsia="en-SG"/>
              </w:rPr>
              <w:t>101.2%</w:t>
            </w:r>
          </w:p>
        </w:tc>
      </w:tr>
      <w:tr w:rsidR="000769F3" w:rsidRPr="00A13B61" w14:paraId="37F51CF9"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70C175F9" w14:textId="77777777" w:rsidR="00742275" w:rsidRPr="00A13B61" w:rsidRDefault="00742275" w:rsidP="002D3B5C">
            <w:pPr>
              <w:keepNext/>
              <w:spacing w:after="0"/>
              <w:rPr>
                <w:lang w:eastAsia="en-SG"/>
              </w:rPr>
            </w:pPr>
            <w:r w:rsidRPr="00A13B61">
              <w:rPr>
                <w:lang w:eastAsia="en-SG"/>
              </w:rPr>
              <w:t>Rajasthan</w:t>
            </w:r>
          </w:p>
        </w:tc>
        <w:tc>
          <w:tcPr>
            <w:tcW w:w="1938" w:type="dxa"/>
            <w:tcBorders>
              <w:top w:val="nil"/>
              <w:left w:val="nil"/>
              <w:bottom w:val="single" w:sz="4" w:space="0" w:color="auto"/>
              <w:right w:val="single" w:sz="4" w:space="0" w:color="auto"/>
            </w:tcBorders>
            <w:shd w:val="clear" w:color="auto" w:fill="auto"/>
            <w:noWrap/>
            <w:vAlign w:val="center"/>
            <w:hideMark/>
          </w:tcPr>
          <w:p w14:paraId="48D7B902" w14:textId="77777777" w:rsidR="00742275" w:rsidRPr="00A13B61" w:rsidRDefault="00742275" w:rsidP="002D3B5C">
            <w:pPr>
              <w:keepNext/>
              <w:spacing w:after="0"/>
              <w:rPr>
                <w:lang w:eastAsia="en-SG"/>
              </w:rPr>
            </w:pPr>
            <w:r w:rsidRPr="00A13B61">
              <w:rPr>
                <w:lang w:eastAsia="en-SG"/>
              </w:rPr>
              <w:t>83.1%</w:t>
            </w:r>
          </w:p>
        </w:tc>
        <w:tc>
          <w:tcPr>
            <w:tcW w:w="1938" w:type="dxa"/>
            <w:tcBorders>
              <w:top w:val="nil"/>
              <w:left w:val="nil"/>
              <w:bottom w:val="single" w:sz="4" w:space="0" w:color="auto"/>
              <w:right w:val="single" w:sz="4" w:space="0" w:color="auto"/>
            </w:tcBorders>
            <w:shd w:val="clear" w:color="auto" w:fill="auto"/>
            <w:noWrap/>
            <w:vAlign w:val="center"/>
            <w:hideMark/>
          </w:tcPr>
          <w:p w14:paraId="16E15CC4" w14:textId="77777777" w:rsidR="00742275" w:rsidRPr="00A13B61" w:rsidRDefault="00742275" w:rsidP="002D3B5C">
            <w:pPr>
              <w:keepNext/>
              <w:spacing w:after="0"/>
              <w:rPr>
                <w:lang w:eastAsia="en-SG"/>
              </w:rPr>
            </w:pPr>
            <w:r w:rsidRPr="00A13B61">
              <w:rPr>
                <w:lang w:eastAsia="en-SG"/>
              </w:rPr>
              <w:t>91.0%</w:t>
            </w:r>
          </w:p>
        </w:tc>
        <w:tc>
          <w:tcPr>
            <w:tcW w:w="1940" w:type="dxa"/>
            <w:tcBorders>
              <w:top w:val="nil"/>
              <w:left w:val="nil"/>
              <w:bottom w:val="single" w:sz="4" w:space="0" w:color="auto"/>
              <w:right w:val="single" w:sz="4" w:space="0" w:color="auto"/>
            </w:tcBorders>
            <w:shd w:val="clear" w:color="auto" w:fill="auto"/>
            <w:noWrap/>
            <w:vAlign w:val="center"/>
            <w:hideMark/>
          </w:tcPr>
          <w:p w14:paraId="5EB09947" w14:textId="77777777" w:rsidR="00742275" w:rsidRPr="00A13B61" w:rsidRDefault="00742275" w:rsidP="002D3B5C">
            <w:pPr>
              <w:keepNext/>
              <w:spacing w:after="0"/>
              <w:rPr>
                <w:lang w:eastAsia="en-SG"/>
              </w:rPr>
            </w:pPr>
            <w:r w:rsidRPr="00A13B61">
              <w:rPr>
                <w:lang w:eastAsia="en-SG"/>
              </w:rPr>
              <w:t>86.2%</w:t>
            </w:r>
          </w:p>
        </w:tc>
      </w:tr>
      <w:tr w:rsidR="000769F3" w:rsidRPr="00A13B61" w14:paraId="78293E11"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516550AD" w14:textId="77777777" w:rsidR="00742275" w:rsidRPr="00A13B61" w:rsidRDefault="00742275" w:rsidP="002D3B5C">
            <w:pPr>
              <w:keepNext/>
              <w:spacing w:after="0"/>
              <w:rPr>
                <w:lang w:eastAsia="en-SG"/>
              </w:rPr>
            </w:pPr>
            <w:r w:rsidRPr="00A13B61">
              <w:rPr>
                <w:lang w:eastAsia="en-SG"/>
              </w:rPr>
              <w:t>Sikkim</w:t>
            </w:r>
          </w:p>
        </w:tc>
        <w:tc>
          <w:tcPr>
            <w:tcW w:w="1938" w:type="dxa"/>
            <w:tcBorders>
              <w:top w:val="nil"/>
              <w:left w:val="nil"/>
              <w:bottom w:val="single" w:sz="4" w:space="0" w:color="auto"/>
              <w:right w:val="single" w:sz="4" w:space="0" w:color="auto"/>
            </w:tcBorders>
            <w:shd w:val="clear" w:color="auto" w:fill="auto"/>
            <w:noWrap/>
            <w:vAlign w:val="center"/>
            <w:hideMark/>
          </w:tcPr>
          <w:p w14:paraId="36D4DCFB" w14:textId="77777777" w:rsidR="00742275" w:rsidRPr="00A13B61" w:rsidRDefault="00742275" w:rsidP="002D3B5C">
            <w:pPr>
              <w:keepNext/>
              <w:spacing w:after="0"/>
              <w:rPr>
                <w:lang w:eastAsia="en-SG"/>
              </w:rPr>
            </w:pPr>
            <w:r w:rsidRPr="00A13B61">
              <w:rPr>
                <w:lang w:eastAsia="en-SG"/>
              </w:rPr>
              <w:t>91.6%</w:t>
            </w:r>
          </w:p>
        </w:tc>
        <w:tc>
          <w:tcPr>
            <w:tcW w:w="1938" w:type="dxa"/>
            <w:tcBorders>
              <w:top w:val="nil"/>
              <w:left w:val="nil"/>
              <w:bottom w:val="single" w:sz="4" w:space="0" w:color="auto"/>
              <w:right w:val="single" w:sz="4" w:space="0" w:color="auto"/>
            </w:tcBorders>
            <w:shd w:val="clear" w:color="auto" w:fill="auto"/>
            <w:noWrap/>
            <w:vAlign w:val="center"/>
            <w:hideMark/>
          </w:tcPr>
          <w:p w14:paraId="1F2E64C0" w14:textId="77777777" w:rsidR="00742275" w:rsidRPr="00A13B61" w:rsidRDefault="00742275" w:rsidP="002D3B5C">
            <w:pPr>
              <w:keepNext/>
              <w:spacing w:after="0"/>
              <w:rPr>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51DBCBE0" w14:textId="77777777" w:rsidR="00742275" w:rsidRPr="00A13B61" w:rsidRDefault="00742275" w:rsidP="002D3B5C">
            <w:pPr>
              <w:keepNext/>
              <w:spacing w:after="0"/>
              <w:rPr>
                <w:lang w:eastAsia="en-SG"/>
              </w:rPr>
            </w:pPr>
            <w:r w:rsidRPr="00A13B61">
              <w:rPr>
                <w:lang w:eastAsia="en-SG"/>
              </w:rPr>
              <w:t>85.1%</w:t>
            </w:r>
          </w:p>
        </w:tc>
      </w:tr>
      <w:tr w:rsidR="000769F3" w:rsidRPr="00A13B61" w14:paraId="74020054"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613F0F61" w14:textId="77777777" w:rsidR="00742275" w:rsidRPr="00A13B61" w:rsidRDefault="00742275" w:rsidP="002D3B5C">
            <w:pPr>
              <w:keepNext/>
              <w:spacing w:after="0"/>
              <w:rPr>
                <w:lang w:eastAsia="en-SG"/>
              </w:rPr>
            </w:pPr>
            <w:r w:rsidRPr="00A13B61">
              <w:rPr>
                <w:lang w:eastAsia="en-SG"/>
              </w:rPr>
              <w:t>Tamil Nadu</w:t>
            </w:r>
          </w:p>
        </w:tc>
        <w:tc>
          <w:tcPr>
            <w:tcW w:w="1938" w:type="dxa"/>
            <w:tcBorders>
              <w:top w:val="nil"/>
              <w:left w:val="nil"/>
              <w:bottom w:val="single" w:sz="4" w:space="0" w:color="auto"/>
              <w:right w:val="single" w:sz="4" w:space="0" w:color="auto"/>
            </w:tcBorders>
            <w:shd w:val="clear" w:color="auto" w:fill="auto"/>
            <w:noWrap/>
            <w:vAlign w:val="center"/>
            <w:hideMark/>
          </w:tcPr>
          <w:p w14:paraId="4B3DEA28" w14:textId="77777777" w:rsidR="00742275" w:rsidRPr="00A13B61" w:rsidRDefault="00742275" w:rsidP="002D3B5C">
            <w:pPr>
              <w:keepNext/>
              <w:spacing w:after="0"/>
              <w:rPr>
                <w:lang w:eastAsia="en-SG"/>
              </w:rPr>
            </w:pPr>
            <w:r w:rsidRPr="00A13B61">
              <w:rPr>
                <w:lang w:eastAsia="en-SG"/>
              </w:rPr>
              <w:t>97.4%</w:t>
            </w:r>
          </w:p>
        </w:tc>
        <w:tc>
          <w:tcPr>
            <w:tcW w:w="1938" w:type="dxa"/>
            <w:tcBorders>
              <w:top w:val="nil"/>
              <w:left w:val="nil"/>
              <w:bottom w:val="single" w:sz="4" w:space="0" w:color="auto"/>
              <w:right w:val="single" w:sz="4" w:space="0" w:color="auto"/>
            </w:tcBorders>
            <w:shd w:val="clear" w:color="auto" w:fill="auto"/>
            <w:noWrap/>
            <w:vAlign w:val="center"/>
            <w:hideMark/>
          </w:tcPr>
          <w:p w14:paraId="214CEC48" w14:textId="77777777" w:rsidR="00742275" w:rsidRPr="00A13B61" w:rsidRDefault="00742275" w:rsidP="002D3B5C">
            <w:pPr>
              <w:keepNext/>
              <w:spacing w:after="0"/>
              <w:rPr>
                <w:lang w:eastAsia="en-SG"/>
              </w:rPr>
            </w:pPr>
            <w:r w:rsidRPr="00A13B61">
              <w:rPr>
                <w:lang w:eastAsia="en-SG"/>
              </w:rPr>
              <w:t>95.9%</w:t>
            </w:r>
          </w:p>
        </w:tc>
        <w:tc>
          <w:tcPr>
            <w:tcW w:w="1940" w:type="dxa"/>
            <w:tcBorders>
              <w:top w:val="nil"/>
              <w:left w:val="nil"/>
              <w:bottom w:val="single" w:sz="4" w:space="0" w:color="auto"/>
              <w:right w:val="single" w:sz="4" w:space="0" w:color="auto"/>
            </w:tcBorders>
            <w:shd w:val="clear" w:color="auto" w:fill="auto"/>
            <w:noWrap/>
            <w:vAlign w:val="center"/>
            <w:hideMark/>
          </w:tcPr>
          <w:p w14:paraId="1F114147" w14:textId="77777777" w:rsidR="00742275" w:rsidRPr="00A13B61" w:rsidRDefault="00742275" w:rsidP="002D3B5C">
            <w:pPr>
              <w:keepNext/>
              <w:spacing w:after="0"/>
              <w:rPr>
                <w:lang w:eastAsia="en-SG"/>
              </w:rPr>
            </w:pPr>
            <w:r w:rsidRPr="00A13B61">
              <w:rPr>
                <w:lang w:eastAsia="en-SG"/>
              </w:rPr>
              <w:t>93.3%</w:t>
            </w:r>
          </w:p>
        </w:tc>
      </w:tr>
      <w:tr w:rsidR="000769F3" w:rsidRPr="00A13B61" w14:paraId="4A102906"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0BD397EC" w14:textId="77777777" w:rsidR="00742275" w:rsidRPr="00A13B61" w:rsidRDefault="00742275" w:rsidP="002D3B5C">
            <w:pPr>
              <w:keepNext/>
              <w:spacing w:after="0"/>
              <w:rPr>
                <w:lang w:eastAsia="en-SG"/>
              </w:rPr>
            </w:pPr>
            <w:r w:rsidRPr="00A13B61">
              <w:rPr>
                <w:lang w:eastAsia="en-SG"/>
              </w:rPr>
              <w:t>Telangana</w:t>
            </w:r>
          </w:p>
        </w:tc>
        <w:tc>
          <w:tcPr>
            <w:tcW w:w="1938" w:type="dxa"/>
            <w:tcBorders>
              <w:top w:val="nil"/>
              <w:left w:val="nil"/>
              <w:bottom w:val="single" w:sz="4" w:space="0" w:color="auto"/>
              <w:right w:val="single" w:sz="4" w:space="0" w:color="auto"/>
            </w:tcBorders>
            <w:shd w:val="clear" w:color="auto" w:fill="auto"/>
            <w:noWrap/>
            <w:vAlign w:val="center"/>
            <w:hideMark/>
          </w:tcPr>
          <w:p w14:paraId="4F77E085" w14:textId="77777777" w:rsidR="00742275" w:rsidRPr="00A13B61" w:rsidRDefault="00742275" w:rsidP="002D3B5C">
            <w:pPr>
              <w:keepNext/>
              <w:spacing w:after="0"/>
              <w:rPr>
                <w:lang w:eastAsia="en-SG"/>
              </w:rPr>
            </w:pPr>
            <w:r w:rsidRPr="00A13B61">
              <w:rPr>
                <w:lang w:eastAsia="en-SG"/>
              </w:rPr>
              <w:t>99.8%</w:t>
            </w:r>
          </w:p>
        </w:tc>
        <w:tc>
          <w:tcPr>
            <w:tcW w:w="1938" w:type="dxa"/>
            <w:tcBorders>
              <w:top w:val="nil"/>
              <w:left w:val="nil"/>
              <w:bottom w:val="single" w:sz="4" w:space="0" w:color="auto"/>
              <w:right w:val="single" w:sz="4" w:space="0" w:color="auto"/>
            </w:tcBorders>
            <w:shd w:val="clear" w:color="auto" w:fill="auto"/>
            <w:noWrap/>
            <w:vAlign w:val="center"/>
            <w:hideMark/>
          </w:tcPr>
          <w:p w14:paraId="44ED3977" w14:textId="77777777" w:rsidR="00742275" w:rsidRPr="00EF3F7D" w:rsidRDefault="00742275" w:rsidP="002D3B5C">
            <w:pPr>
              <w:keepNext/>
              <w:spacing w:after="0"/>
              <w:rPr>
                <w:color w:val="808080" w:themeColor="background1" w:themeShade="80"/>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5BC25A54" w14:textId="77777777" w:rsidR="00742275" w:rsidRPr="00A13B61" w:rsidRDefault="00742275" w:rsidP="002D3B5C">
            <w:pPr>
              <w:keepNext/>
              <w:spacing w:after="0"/>
              <w:rPr>
                <w:lang w:eastAsia="en-SG"/>
              </w:rPr>
            </w:pPr>
            <w:r w:rsidRPr="00A13B61">
              <w:rPr>
                <w:lang w:eastAsia="en-SG"/>
              </w:rPr>
              <w:t>100.5%</w:t>
            </w:r>
          </w:p>
        </w:tc>
      </w:tr>
      <w:tr w:rsidR="000769F3" w:rsidRPr="00A13B61" w14:paraId="67EDD9EC"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6902A338" w14:textId="77777777" w:rsidR="00742275" w:rsidRPr="00A13B61" w:rsidRDefault="00742275" w:rsidP="002D3B5C">
            <w:pPr>
              <w:keepNext/>
              <w:spacing w:after="0"/>
              <w:rPr>
                <w:lang w:eastAsia="en-SG"/>
              </w:rPr>
            </w:pPr>
            <w:r w:rsidRPr="00A13B61">
              <w:rPr>
                <w:lang w:eastAsia="en-SG"/>
              </w:rPr>
              <w:t>Tripura</w:t>
            </w:r>
          </w:p>
        </w:tc>
        <w:tc>
          <w:tcPr>
            <w:tcW w:w="1938" w:type="dxa"/>
            <w:tcBorders>
              <w:top w:val="nil"/>
              <w:left w:val="nil"/>
              <w:bottom w:val="single" w:sz="4" w:space="0" w:color="auto"/>
              <w:right w:val="single" w:sz="4" w:space="0" w:color="auto"/>
            </w:tcBorders>
            <w:shd w:val="clear" w:color="auto" w:fill="auto"/>
            <w:noWrap/>
            <w:vAlign w:val="center"/>
            <w:hideMark/>
          </w:tcPr>
          <w:p w14:paraId="253C8598" w14:textId="77777777" w:rsidR="00742275" w:rsidRPr="00A13B61" w:rsidRDefault="00742275" w:rsidP="002D3B5C">
            <w:pPr>
              <w:keepNext/>
              <w:spacing w:after="0"/>
              <w:rPr>
                <w:lang w:eastAsia="en-SG"/>
              </w:rPr>
            </w:pPr>
            <w:r w:rsidRPr="00A13B61">
              <w:rPr>
                <w:lang w:eastAsia="en-SG"/>
              </w:rPr>
              <w:t>97.8%</w:t>
            </w:r>
          </w:p>
        </w:tc>
        <w:tc>
          <w:tcPr>
            <w:tcW w:w="1938" w:type="dxa"/>
            <w:tcBorders>
              <w:top w:val="nil"/>
              <w:left w:val="nil"/>
              <w:bottom w:val="single" w:sz="4" w:space="0" w:color="auto"/>
              <w:right w:val="single" w:sz="4" w:space="0" w:color="auto"/>
            </w:tcBorders>
            <w:shd w:val="clear" w:color="auto" w:fill="auto"/>
            <w:noWrap/>
            <w:vAlign w:val="center"/>
            <w:hideMark/>
          </w:tcPr>
          <w:p w14:paraId="1DDDE16D" w14:textId="77777777" w:rsidR="00742275" w:rsidRPr="00EF3F7D" w:rsidRDefault="00742275" w:rsidP="002D3B5C">
            <w:pPr>
              <w:keepNext/>
              <w:spacing w:after="0"/>
              <w:rPr>
                <w:color w:val="808080" w:themeColor="background1" w:themeShade="80"/>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641DD7D4" w14:textId="77777777" w:rsidR="00742275" w:rsidRPr="00A13B61" w:rsidRDefault="00742275" w:rsidP="002D3B5C">
            <w:pPr>
              <w:keepNext/>
              <w:spacing w:after="0"/>
              <w:rPr>
                <w:lang w:eastAsia="en-SG"/>
              </w:rPr>
            </w:pPr>
            <w:r w:rsidRPr="00A13B61">
              <w:rPr>
                <w:lang w:eastAsia="en-SG"/>
              </w:rPr>
              <w:t>88.8%</w:t>
            </w:r>
          </w:p>
        </w:tc>
      </w:tr>
      <w:tr w:rsidR="000769F3" w:rsidRPr="00A13B61" w14:paraId="21BFB4B6"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2ACE20E1" w14:textId="77777777" w:rsidR="00742275" w:rsidRPr="00A13B61" w:rsidRDefault="00742275" w:rsidP="002D3B5C">
            <w:pPr>
              <w:keepNext/>
              <w:spacing w:after="0"/>
              <w:rPr>
                <w:lang w:eastAsia="en-SG"/>
              </w:rPr>
            </w:pPr>
            <w:r w:rsidRPr="00A13B61">
              <w:rPr>
                <w:lang w:eastAsia="en-SG"/>
              </w:rPr>
              <w:t>Uttar Pradesh</w:t>
            </w:r>
          </w:p>
        </w:tc>
        <w:tc>
          <w:tcPr>
            <w:tcW w:w="1938" w:type="dxa"/>
            <w:tcBorders>
              <w:top w:val="nil"/>
              <w:left w:val="nil"/>
              <w:bottom w:val="single" w:sz="4" w:space="0" w:color="auto"/>
              <w:right w:val="single" w:sz="4" w:space="0" w:color="auto"/>
            </w:tcBorders>
            <w:shd w:val="clear" w:color="auto" w:fill="auto"/>
            <w:noWrap/>
            <w:vAlign w:val="center"/>
            <w:hideMark/>
          </w:tcPr>
          <w:p w14:paraId="40D03207" w14:textId="77777777" w:rsidR="00742275" w:rsidRPr="00A13B61" w:rsidRDefault="00742275" w:rsidP="002D3B5C">
            <w:pPr>
              <w:keepNext/>
              <w:spacing w:after="0"/>
              <w:rPr>
                <w:lang w:eastAsia="en-SG"/>
              </w:rPr>
            </w:pPr>
            <w:r w:rsidRPr="00A13B61">
              <w:rPr>
                <w:lang w:eastAsia="en-SG"/>
              </w:rPr>
              <w:t>91.1%</w:t>
            </w:r>
          </w:p>
        </w:tc>
        <w:tc>
          <w:tcPr>
            <w:tcW w:w="1938" w:type="dxa"/>
            <w:tcBorders>
              <w:top w:val="nil"/>
              <w:left w:val="nil"/>
              <w:bottom w:val="single" w:sz="4" w:space="0" w:color="auto"/>
              <w:right w:val="single" w:sz="4" w:space="0" w:color="auto"/>
            </w:tcBorders>
            <w:shd w:val="clear" w:color="auto" w:fill="auto"/>
            <w:noWrap/>
            <w:vAlign w:val="center"/>
            <w:hideMark/>
          </w:tcPr>
          <w:p w14:paraId="0E1C0BAA" w14:textId="77777777" w:rsidR="00742275" w:rsidRPr="00A13B61" w:rsidRDefault="00742275" w:rsidP="002D3B5C">
            <w:pPr>
              <w:keepNext/>
              <w:spacing w:after="0"/>
              <w:rPr>
                <w:lang w:eastAsia="en-SG"/>
              </w:rPr>
            </w:pPr>
            <w:r w:rsidRPr="00A13B61">
              <w:rPr>
                <w:lang w:eastAsia="en-SG"/>
              </w:rPr>
              <w:t>89.5%</w:t>
            </w:r>
          </w:p>
        </w:tc>
        <w:tc>
          <w:tcPr>
            <w:tcW w:w="1940" w:type="dxa"/>
            <w:tcBorders>
              <w:top w:val="nil"/>
              <w:left w:val="nil"/>
              <w:bottom w:val="single" w:sz="4" w:space="0" w:color="auto"/>
              <w:right w:val="single" w:sz="4" w:space="0" w:color="auto"/>
            </w:tcBorders>
            <w:shd w:val="clear" w:color="auto" w:fill="auto"/>
            <w:noWrap/>
            <w:vAlign w:val="center"/>
            <w:hideMark/>
          </w:tcPr>
          <w:p w14:paraId="64F8396B" w14:textId="77777777" w:rsidR="00742275" w:rsidRPr="00A13B61" w:rsidRDefault="00742275" w:rsidP="002D3B5C">
            <w:pPr>
              <w:keepNext/>
              <w:spacing w:after="0"/>
              <w:rPr>
                <w:lang w:eastAsia="en-SG"/>
              </w:rPr>
            </w:pPr>
            <w:r w:rsidRPr="00A13B61">
              <w:rPr>
                <w:lang w:eastAsia="en-SG"/>
              </w:rPr>
              <w:t>86.7%</w:t>
            </w:r>
          </w:p>
        </w:tc>
      </w:tr>
      <w:tr w:rsidR="000769F3" w:rsidRPr="00A13B61" w14:paraId="1570354B"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528460BD" w14:textId="77777777" w:rsidR="00742275" w:rsidRPr="00A13B61" w:rsidRDefault="00742275" w:rsidP="002D3B5C">
            <w:pPr>
              <w:keepNext/>
              <w:spacing w:after="0"/>
              <w:rPr>
                <w:lang w:eastAsia="en-SG"/>
              </w:rPr>
            </w:pPr>
            <w:r w:rsidRPr="00A13B61">
              <w:rPr>
                <w:lang w:eastAsia="en-SG"/>
              </w:rPr>
              <w:t>Uttarakhand</w:t>
            </w:r>
          </w:p>
        </w:tc>
        <w:tc>
          <w:tcPr>
            <w:tcW w:w="1938" w:type="dxa"/>
            <w:tcBorders>
              <w:top w:val="nil"/>
              <w:left w:val="nil"/>
              <w:bottom w:val="single" w:sz="4" w:space="0" w:color="auto"/>
              <w:right w:val="single" w:sz="4" w:space="0" w:color="auto"/>
            </w:tcBorders>
            <w:shd w:val="clear" w:color="auto" w:fill="auto"/>
            <w:noWrap/>
            <w:vAlign w:val="center"/>
            <w:hideMark/>
          </w:tcPr>
          <w:p w14:paraId="3B801C76" w14:textId="77777777" w:rsidR="00742275" w:rsidRPr="00A13B61" w:rsidRDefault="00742275" w:rsidP="002D3B5C">
            <w:pPr>
              <w:keepNext/>
              <w:spacing w:after="0"/>
              <w:rPr>
                <w:lang w:eastAsia="en-SG"/>
              </w:rPr>
            </w:pPr>
            <w:r w:rsidRPr="00A13B61">
              <w:rPr>
                <w:lang w:eastAsia="en-SG"/>
              </w:rPr>
              <w:t>85.4%</w:t>
            </w:r>
          </w:p>
        </w:tc>
        <w:tc>
          <w:tcPr>
            <w:tcW w:w="1938" w:type="dxa"/>
            <w:tcBorders>
              <w:top w:val="nil"/>
              <w:left w:val="nil"/>
              <w:bottom w:val="single" w:sz="4" w:space="0" w:color="auto"/>
              <w:right w:val="single" w:sz="4" w:space="0" w:color="auto"/>
            </w:tcBorders>
            <w:shd w:val="clear" w:color="auto" w:fill="auto"/>
            <w:noWrap/>
            <w:vAlign w:val="center"/>
            <w:hideMark/>
          </w:tcPr>
          <w:p w14:paraId="3CD0A0A0" w14:textId="77777777" w:rsidR="00742275" w:rsidRPr="00A13B61" w:rsidRDefault="00742275" w:rsidP="002D3B5C">
            <w:pPr>
              <w:keepNext/>
              <w:spacing w:after="0"/>
              <w:rPr>
                <w:lang w:eastAsia="en-SG"/>
              </w:rPr>
            </w:pPr>
            <w:r w:rsidRPr="00EF3F7D">
              <w:rPr>
                <w:color w:val="808080" w:themeColor="background1" w:themeShade="80"/>
                <w:lang w:eastAsia="en-SG"/>
              </w:rPr>
              <w:t>NA</w:t>
            </w:r>
          </w:p>
        </w:tc>
        <w:tc>
          <w:tcPr>
            <w:tcW w:w="1940" w:type="dxa"/>
            <w:tcBorders>
              <w:top w:val="nil"/>
              <w:left w:val="nil"/>
              <w:bottom w:val="single" w:sz="4" w:space="0" w:color="auto"/>
              <w:right w:val="single" w:sz="4" w:space="0" w:color="auto"/>
            </w:tcBorders>
            <w:shd w:val="clear" w:color="auto" w:fill="auto"/>
            <w:noWrap/>
            <w:vAlign w:val="center"/>
            <w:hideMark/>
          </w:tcPr>
          <w:p w14:paraId="2AAEF816" w14:textId="77777777" w:rsidR="00742275" w:rsidRPr="00A13B61" w:rsidRDefault="00742275" w:rsidP="002D3B5C">
            <w:pPr>
              <w:keepNext/>
              <w:spacing w:after="0"/>
              <w:rPr>
                <w:lang w:eastAsia="en-SG"/>
              </w:rPr>
            </w:pPr>
            <w:r w:rsidRPr="00A13B61">
              <w:rPr>
                <w:lang w:eastAsia="en-SG"/>
              </w:rPr>
              <w:t>98.9%</w:t>
            </w:r>
          </w:p>
        </w:tc>
      </w:tr>
      <w:tr w:rsidR="000769F3" w:rsidRPr="00A13B61" w14:paraId="01E9D3F1" w14:textId="77777777" w:rsidTr="00D944E8">
        <w:trPr>
          <w:trHeight w:val="244"/>
          <w:jc w:val="center"/>
        </w:trPr>
        <w:tc>
          <w:tcPr>
            <w:tcW w:w="3003" w:type="dxa"/>
            <w:tcBorders>
              <w:top w:val="nil"/>
              <w:left w:val="single" w:sz="4" w:space="0" w:color="auto"/>
              <w:bottom w:val="single" w:sz="4" w:space="0" w:color="auto"/>
              <w:right w:val="single" w:sz="4" w:space="0" w:color="auto"/>
            </w:tcBorders>
            <w:shd w:val="clear" w:color="auto" w:fill="auto"/>
            <w:noWrap/>
            <w:vAlign w:val="center"/>
            <w:hideMark/>
          </w:tcPr>
          <w:p w14:paraId="0CB934CC" w14:textId="77777777" w:rsidR="00742275" w:rsidRPr="00A13B61" w:rsidRDefault="00742275" w:rsidP="002D3B5C">
            <w:pPr>
              <w:keepNext/>
              <w:spacing w:after="0"/>
              <w:rPr>
                <w:lang w:eastAsia="en-SG"/>
              </w:rPr>
            </w:pPr>
            <w:r w:rsidRPr="00A13B61">
              <w:rPr>
                <w:lang w:eastAsia="en-SG"/>
              </w:rPr>
              <w:t>West Bengal</w:t>
            </w:r>
          </w:p>
        </w:tc>
        <w:tc>
          <w:tcPr>
            <w:tcW w:w="1938" w:type="dxa"/>
            <w:tcBorders>
              <w:top w:val="nil"/>
              <w:left w:val="nil"/>
              <w:bottom w:val="single" w:sz="4" w:space="0" w:color="auto"/>
              <w:right w:val="single" w:sz="4" w:space="0" w:color="auto"/>
            </w:tcBorders>
            <w:shd w:val="clear" w:color="auto" w:fill="auto"/>
            <w:noWrap/>
            <w:vAlign w:val="center"/>
            <w:hideMark/>
          </w:tcPr>
          <w:p w14:paraId="382B3294" w14:textId="77777777" w:rsidR="00742275" w:rsidRPr="00A13B61" w:rsidRDefault="00742275" w:rsidP="002D3B5C">
            <w:pPr>
              <w:keepNext/>
              <w:spacing w:after="0"/>
              <w:rPr>
                <w:lang w:eastAsia="en-SG"/>
              </w:rPr>
            </w:pPr>
            <w:r w:rsidRPr="00A13B61">
              <w:rPr>
                <w:lang w:eastAsia="en-SG"/>
              </w:rPr>
              <w:t>92.8%</w:t>
            </w:r>
          </w:p>
        </w:tc>
        <w:tc>
          <w:tcPr>
            <w:tcW w:w="1938" w:type="dxa"/>
            <w:tcBorders>
              <w:top w:val="nil"/>
              <w:left w:val="nil"/>
              <w:bottom w:val="single" w:sz="4" w:space="0" w:color="auto"/>
              <w:right w:val="single" w:sz="4" w:space="0" w:color="auto"/>
            </w:tcBorders>
            <w:shd w:val="clear" w:color="auto" w:fill="auto"/>
            <w:noWrap/>
            <w:vAlign w:val="center"/>
            <w:hideMark/>
          </w:tcPr>
          <w:p w14:paraId="6C4021A4" w14:textId="77777777" w:rsidR="00742275" w:rsidRPr="00A13B61" w:rsidRDefault="00742275" w:rsidP="002D3B5C">
            <w:pPr>
              <w:keepNext/>
              <w:spacing w:after="0"/>
              <w:rPr>
                <w:lang w:eastAsia="en-SG"/>
              </w:rPr>
            </w:pPr>
            <w:r w:rsidRPr="00A13B61">
              <w:rPr>
                <w:lang w:eastAsia="en-SG"/>
              </w:rPr>
              <w:t>93.4%</w:t>
            </w:r>
          </w:p>
        </w:tc>
        <w:tc>
          <w:tcPr>
            <w:tcW w:w="1940" w:type="dxa"/>
            <w:tcBorders>
              <w:top w:val="nil"/>
              <w:left w:val="nil"/>
              <w:bottom w:val="single" w:sz="4" w:space="0" w:color="auto"/>
              <w:right w:val="single" w:sz="4" w:space="0" w:color="auto"/>
            </w:tcBorders>
            <w:shd w:val="clear" w:color="auto" w:fill="auto"/>
            <w:noWrap/>
            <w:vAlign w:val="center"/>
            <w:hideMark/>
          </w:tcPr>
          <w:p w14:paraId="73579486" w14:textId="77777777" w:rsidR="00742275" w:rsidRPr="00A13B61" w:rsidRDefault="00742275" w:rsidP="002D3B5C">
            <w:pPr>
              <w:keepNext/>
              <w:spacing w:after="0"/>
              <w:rPr>
                <w:lang w:eastAsia="en-SG"/>
              </w:rPr>
            </w:pPr>
            <w:r w:rsidRPr="00A13B61">
              <w:rPr>
                <w:lang w:eastAsia="en-SG"/>
              </w:rPr>
              <w:t>92.9%</w:t>
            </w:r>
          </w:p>
        </w:tc>
      </w:tr>
    </w:tbl>
    <w:p w14:paraId="423603CC" w14:textId="77777777" w:rsidR="00742275" w:rsidRPr="00A13B61" w:rsidRDefault="00742275" w:rsidP="00F511BC"/>
    <w:p w14:paraId="7C001771" w14:textId="1356874C" w:rsidR="003C2EB2" w:rsidRPr="00A13B61" w:rsidRDefault="003C2EB2" w:rsidP="003F3F98">
      <w:pPr>
        <w:pStyle w:val="Caption"/>
      </w:pPr>
      <w:r w:rsidRPr="00A13B61">
        <w:lastRenderedPageBreak/>
        <w:t>Table</w:t>
      </w:r>
      <w:r w:rsidR="00B0125A" w:rsidRPr="00A13B61">
        <w:t xml:space="preserve"> 7</w:t>
      </w:r>
      <w:r w:rsidRPr="00A13B61">
        <w:t xml:space="preserve"> Comparison of results on common indicators between State of Aadhaar 2017-18 survey and State of Aadhaar 2019 survey</w:t>
      </w:r>
    </w:p>
    <w:tbl>
      <w:tblPr>
        <w:tblW w:w="5000" w:type="pct"/>
        <w:tblLayout w:type="fixed"/>
        <w:tblLook w:val="04A0" w:firstRow="1" w:lastRow="0" w:firstColumn="1" w:lastColumn="0" w:noHBand="0" w:noVBand="1"/>
      </w:tblPr>
      <w:tblGrid>
        <w:gridCol w:w="2966"/>
        <w:gridCol w:w="902"/>
        <w:gridCol w:w="1083"/>
        <w:gridCol w:w="810"/>
        <w:gridCol w:w="990"/>
        <w:gridCol w:w="898"/>
        <w:gridCol w:w="1079"/>
        <w:gridCol w:w="869"/>
      </w:tblGrid>
      <w:tr w:rsidR="001C2995" w:rsidRPr="009E52D7" w14:paraId="5493DF8B" w14:textId="77777777" w:rsidTr="003F3F98">
        <w:trPr>
          <w:trHeight w:val="340"/>
        </w:trPr>
        <w:tc>
          <w:tcPr>
            <w:tcW w:w="1545" w:type="pct"/>
            <w:tcBorders>
              <w:top w:val="nil"/>
              <w:left w:val="nil"/>
              <w:bottom w:val="nil"/>
              <w:right w:val="nil"/>
            </w:tcBorders>
            <w:shd w:val="clear" w:color="auto" w:fill="auto"/>
            <w:noWrap/>
            <w:vAlign w:val="center"/>
            <w:hideMark/>
          </w:tcPr>
          <w:p w14:paraId="465AC39D" w14:textId="77777777" w:rsidR="001C2995" w:rsidRPr="009E52D7" w:rsidRDefault="001C2995" w:rsidP="003F3F98">
            <w:pPr>
              <w:keepNext/>
              <w:keepLines/>
              <w:spacing w:after="0"/>
              <w:jc w:val="center"/>
              <w:rPr>
                <w:rFonts w:eastAsia="Times New Roman" w:cs="Times New Roman"/>
                <w:sz w:val="24"/>
                <w:szCs w:val="20"/>
                <w:lang w:val="en-US"/>
              </w:rPr>
            </w:pPr>
          </w:p>
        </w:tc>
        <w:tc>
          <w:tcPr>
            <w:tcW w:w="1456" w:type="pct"/>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0F33E8" w14:textId="77777777" w:rsidR="001C2995" w:rsidRPr="009E52D7" w:rsidRDefault="001C2995" w:rsidP="003F3F98">
            <w:pPr>
              <w:keepNext/>
              <w:keepLines/>
              <w:spacing w:after="0"/>
              <w:jc w:val="center"/>
              <w:rPr>
                <w:rFonts w:eastAsia="Times New Roman" w:cs="Calibri"/>
                <w:b/>
                <w:bCs/>
                <w:color w:val="000000"/>
                <w:sz w:val="18"/>
                <w:lang w:val="en-US"/>
              </w:rPr>
            </w:pPr>
            <w:proofErr w:type="spellStart"/>
            <w:r w:rsidRPr="009E52D7">
              <w:rPr>
                <w:rFonts w:eastAsia="Times New Roman" w:cs="Calibri"/>
                <w:b/>
                <w:bCs/>
                <w:color w:val="000000"/>
                <w:sz w:val="18"/>
                <w:lang w:val="en-US"/>
              </w:rPr>
              <w:t>SoA</w:t>
            </w:r>
            <w:proofErr w:type="spellEnd"/>
            <w:r w:rsidRPr="009E52D7">
              <w:rPr>
                <w:rFonts w:eastAsia="Times New Roman" w:cs="Calibri"/>
                <w:b/>
                <w:bCs/>
                <w:color w:val="000000"/>
                <w:sz w:val="18"/>
                <w:lang w:val="en-US"/>
              </w:rPr>
              <w:t xml:space="preserve"> 2017-18</w:t>
            </w:r>
          </w:p>
        </w:tc>
        <w:tc>
          <w:tcPr>
            <w:tcW w:w="1999" w:type="pct"/>
            <w:gridSpan w:val="4"/>
            <w:tcBorders>
              <w:top w:val="single" w:sz="4" w:space="0" w:color="auto"/>
              <w:left w:val="nil"/>
              <w:bottom w:val="single" w:sz="4" w:space="0" w:color="auto"/>
              <w:right w:val="single" w:sz="4" w:space="0" w:color="auto"/>
            </w:tcBorders>
            <w:shd w:val="clear" w:color="000000" w:fill="F2F2F2"/>
            <w:noWrap/>
            <w:vAlign w:val="center"/>
            <w:hideMark/>
          </w:tcPr>
          <w:p w14:paraId="194704E7" w14:textId="77777777" w:rsidR="001C2995" w:rsidRPr="009E52D7" w:rsidRDefault="001C2995" w:rsidP="003F3F98">
            <w:pPr>
              <w:keepNext/>
              <w:keepLines/>
              <w:spacing w:after="0"/>
              <w:jc w:val="center"/>
              <w:rPr>
                <w:rFonts w:eastAsia="Times New Roman" w:cs="Calibri"/>
                <w:b/>
                <w:bCs/>
                <w:color w:val="000000"/>
                <w:sz w:val="18"/>
                <w:lang w:val="en-US"/>
              </w:rPr>
            </w:pPr>
            <w:proofErr w:type="spellStart"/>
            <w:r w:rsidRPr="009E52D7">
              <w:rPr>
                <w:rFonts w:eastAsia="Times New Roman" w:cs="Calibri"/>
                <w:b/>
                <w:bCs/>
                <w:color w:val="000000"/>
                <w:sz w:val="18"/>
                <w:lang w:val="en-US"/>
              </w:rPr>
              <w:t>SoA</w:t>
            </w:r>
            <w:proofErr w:type="spellEnd"/>
            <w:r w:rsidRPr="009E52D7">
              <w:rPr>
                <w:rFonts w:eastAsia="Times New Roman" w:cs="Calibri"/>
                <w:b/>
                <w:bCs/>
                <w:color w:val="000000"/>
                <w:sz w:val="18"/>
                <w:lang w:val="en-US"/>
              </w:rPr>
              <w:t xml:space="preserve"> 2018-19</w:t>
            </w:r>
          </w:p>
        </w:tc>
      </w:tr>
      <w:tr w:rsidR="001C2995" w:rsidRPr="009E52D7" w14:paraId="250DB041" w14:textId="77777777" w:rsidTr="003F3F98">
        <w:trPr>
          <w:trHeight w:val="454"/>
        </w:trPr>
        <w:tc>
          <w:tcPr>
            <w:tcW w:w="1545" w:type="pct"/>
            <w:tcBorders>
              <w:top w:val="single" w:sz="4" w:space="0" w:color="auto"/>
              <w:left w:val="single" w:sz="4" w:space="0" w:color="auto"/>
              <w:bottom w:val="single" w:sz="4" w:space="0" w:color="auto"/>
              <w:right w:val="single" w:sz="4" w:space="0" w:color="auto"/>
            </w:tcBorders>
            <w:shd w:val="clear" w:color="000000" w:fill="77B8E4"/>
            <w:noWrap/>
            <w:vAlign w:val="center"/>
            <w:hideMark/>
          </w:tcPr>
          <w:p w14:paraId="47F3B83A"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Metric</w:t>
            </w:r>
          </w:p>
        </w:tc>
        <w:tc>
          <w:tcPr>
            <w:tcW w:w="470" w:type="pct"/>
            <w:tcBorders>
              <w:top w:val="nil"/>
              <w:left w:val="nil"/>
              <w:bottom w:val="single" w:sz="4" w:space="0" w:color="auto"/>
              <w:right w:val="single" w:sz="4" w:space="0" w:color="auto"/>
            </w:tcBorders>
            <w:shd w:val="clear" w:color="000000" w:fill="77B8E4"/>
            <w:noWrap/>
            <w:vAlign w:val="center"/>
            <w:hideMark/>
          </w:tcPr>
          <w:p w14:paraId="6BEF7604"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Andhra Pradesh</w:t>
            </w:r>
          </w:p>
        </w:tc>
        <w:tc>
          <w:tcPr>
            <w:tcW w:w="564" w:type="pct"/>
            <w:tcBorders>
              <w:top w:val="nil"/>
              <w:left w:val="nil"/>
              <w:bottom w:val="single" w:sz="4" w:space="0" w:color="auto"/>
              <w:right w:val="single" w:sz="4" w:space="0" w:color="auto"/>
            </w:tcBorders>
            <w:shd w:val="clear" w:color="000000" w:fill="77B8E4"/>
            <w:noWrap/>
            <w:vAlign w:val="center"/>
            <w:hideMark/>
          </w:tcPr>
          <w:p w14:paraId="5C8F5556"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Rajasthan</w:t>
            </w:r>
          </w:p>
        </w:tc>
        <w:tc>
          <w:tcPr>
            <w:tcW w:w="422" w:type="pct"/>
            <w:tcBorders>
              <w:top w:val="nil"/>
              <w:left w:val="nil"/>
              <w:bottom w:val="single" w:sz="4" w:space="0" w:color="auto"/>
              <w:right w:val="single" w:sz="4" w:space="0" w:color="auto"/>
            </w:tcBorders>
            <w:shd w:val="clear" w:color="000000" w:fill="77B8E4"/>
            <w:noWrap/>
            <w:vAlign w:val="center"/>
            <w:hideMark/>
          </w:tcPr>
          <w:p w14:paraId="01C9B503"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West Bengal</w:t>
            </w:r>
          </w:p>
        </w:tc>
        <w:tc>
          <w:tcPr>
            <w:tcW w:w="516" w:type="pct"/>
            <w:tcBorders>
              <w:top w:val="nil"/>
              <w:left w:val="nil"/>
              <w:bottom w:val="single" w:sz="4" w:space="0" w:color="auto"/>
              <w:right w:val="single" w:sz="4" w:space="0" w:color="auto"/>
            </w:tcBorders>
            <w:shd w:val="clear" w:color="000000" w:fill="77B8E4"/>
            <w:noWrap/>
            <w:vAlign w:val="center"/>
            <w:hideMark/>
          </w:tcPr>
          <w:p w14:paraId="3231F5BA"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National</w:t>
            </w:r>
          </w:p>
        </w:tc>
        <w:tc>
          <w:tcPr>
            <w:tcW w:w="468" w:type="pct"/>
            <w:tcBorders>
              <w:top w:val="nil"/>
              <w:left w:val="nil"/>
              <w:bottom w:val="single" w:sz="4" w:space="0" w:color="auto"/>
              <w:right w:val="single" w:sz="4" w:space="0" w:color="auto"/>
            </w:tcBorders>
            <w:shd w:val="clear" w:color="000000" w:fill="77B8E4"/>
            <w:noWrap/>
            <w:vAlign w:val="center"/>
            <w:hideMark/>
          </w:tcPr>
          <w:p w14:paraId="41ACBEE8"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Andhra Pradesh</w:t>
            </w:r>
          </w:p>
        </w:tc>
        <w:tc>
          <w:tcPr>
            <w:tcW w:w="562" w:type="pct"/>
            <w:tcBorders>
              <w:top w:val="nil"/>
              <w:left w:val="nil"/>
              <w:bottom w:val="single" w:sz="4" w:space="0" w:color="auto"/>
              <w:right w:val="single" w:sz="4" w:space="0" w:color="auto"/>
            </w:tcBorders>
            <w:shd w:val="clear" w:color="000000" w:fill="77B8E4"/>
            <w:noWrap/>
            <w:vAlign w:val="center"/>
            <w:hideMark/>
          </w:tcPr>
          <w:p w14:paraId="1B24AF10"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Rajasthan</w:t>
            </w:r>
          </w:p>
        </w:tc>
        <w:tc>
          <w:tcPr>
            <w:tcW w:w="452" w:type="pct"/>
            <w:tcBorders>
              <w:top w:val="nil"/>
              <w:left w:val="nil"/>
              <w:bottom w:val="single" w:sz="4" w:space="0" w:color="auto"/>
              <w:right w:val="single" w:sz="4" w:space="0" w:color="auto"/>
            </w:tcBorders>
            <w:shd w:val="clear" w:color="000000" w:fill="77B8E4"/>
            <w:noWrap/>
            <w:vAlign w:val="center"/>
            <w:hideMark/>
          </w:tcPr>
          <w:p w14:paraId="695CB80D" w14:textId="77777777" w:rsidR="001C2995" w:rsidRPr="009E52D7" w:rsidRDefault="001C2995" w:rsidP="002D3B5C">
            <w:pPr>
              <w:keepNext/>
              <w:keepLines/>
              <w:spacing w:after="0"/>
              <w:jc w:val="center"/>
              <w:rPr>
                <w:rFonts w:eastAsia="Times New Roman" w:cs="Calibri"/>
                <w:b/>
                <w:bCs/>
                <w:color w:val="000000"/>
                <w:sz w:val="18"/>
                <w:lang w:val="en-US"/>
              </w:rPr>
            </w:pPr>
            <w:r w:rsidRPr="009E52D7">
              <w:rPr>
                <w:rFonts w:eastAsia="Times New Roman" w:cs="Calibri"/>
                <w:b/>
                <w:bCs/>
                <w:color w:val="000000"/>
                <w:sz w:val="18"/>
                <w:lang w:val="en-US"/>
              </w:rPr>
              <w:t>West Bengal</w:t>
            </w:r>
          </w:p>
        </w:tc>
      </w:tr>
      <w:tr w:rsidR="001C2995" w:rsidRPr="009E52D7" w14:paraId="479DC927" w14:textId="77777777" w:rsidTr="001232D6">
        <w:trPr>
          <w:trHeight w:val="288"/>
        </w:trPr>
        <w:tc>
          <w:tcPr>
            <w:tcW w:w="1545" w:type="pct"/>
            <w:tcBorders>
              <w:top w:val="nil"/>
              <w:left w:val="single" w:sz="4" w:space="0" w:color="auto"/>
              <w:bottom w:val="single" w:sz="4" w:space="0" w:color="auto"/>
              <w:right w:val="single" w:sz="4" w:space="0" w:color="auto"/>
            </w:tcBorders>
            <w:shd w:val="clear" w:color="auto" w:fill="F2F2F2"/>
            <w:noWrap/>
            <w:vAlign w:val="bottom"/>
            <w:hideMark/>
          </w:tcPr>
          <w:p w14:paraId="192F65D0"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Aadhaar enrolment rate</w:t>
            </w:r>
          </w:p>
        </w:tc>
        <w:tc>
          <w:tcPr>
            <w:tcW w:w="470" w:type="pct"/>
            <w:tcBorders>
              <w:top w:val="nil"/>
              <w:left w:val="nil"/>
              <w:bottom w:val="single" w:sz="4" w:space="0" w:color="auto"/>
              <w:right w:val="single" w:sz="4" w:space="0" w:color="auto"/>
            </w:tcBorders>
            <w:shd w:val="clear" w:color="auto" w:fill="F2F2F2"/>
            <w:noWrap/>
            <w:vAlign w:val="bottom"/>
            <w:hideMark/>
          </w:tcPr>
          <w:p w14:paraId="4A6198E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97.6%</w:t>
            </w:r>
          </w:p>
        </w:tc>
        <w:tc>
          <w:tcPr>
            <w:tcW w:w="564" w:type="pct"/>
            <w:tcBorders>
              <w:top w:val="nil"/>
              <w:left w:val="nil"/>
              <w:bottom w:val="single" w:sz="4" w:space="0" w:color="auto"/>
              <w:right w:val="single" w:sz="4" w:space="0" w:color="auto"/>
            </w:tcBorders>
            <w:shd w:val="clear" w:color="auto" w:fill="F2F2F2"/>
            <w:noWrap/>
            <w:vAlign w:val="bottom"/>
            <w:hideMark/>
          </w:tcPr>
          <w:p w14:paraId="1D32D20C"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87.5%</w:t>
            </w:r>
          </w:p>
        </w:tc>
        <w:tc>
          <w:tcPr>
            <w:tcW w:w="422" w:type="pct"/>
            <w:tcBorders>
              <w:top w:val="nil"/>
              <w:left w:val="nil"/>
              <w:bottom w:val="single" w:sz="4" w:space="0" w:color="auto"/>
              <w:right w:val="single" w:sz="4" w:space="0" w:color="auto"/>
            </w:tcBorders>
            <w:shd w:val="clear" w:color="auto" w:fill="F2F2F2"/>
            <w:noWrap/>
            <w:vAlign w:val="bottom"/>
            <w:hideMark/>
          </w:tcPr>
          <w:p w14:paraId="41B0D5D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93.2%</w:t>
            </w:r>
          </w:p>
        </w:tc>
        <w:tc>
          <w:tcPr>
            <w:tcW w:w="516" w:type="pct"/>
            <w:tcBorders>
              <w:top w:val="nil"/>
              <w:left w:val="nil"/>
              <w:bottom w:val="single" w:sz="4" w:space="0" w:color="auto"/>
              <w:right w:val="single" w:sz="4" w:space="0" w:color="auto"/>
            </w:tcBorders>
            <w:shd w:val="clear" w:color="auto" w:fill="F2F2F2"/>
            <w:noWrap/>
            <w:vAlign w:val="bottom"/>
            <w:hideMark/>
          </w:tcPr>
          <w:p w14:paraId="3807D3B9"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90.4%</w:t>
            </w:r>
          </w:p>
        </w:tc>
        <w:tc>
          <w:tcPr>
            <w:tcW w:w="468" w:type="pct"/>
            <w:tcBorders>
              <w:top w:val="nil"/>
              <w:left w:val="nil"/>
              <w:bottom w:val="single" w:sz="4" w:space="0" w:color="auto"/>
              <w:right w:val="single" w:sz="4" w:space="0" w:color="auto"/>
            </w:tcBorders>
            <w:shd w:val="clear" w:color="auto" w:fill="F2F2F2"/>
            <w:noWrap/>
            <w:vAlign w:val="bottom"/>
            <w:hideMark/>
          </w:tcPr>
          <w:p w14:paraId="1F52326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99.8%</w:t>
            </w:r>
          </w:p>
        </w:tc>
        <w:tc>
          <w:tcPr>
            <w:tcW w:w="562" w:type="pct"/>
            <w:tcBorders>
              <w:top w:val="nil"/>
              <w:left w:val="nil"/>
              <w:bottom w:val="single" w:sz="4" w:space="0" w:color="auto"/>
              <w:right w:val="single" w:sz="4" w:space="0" w:color="auto"/>
            </w:tcBorders>
            <w:shd w:val="clear" w:color="auto" w:fill="F2F2F2"/>
            <w:noWrap/>
            <w:vAlign w:val="bottom"/>
            <w:hideMark/>
          </w:tcPr>
          <w:p w14:paraId="2F647D39"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83.1%</w:t>
            </w:r>
          </w:p>
        </w:tc>
        <w:tc>
          <w:tcPr>
            <w:tcW w:w="452" w:type="pct"/>
            <w:tcBorders>
              <w:top w:val="nil"/>
              <w:left w:val="nil"/>
              <w:bottom w:val="single" w:sz="4" w:space="0" w:color="auto"/>
              <w:right w:val="single" w:sz="4" w:space="0" w:color="auto"/>
            </w:tcBorders>
            <w:shd w:val="clear" w:color="auto" w:fill="F2F2F2"/>
            <w:noWrap/>
            <w:vAlign w:val="bottom"/>
            <w:hideMark/>
          </w:tcPr>
          <w:p w14:paraId="3D24CB7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92.8%</w:t>
            </w:r>
          </w:p>
        </w:tc>
      </w:tr>
      <w:tr w:rsidR="001C2995" w:rsidRPr="009E52D7" w14:paraId="6685D9A8" w14:textId="77777777" w:rsidTr="001232D6">
        <w:trPr>
          <w:trHeight w:val="288"/>
        </w:trPr>
        <w:tc>
          <w:tcPr>
            <w:tcW w:w="5000" w:type="pct"/>
            <w:gridSpan w:val="8"/>
            <w:tcBorders>
              <w:top w:val="single" w:sz="4" w:space="0" w:color="auto"/>
              <w:left w:val="single" w:sz="4" w:space="0" w:color="auto"/>
              <w:bottom w:val="single" w:sz="4" w:space="0" w:color="auto"/>
              <w:right w:val="single" w:sz="4" w:space="0" w:color="auto"/>
            </w:tcBorders>
            <w:shd w:val="clear" w:color="auto" w:fill="F2F2F2"/>
            <w:noWrap/>
            <w:vAlign w:val="bottom"/>
            <w:hideMark/>
          </w:tcPr>
          <w:p w14:paraId="0B3AB6DC"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Ease of enrolment for Aadhaar</w:t>
            </w:r>
          </w:p>
        </w:tc>
      </w:tr>
      <w:tr w:rsidR="001C2995" w:rsidRPr="009E52D7" w14:paraId="7C388EA4"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37FBE3AA"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 who found the process easy</w:t>
            </w:r>
          </w:p>
        </w:tc>
        <w:tc>
          <w:tcPr>
            <w:tcW w:w="470" w:type="pct"/>
            <w:tcBorders>
              <w:top w:val="nil"/>
              <w:left w:val="nil"/>
              <w:bottom w:val="single" w:sz="4" w:space="0" w:color="auto"/>
              <w:right w:val="single" w:sz="4" w:space="0" w:color="auto"/>
            </w:tcBorders>
            <w:shd w:val="clear" w:color="auto" w:fill="auto"/>
            <w:noWrap/>
            <w:vAlign w:val="bottom"/>
            <w:hideMark/>
          </w:tcPr>
          <w:p w14:paraId="5559BE3C"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84.7%</w:t>
            </w:r>
          </w:p>
        </w:tc>
        <w:tc>
          <w:tcPr>
            <w:tcW w:w="564" w:type="pct"/>
            <w:tcBorders>
              <w:top w:val="nil"/>
              <w:left w:val="nil"/>
              <w:bottom w:val="single" w:sz="4" w:space="0" w:color="auto"/>
              <w:right w:val="single" w:sz="4" w:space="0" w:color="auto"/>
            </w:tcBorders>
            <w:shd w:val="clear" w:color="auto" w:fill="auto"/>
            <w:noWrap/>
            <w:vAlign w:val="bottom"/>
            <w:hideMark/>
          </w:tcPr>
          <w:p w14:paraId="6EE3D697"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84.4%</w:t>
            </w:r>
          </w:p>
        </w:tc>
        <w:tc>
          <w:tcPr>
            <w:tcW w:w="422" w:type="pct"/>
            <w:tcBorders>
              <w:top w:val="nil"/>
              <w:left w:val="nil"/>
              <w:bottom w:val="single" w:sz="4" w:space="0" w:color="auto"/>
              <w:right w:val="single" w:sz="4" w:space="0" w:color="auto"/>
            </w:tcBorders>
            <w:shd w:val="clear" w:color="auto" w:fill="auto"/>
            <w:noWrap/>
            <w:vAlign w:val="bottom"/>
            <w:hideMark/>
          </w:tcPr>
          <w:p w14:paraId="35AC540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77.3%</w:t>
            </w:r>
          </w:p>
        </w:tc>
        <w:tc>
          <w:tcPr>
            <w:tcW w:w="516" w:type="pct"/>
            <w:tcBorders>
              <w:top w:val="nil"/>
              <w:left w:val="nil"/>
              <w:bottom w:val="single" w:sz="4" w:space="0" w:color="auto"/>
              <w:right w:val="single" w:sz="4" w:space="0" w:color="auto"/>
            </w:tcBorders>
            <w:shd w:val="clear" w:color="auto" w:fill="auto"/>
            <w:noWrap/>
            <w:vAlign w:val="bottom"/>
            <w:hideMark/>
          </w:tcPr>
          <w:p w14:paraId="2F21072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78.4%</w:t>
            </w:r>
          </w:p>
        </w:tc>
        <w:tc>
          <w:tcPr>
            <w:tcW w:w="468" w:type="pct"/>
            <w:tcBorders>
              <w:top w:val="nil"/>
              <w:left w:val="nil"/>
              <w:bottom w:val="single" w:sz="4" w:space="0" w:color="auto"/>
              <w:right w:val="single" w:sz="4" w:space="0" w:color="auto"/>
            </w:tcBorders>
            <w:shd w:val="clear" w:color="auto" w:fill="auto"/>
            <w:noWrap/>
            <w:vAlign w:val="bottom"/>
            <w:hideMark/>
          </w:tcPr>
          <w:p w14:paraId="211B74B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82.7%</w:t>
            </w:r>
          </w:p>
        </w:tc>
        <w:tc>
          <w:tcPr>
            <w:tcW w:w="562" w:type="pct"/>
            <w:tcBorders>
              <w:top w:val="nil"/>
              <w:left w:val="nil"/>
              <w:bottom w:val="single" w:sz="4" w:space="0" w:color="auto"/>
              <w:right w:val="single" w:sz="4" w:space="0" w:color="auto"/>
            </w:tcBorders>
            <w:shd w:val="clear" w:color="auto" w:fill="auto"/>
            <w:noWrap/>
            <w:vAlign w:val="bottom"/>
            <w:hideMark/>
          </w:tcPr>
          <w:p w14:paraId="3559C116"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59.7%</w:t>
            </w:r>
          </w:p>
        </w:tc>
        <w:tc>
          <w:tcPr>
            <w:tcW w:w="452" w:type="pct"/>
            <w:tcBorders>
              <w:top w:val="nil"/>
              <w:left w:val="nil"/>
              <w:bottom w:val="single" w:sz="4" w:space="0" w:color="auto"/>
              <w:right w:val="single" w:sz="4" w:space="0" w:color="auto"/>
            </w:tcBorders>
            <w:shd w:val="clear" w:color="auto" w:fill="auto"/>
            <w:noWrap/>
            <w:vAlign w:val="bottom"/>
            <w:hideMark/>
          </w:tcPr>
          <w:p w14:paraId="4F5147B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93.1%</w:t>
            </w:r>
          </w:p>
        </w:tc>
      </w:tr>
      <w:tr w:rsidR="001C2995" w:rsidRPr="009E52D7" w14:paraId="09A9ADD1"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20C52A02"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 who found the process neutral</w:t>
            </w:r>
          </w:p>
        </w:tc>
        <w:tc>
          <w:tcPr>
            <w:tcW w:w="470" w:type="pct"/>
            <w:tcBorders>
              <w:top w:val="nil"/>
              <w:left w:val="nil"/>
              <w:bottom w:val="single" w:sz="4" w:space="0" w:color="auto"/>
              <w:right w:val="single" w:sz="4" w:space="0" w:color="auto"/>
            </w:tcBorders>
            <w:shd w:val="clear" w:color="auto" w:fill="auto"/>
            <w:noWrap/>
            <w:vAlign w:val="bottom"/>
            <w:hideMark/>
          </w:tcPr>
          <w:p w14:paraId="46E94F17"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6.3%</w:t>
            </w:r>
          </w:p>
        </w:tc>
        <w:tc>
          <w:tcPr>
            <w:tcW w:w="564" w:type="pct"/>
            <w:tcBorders>
              <w:top w:val="nil"/>
              <w:left w:val="nil"/>
              <w:bottom w:val="single" w:sz="4" w:space="0" w:color="auto"/>
              <w:right w:val="single" w:sz="4" w:space="0" w:color="auto"/>
            </w:tcBorders>
            <w:shd w:val="clear" w:color="auto" w:fill="auto"/>
            <w:noWrap/>
            <w:vAlign w:val="bottom"/>
            <w:hideMark/>
          </w:tcPr>
          <w:p w14:paraId="7F8C005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5.7%</w:t>
            </w:r>
          </w:p>
        </w:tc>
        <w:tc>
          <w:tcPr>
            <w:tcW w:w="422" w:type="pct"/>
            <w:tcBorders>
              <w:top w:val="nil"/>
              <w:left w:val="nil"/>
              <w:bottom w:val="single" w:sz="4" w:space="0" w:color="auto"/>
              <w:right w:val="single" w:sz="4" w:space="0" w:color="auto"/>
            </w:tcBorders>
            <w:shd w:val="clear" w:color="auto" w:fill="auto"/>
            <w:noWrap/>
            <w:vAlign w:val="bottom"/>
            <w:hideMark/>
          </w:tcPr>
          <w:p w14:paraId="38F510E6"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11.1%</w:t>
            </w:r>
          </w:p>
        </w:tc>
        <w:tc>
          <w:tcPr>
            <w:tcW w:w="516" w:type="pct"/>
            <w:tcBorders>
              <w:top w:val="nil"/>
              <w:left w:val="nil"/>
              <w:bottom w:val="single" w:sz="4" w:space="0" w:color="auto"/>
              <w:right w:val="single" w:sz="4" w:space="0" w:color="auto"/>
            </w:tcBorders>
            <w:shd w:val="clear" w:color="auto" w:fill="auto"/>
            <w:noWrap/>
            <w:vAlign w:val="bottom"/>
            <w:hideMark/>
          </w:tcPr>
          <w:p w14:paraId="2C96099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15.1%</w:t>
            </w:r>
          </w:p>
        </w:tc>
        <w:tc>
          <w:tcPr>
            <w:tcW w:w="468" w:type="pct"/>
            <w:tcBorders>
              <w:top w:val="nil"/>
              <w:left w:val="nil"/>
              <w:bottom w:val="single" w:sz="4" w:space="0" w:color="auto"/>
              <w:right w:val="single" w:sz="4" w:space="0" w:color="auto"/>
            </w:tcBorders>
            <w:shd w:val="clear" w:color="auto" w:fill="auto"/>
            <w:noWrap/>
            <w:vAlign w:val="bottom"/>
            <w:hideMark/>
          </w:tcPr>
          <w:p w14:paraId="12F9DA7E"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11.3%</w:t>
            </w:r>
          </w:p>
        </w:tc>
        <w:tc>
          <w:tcPr>
            <w:tcW w:w="562" w:type="pct"/>
            <w:tcBorders>
              <w:top w:val="nil"/>
              <w:left w:val="nil"/>
              <w:bottom w:val="single" w:sz="4" w:space="0" w:color="auto"/>
              <w:right w:val="single" w:sz="4" w:space="0" w:color="auto"/>
            </w:tcBorders>
            <w:shd w:val="clear" w:color="auto" w:fill="auto"/>
            <w:noWrap/>
            <w:vAlign w:val="bottom"/>
            <w:hideMark/>
          </w:tcPr>
          <w:p w14:paraId="163FCCF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37.1%</w:t>
            </w:r>
          </w:p>
        </w:tc>
        <w:tc>
          <w:tcPr>
            <w:tcW w:w="452" w:type="pct"/>
            <w:tcBorders>
              <w:top w:val="nil"/>
              <w:left w:val="nil"/>
              <w:bottom w:val="single" w:sz="4" w:space="0" w:color="auto"/>
              <w:right w:val="single" w:sz="4" w:space="0" w:color="auto"/>
            </w:tcBorders>
            <w:shd w:val="clear" w:color="auto" w:fill="auto"/>
            <w:noWrap/>
            <w:vAlign w:val="bottom"/>
            <w:hideMark/>
          </w:tcPr>
          <w:p w14:paraId="28A62A1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5.1%</w:t>
            </w:r>
          </w:p>
        </w:tc>
      </w:tr>
      <w:tr w:rsidR="001C2995" w:rsidRPr="009E52D7" w14:paraId="29BCE0E6"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4D7DEF43"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 who found the process difficult</w:t>
            </w:r>
          </w:p>
        </w:tc>
        <w:tc>
          <w:tcPr>
            <w:tcW w:w="470" w:type="pct"/>
            <w:tcBorders>
              <w:top w:val="nil"/>
              <w:left w:val="nil"/>
              <w:bottom w:val="single" w:sz="4" w:space="0" w:color="auto"/>
              <w:right w:val="single" w:sz="4" w:space="0" w:color="auto"/>
            </w:tcBorders>
            <w:shd w:val="clear" w:color="auto" w:fill="auto"/>
            <w:noWrap/>
            <w:vAlign w:val="bottom"/>
            <w:hideMark/>
          </w:tcPr>
          <w:p w14:paraId="7350A9FD"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9.0%</w:t>
            </w:r>
          </w:p>
        </w:tc>
        <w:tc>
          <w:tcPr>
            <w:tcW w:w="564" w:type="pct"/>
            <w:tcBorders>
              <w:top w:val="nil"/>
              <w:left w:val="nil"/>
              <w:bottom w:val="single" w:sz="4" w:space="0" w:color="auto"/>
              <w:right w:val="single" w:sz="4" w:space="0" w:color="auto"/>
            </w:tcBorders>
            <w:shd w:val="clear" w:color="auto" w:fill="auto"/>
            <w:noWrap/>
            <w:vAlign w:val="bottom"/>
            <w:hideMark/>
          </w:tcPr>
          <w:p w14:paraId="78964824"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9.8%</w:t>
            </w:r>
          </w:p>
        </w:tc>
        <w:tc>
          <w:tcPr>
            <w:tcW w:w="422" w:type="pct"/>
            <w:tcBorders>
              <w:top w:val="nil"/>
              <w:left w:val="nil"/>
              <w:bottom w:val="single" w:sz="4" w:space="0" w:color="auto"/>
              <w:right w:val="single" w:sz="4" w:space="0" w:color="auto"/>
            </w:tcBorders>
            <w:shd w:val="clear" w:color="auto" w:fill="auto"/>
            <w:noWrap/>
            <w:vAlign w:val="bottom"/>
            <w:hideMark/>
          </w:tcPr>
          <w:p w14:paraId="385A896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11.6%</w:t>
            </w:r>
          </w:p>
        </w:tc>
        <w:tc>
          <w:tcPr>
            <w:tcW w:w="516" w:type="pct"/>
            <w:tcBorders>
              <w:top w:val="nil"/>
              <w:left w:val="nil"/>
              <w:bottom w:val="single" w:sz="4" w:space="0" w:color="auto"/>
              <w:right w:val="single" w:sz="4" w:space="0" w:color="auto"/>
            </w:tcBorders>
            <w:shd w:val="clear" w:color="auto" w:fill="auto"/>
            <w:noWrap/>
            <w:vAlign w:val="bottom"/>
            <w:hideMark/>
          </w:tcPr>
          <w:p w14:paraId="04555BA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5.9%</w:t>
            </w:r>
          </w:p>
        </w:tc>
        <w:tc>
          <w:tcPr>
            <w:tcW w:w="468" w:type="pct"/>
            <w:tcBorders>
              <w:top w:val="nil"/>
              <w:left w:val="nil"/>
              <w:bottom w:val="single" w:sz="4" w:space="0" w:color="auto"/>
              <w:right w:val="single" w:sz="4" w:space="0" w:color="auto"/>
            </w:tcBorders>
            <w:shd w:val="clear" w:color="auto" w:fill="auto"/>
            <w:noWrap/>
            <w:vAlign w:val="bottom"/>
            <w:hideMark/>
          </w:tcPr>
          <w:p w14:paraId="59A8FFF6"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5.1%</w:t>
            </w:r>
          </w:p>
        </w:tc>
        <w:tc>
          <w:tcPr>
            <w:tcW w:w="562" w:type="pct"/>
            <w:tcBorders>
              <w:top w:val="nil"/>
              <w:left w:val="nil"/>
              <w:bottom w:val="single" w:sz="4" w:space="0" w:color="auto"/>
              <w:right w:val="single" w:sz="4" w:space="0" w:color="auto"/>
            </w:tcBorders>
            <w:shd w:val="clear" w:color="auto" w:fill="auto"/>
            <w:noWrap/>
            <w:vAlign w:val="bottom"/>
            <w:hideMark/>
          </w:tcPr>
          <w:p w14:paraId="43705D5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2.8%</w:t>
            </w:r>
          </w:p>
        </w:tc>
        <w:tc>
          <w:tcPr>
            <w:tcW w:w="452" w:type="pct"/>
            <w:tcBorders>
              <w:top w:val="nil"/>
              <w:left w:val="nil"/>
              <w:bottom w:val="single" w:sz="4" w:space="0" w:color="auto"/>
              <w:right w:val="single" w:sz="4" w:space="0" w:color="auto"/>
            </w:tcBorders>
            <w:shd w:val="clear" w:color="auto" w:fill="auto"/>
            <w:noWrap/>
            <w:vAlign w:val="bottom"/>
            <w:hideMark/>
          </w:tcPr>
          <w:p w14:paraId="48BA2F7E"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1.4%</w:t>
            </w:r>
          </w:p>
        </w:tc>
      </w:tr>
      <w:tr w:rsidR="001C2995" w:rsidRPr="009E52D7" w14:paraId="52DC9C77" w14:textId="77777777" w:rsidTr="001C2995">
        <w:trPr>
          <w:trHeight w:val="288"/>
        </w:trPr>
        <w:tc>
          <w:tcPr>
            <w:tcW w:w="5000" w:type="pct"/>
            <w:gridSpan w:val="8"/>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E0C8F27" w14:textId="33B1348B"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Aadhaar </w:t>
            </w:r>
            <w:r w:rsidR="001232D6">
              <w:rPr>
                <w:rFonts w:eastAsia="Times New Roman" w:cs="Calibri"/>
                <w:color w:val="000000"/>
                <w:sz w:val="18"/>
                <w:lang w:val="en-US"/>
              </w:rPr>
              <w:t>usage</w:t>
            </w:r>
          </w:p>
        </w:tc>
      </w:tr>
      <w:tr w:rsidR="001C2995" w:rsidRPr="009E52D7" w14:paraId="5D6C4B21"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746B5E24"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Photocopy</w:t>
            </w:r>
          </w:p>
        </w:tc>
        <w:tc>
          <w:tcPr>
            <w:tcW w:w="470" w:type="pct"/>
            <w:tcBorders>
              <w:top w:val="nil"/>
              <w:left w:val="nil"/>
              <w:bottom w:val="single" w:sz="4" w:space="0" w:color="auto"/>
              <w:right w:val="single" w:sz="4" w:space="0" w:color="auto"/>
            </w:tcBorders>
            <w:shd w:val="clear" w:color="auto" w:fill="auto"/>
            <w:noWrap/>
            <w:vAlign w:val="bottom"/>
            <w:hideMark/>
          </w:tcPr>
          <w:p w14:paraId="56076DE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93.4%</w:t>
            </w:r>
          </w:p>
        </w:tc>
        <w:tc>
          <w:tcPr>
            <w:tcW w:w="564" w:type="pct"/>
            <w:tcBorders>
              <w:top w:val="nil"/>
              <w:left w:val="nil"/>
              <w:bottom w:val="single" w:sz="4" w:space="0" w:color="auto"/>
              <w:right w:val="single" w:sz="4" w:space="0" w:color="auto"/>
            </w:tcBorders>
            <w:shd w:val="clear" w:color="auto" w:fill="auto"/>
            <w:noWrap/>
            <w:vAlign w:val="bottom"/>
            <w:hideMark/>
          </w:tcPr>
          <w:p w14:paraId="76104D99"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96.8%</w:t>
            </w:r>
          </w:p>
        </w:tc>
        <w:tc>
          <w:tcPr>
            <w:tcW w:w="422" w:type="pct"/>
            <w:tcBorders>
              <w:top w:val="nil"/>
              <w:left w:val="nil"/>
              <w:bottom w:val="single" w:sz="4" w:space="0" w:color="auto"/>
              <w:right w:val="single" w:sz="4" w:space="0" w:color="auto"/>
            </w:tcBorders>
            <w:shd w:val="clear" w:color="auto" w:fill="auto"/>
            <w:noWrap/>
            <w:vAlign w:val="bottom"/>
            <w:hideMark/>
          </w:tcPr>
          <w:p w14:paraId="6A7DCB2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93.9%</w:t>
            </w:r>
          </w:p>
        </w:tc>
        <w:tc>
          <w:tcPr>
            <w:tcW w:w="516" w:type="pct"/>
            <w:tcBorders>
              <w:top w:val="nil"/>
              <w:left w:val="nil"/>
              <w:bottom w:val="single" w:sz="4" w:space="0" w:color="auto"/>
              <w:right w:val="single" w:sz="4" w:space="0" w:color="auto"/>
            </w:tcBorders>
            <w:shd w:val="clear" w:color="auto" w:fill="auto"/>
            <w:noWrap/>
            <w:vAlign w:val="bottom"/>
            <w:hideMark/>
          </w:tcPr>
          <w:p w14:paraId="76E6CE8F"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72.4%</w:t>
            </w:r>
          </w:p>
        </w:tc>
        <w:tc>
          <w:tcPr>
            <w:tcW w:w="468" w:type="pct"/>
            <w:tcBorders>
              <w:top w:val="nil"/>
              <w:left w:val="nil"/>
              <w:bottom w:val="single" w:sz="4" w:space="0" w:color="auto"/>
              <w:right w:val="single" w:sz="4" w:space="0" w:color="auto"/>
            </w:tcBorders>
            <w:shd w:val="clear" w:color="auto" w:fill="auto"/>
            <w:noWrap/>
            <w:vAlign w:val="bottom"/>
            <w:hideMark/>
          </w:tcPr>
          <w:p w14:paraId="0F8F43C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66.7%</w:t>
            </w:r>
          </w:p>
        </w:tc>
        <w:tc>
          <w:tcPr>
            <w:tcW w:w="562" w:type="pct"/>
            <w:tcBorders>
              <w:top w:val="nil"/>
              <w:left w:val="nil"/>
              <w:bottom w:val="single" w:sz="4" w:space="0" w:color="auto"/>
              <w:right w:val="single" w:sz="4" w:space="0" w:color="auto"/>
            </w:tcBorders>
            <w:shd w:val="clear" w:color="auto" w:fill="auto"/>
            <w:noWrap/>
            <w:vAlign w:val="bottom"/>
            <w:hideMark/>
          </w:tcPr>
          <w:p w14:paraId="0627FEA4"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70.2%</w:t>
            </w:r>
          </w:p>
        </w:tc>
        <w:tc>
          <w:tcPr>
            <w:tcW w:w="452" w:type="pct"/>
            <w:tcBorders>
              <w:top w:val="nil"/>
              <w:left w:val="nil"/>
              <w:bottom w:val="single" w:sz="4" w:space="0" w:color="auto"/>
              <w:right w:val="single" w:sz="4" w:space="0" w:color="auto"/>
            </w:tcBorders>
            <w:shd w:val="clear" w:color="auto" w:fill="auto"/>
            <w:noWrap/>
            <w:vAlign w:val="bottom"/>
            <w:hideMark/>
          </w:tcPr>
          <w:p w14:paraId="476088C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70.3%</w:t>
            </w:r>
          </w:p>
        </w:tc>
      </w:tr>
      <w:tr w:rsidR="001C2995" w:rsidRPr="009E52D7" w14:paraId="51029E3A"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1E8B0F1A"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Card</w:t>
            </w:r>
          </w:p>
        </w:tc>
        <w:tc>
          <w:tcPr>
            <w:tcW w:w="470" w:type="pct"/>
            <w:tcBorders>
              <w:top w:val="nil"/>
              <w:left w:val="nil"/>
              <w:bottom w:val="single" w:sz="4" w:space="0" w:color="auto"/>
              <w:right w:val="single" w:sz="4" w:space="0" w:color="auto"/>
            </w:tcBorders>
            <w:shd w:val="clear" w:color="auto" w:fill="auto"/>
            <w:noWrap/>
            <w:vAlign w:val="bottom"/>
            <w:hideMark/>
          </w:tcPr>
          <w:p w14:paraId="57CF115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84.7%</w:t>
            </w:r>
          </w:p>
        </w:tc>
        <w:tc>
          <w:tcPr>
            <w:tcW w:w="564" w:type="pct"/>
            <w:tcBorders>
              <w:top w:val="nil"/>
              <w:left w:val="nil"/>
              <w:bottom w:val="single" w:sz="4" w:space="0" w:color="auto"/>
              <w:right w:val="single" w:sz="4" w:space="0" w:color="auto"/>
            </w:tcBorders>
            <w:shd w:val="clear" w:color="auto" w:fill="auto"/>
            <w:noWrap/>
            <w:vAlign w:val="bottom"/>
            <w:hideMark/>
          </w:tcPr>
          <w:p w14:paraId="3DD8251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39.9%</w:t>
            </w:r>
          </w:p>
        </w:tc>
        <w:tc>
          <w:tcPr>
            <w:tcW w:w="422" w:type="pct"/>
            <w:tcBorders>
              <w:top w:val="nil"/>
              <w:left w:val="nil"/>
              <w:bottom w:val="single" w:sz="4" w:space="0" w:color="auto"/>
              <w:right w:val="single" w:sz="4" w:space="0" w:color="auto"/>
            </w:tcBorders>
            <w:shd w:val="clear" w:color="auto" w:fill="auto"/>
            <w:noWrap/>
            <w:vAlign w:val="bottom"/>
            <w:hideMark/>
          </w:tcPr>
          <w:p w14:paraId="2813ED4D"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24.5%</w:t>
            </w:r>
          </w:p>
        </w:tc>
        <w:tc>
          <w:tcPr>
            <w:tcW w:w="516" w:type="pct"/>
            <w:tcBorders>
              <w:top w:val="nil"/>
              <w:left w:val="nil"/>
              <w:bottom w:val="single" w:sz="4" w:space="0" w:color="auto"/>
              <w:right w:val="single" w:sz="4" w:space="0" w:color="auto"/>
            </w:tcBorders>
            <w:shd w:val="clear" w:color="auto" w:fill="auto"/>
            <w:noWrap/>
            <w:vAlign w:val="bottom"/>
            <w:hideMark/>
          </w:tcPr>
          <w:p w14:paraId="1F8365D0"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83.7%</w:t>
            </w:r>
          </w:p>
        </w:tc>
        <w:tc>
          <w:tcPr>
            <w:tcW w:w="468" w:type="pct"/>
            <w:tcBorders>
              <w:top w:val="nil"/>
              <w:left w:val="nil"/>
              <w:bottom w:val="single" w:sz="4" w:space="0" w:color="auto"/>
              <w:right w:val="single" w:sz="4" w:space="0" w:color="auto"/>
            </w:tcBorders>
            <w:shd w:val="clear" w:color="auto" w:fill="auto"/>
            <w:noWrap/>
            <w:vAlign w:val="bottom"/>
            <w:hideMark/>
          </w:tcPr>
          <w:p w14:paraId="0EE590F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89.6%</w:t>
            </w:r>
          </w:p>
        </w:tc>
        <w:tc>
          <w:tcPr>
            <w:tcW w:w="562" w:type="pct"/>
            <w:tcBorders>
              <w:top w:val="nil"/>
              <w:left w:val="nil"/>
              <w:bottom w:val="single" w:sz="4" w:space="0" w:color="auto"/>
              <w:right w:val="single" w:sz="4" w:space="0" w:color="auto"/>
            </w:tcBorders>
            <w:shd w:val="clear" w:color="auto" w:fill="auto"/>
            <w:noWrap/>
            <w:vAlign w:val="bottom"/>
            <w:hideMark/>
          </w:tcPr>
          <w:p w14:paraId="17F61FC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80.4%</w:t>
            </w:r>
          </w:p>
        </w:tc>
        <w:tc>
          <w:tcPr>
            <w:tcW w:w="452" w:type="pct"/>
            <w:tcBorders>
              <w:top w:val="nil"/>
              <w:left w:val="nil"/>
              <w:bottom w:val="single" w:sz="4" w:space="0" w:color="auto"/>
              <w:right w:val="single" w:sz="4" w:space="0" w:color="auto"/>
            </w:tcBorders>
            <w:shd w:val="clear" w:color="auto" w:fill="auto"/>
            <w:noWrap/>
            <w:vAlign w:val="bottom"/>
            <w:hideMark/>
          </w:tcPr>
          <w:p w14:paraId="582CFD6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87.3%</w:t>
            </w:r>
          </w:p>
        </w:tc>
      </w:tr>
      <w:tr w:rsidR="001C2995" w:rsidRPr="009E52D7" w14:paraId="64C1886D"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6C7D054A"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Fingerprint</w:t>
            </w:r>
          </w:p>
        </w:tc>
        <w:tc>
          <w:tcPr>
            <w:tcW w:w="470" w:type="pct"/>
            <w:tcBorders>
              <w:top w:val="nil"/>
              <w:left w:val="nil"/>
              <w:bottom w:val="single" w:sz="4" w:space="0" w:color="auto"/>
              <w:right w:val="single" w:sz="4" w:space="0" w:color="auto"/>
            </w:tcBorders>
            <w:shd w:val="clear" w:color="auto" w:fill="auto"/>
            <w:noWrap/>
            <w:vAlign w:val="bottom"/>
            <w:hideMark/>
          </w:tcPr>
          <w:p w14:paraId="1340C925"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95.4%</w:t>
            </w:r>
          </w:p>
        </w:tc>
        <w:tc>
          <w:tcPr>
            <w:tcW w:w="564" w:type="pct"/>
            <w:tcBorders>
              <w:top w:val="nil"/>
              <w:left w:val="nil"/>
              <w:bottom w:val="single" w:sz="4" w:space="0" w:color="auto"/>
              <w:right w:val="single" w:sz="4" w:space="0" w:color="auto"/>
            </w:tcBorders>
            <w:shd w:val="clear" w:color="auto" w:fill="auto"/>
            <w:noWrap/>
            <w:vAlign w:val="bottom"/>
            <w:hideMark/>
          </w:tcPr>
          <w:p w14:paraId="37713B3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76.7%</w:t>
            </w:r>
          </w:p>
        </w:tc>
        <w:tc>
          <w:tcPr>
            <w:tcW w:w="422" w:type="pct"/>
            <w:tcBorders>
              <w:top w:val="nil"/>
              <w:left w:val="nil"/>
              <w:bottom w:val="single" w:sz="4" w:space="0" w:color="auto"/>
              <w:right w:val="single" w:sz="4" w:space="0" w:color="auto"/>
            </w:tcBorders>
            <w:shd w:val="clear" w:color="auto" w:fill="auto"/>
            <w:noWrap/>
            <w:vAlign w:val="bottom"/>
            <w:hideMark/>
          </w:tcPr>
          <w:p w14:paraId="0DF9EF0C"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48.8%</w:t>
            </w:r>
          </w:p>
        </w:tc>
        <w:tc>
          <w:tcPr>
            <w:tcW w:w="516" w:type="pct"/>
            <w:tcBorders>
              <w:top w:val="nil"/>
              <w:left w:val="nil"/>
              <w:bottom w:val="single" w:sz="4" w:space="0" w:color="auto"/>
              <w:right w:val="single" w:sz="4" w:space="0" w:color="auto"/>
            </w:tcBorders>
            <w:shd w:val="clear" w:color="auto" w:fill="auto"/>
            <w:noWrap/>
            <w:vAlign w:val="bottom"/>
            <w:hideMark/>
          </w:tcPr>
          <w:p w14:paraId="4854641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42.6%</w:t>
            </w:r>
          </w:p>
        </w:tc>
        <w:tc>
          <w:tcPr>
            <w:tcW w:w="468" w:type="pct"/>
            <w:tcBorders>
              <w:top w:val="nil"/>
              <w:left w:val="nil"/>
              <w:bottom w:val="single" w:sz="4" w:space="0" w:color="auto"/>
              <w:right w:val="single" w:sz="4" w:space="0" w:color="auto"/>
            </w:tcBorders>
            <w:shd w:val="clear" w:color="auto" w:fill="auto"/>
            <w:noWrap/>
            <w:vAlign w:val="bottom"/>
            <w:hideMark/>
          </w:tcPr>
          <w:p w14:paraId="688FCFA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44.2%</w:t>
            </w:r>
          </w:p>
        </w:tc>
        <w:tc>
          <w:tcPr>
            <w:tcW w:w="562" w:type="pct"/>
            <w:tcBorders>
              <w:top w:val="nil"/>
              <w:left w:val="nil"/>
              <w:bottom w:val="single" w:sz="4" w:space="0" w:color="auto"/>
              <w:right w:val="single" w:sz="4" w:space="0" w:color="auto"/>
            </w:tcBorders>
            <w:shd w:val="clear" w:color="auto" w:fill="auto"/>
            <w:noWrap/>
            <w:vAlign w:val="bottom"/>
            <w:hideMark/>
          </w:tcPr>
          <w:p w14:paraId="701EB7BF"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44.2%</w:t>
            </w:r>
          </w:p>
        </w:tc>
        <w:tc>
          <w:tcPr>
            <w:tcW w:w="452" w:type="pct"/>
            <w:tcBorders>
              <w:top w:val="nil"/>
              <w:left w:val="nil"/>
              <w:bottom w:val="single" w:sz="4" w:space="0" w:color="auto"/>
              <w:right w:val="single" w:sz="4" w:space="0" w:color="auto"/>
            </w:tcBorders>
            <w:shd w:val="clear" w:color="auto" w:fill="auto"/>
            <w:noWrap/>
            <w:vAlign w:val="bottom"/>
            <w:hideMark/>
          </w:tcPr>
          <w:p w14:paraId="657C186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22.6%</w:t>
            </w:r>
          </w:p>
        </w:tc>
      </w:tr>
      <w:tr w:rsidR="001C2995" w:rsidRPr="009E52D7" w14:paraId="566DAB91"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6F9BA958"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Iris</w:t>
            </w:r>
          </w:p>
        </w:tc>
        <w:tc>
          <w:tcPr>
            <w:tcW w:w="470" w:type="pct"/>
            <w:tcBorders>
              <w:top w:val="nil"/>
              <w:left w:val="nil"/>
              <w:bottom w:val="single" w:sz="4" w:space="0" w:color="auto"/>
              <w:right w:val="single" w:sz="4" w:space="0" w:color="auto"/>
            </w:tcBorders>
            <w:shd w:val="clear" w:color="auto" w:fill="auto"/>
            <w:noWrap/>
            <w:vAlign w:val="bottom"/>
            <w:hideMark/>
          </w:tcPr>
          <w:p w14:paraId="41BC767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26.4%</w:t>
            </w:r>
          </w:p>
        </w:tc>
        <w:tc>
          <w:tcPr>
            <w:tcW w:w="564" w:type="pct"/>
            <w:tcBorders>
              <w:top w:val="nil"/>
              <w:left w:val="nil"/>
              <w:bottom w:val="single" w:sz="4" w:space="0" w:color="auto"/>
              <w:right w:val="single" w:sz="4" w:space="0" w:color="auto"/>
            </w:tcBorders>
            <w:shd w:val="clear" w:color="auto" w:fill="auto"/>
            <w:noWrap/>
            <w:vAlign w:val="bottom"/>
            <w:hideMark/>
          </w:tcPr>
          <w:p w14:paraId="7618FFC0"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1.0%</w:t>
            </w:r>
          </w:p>
        </w:tc>
        <w:tc>
          <w:tcPr>
            <w:tcW w:w="422" w:type="pct"/>
            <w:tcBorders>
              <w:top w:val="nil"/>
              <w:left w:val="nil"/>
              <w:bottom w:val="single" w:sz="4" w:space="0" w:color="auto"/>
              <w:right w:val="single" w:sz="4" w:space="0" w:color="auto"/>
            </w:tcBorders>
            <w:shd w:val="clear" w:color="auto" w:fill="auto"/>
            <w:noWrap/>
            <w:vAlign w:val="bottom"/>
            <w:hideMark/>
          </w:tcPr>
          <w:p w14:paraId="3818711F"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2.2%</w:t>
            </w:r>
          </w:p>
        </w:tc>
        <w:tc>
          <w:tcPr>
            <w:tcW w:w="516" w:type="pct"/>
            <w:tcBorders>
              <w:top w:val="nil"/>
              <w:left w:val="nil"/>
              <w:bottom w:val="single" w:sz="4" w:space="0" w:color="auto"/>
              <w:right w:val="single" w:sz="4" w:space="0" w:color="auto"/>
            </w:tcBorders>
            <w:shd w:val="clear" w:color="auto" w:fill="auto"/>
            <w:noWrap/>
            <w:vAlign w:val="bottom"/>
            <w:hideMark/>
          </w:tcPr>
          <w:p w14:paraId="1CB87C3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10.6%</w:t>
            </w:r>
          </w:p>
        </w:tc>
        <w:tc>
          <w:tcPr>
            <w:tcW w:w="468" w:type="pct"/>
            <w:tcBorders>
              <w:top w:val="nil"/>
              <w:left w:val="nil"/>
              <w:bottom w:val="single" w:sz="4" w:space="0" w:color="auto"/>
              <w:right w:val="single" w:sz="4" w:space="0" w:color="auto"/>
            </w:tcBorders>
            <w:shd w:val="clear" w:color="auto" w:fill="auto"/>
            <w:noWrap/>
            <w:vAlign w:val="bottom"/>
            <w:hideMark/>
          </w:tcPr>
          <w:p w14:paraId="6C822E8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17.4%</w:t>
            </w:r>
          </w:p>
        </w:tc>
        <w:tc>
          <w:tcPr>
            <w:tcW w:w="562" w:type="pct"/>
            <w:tcBorders>
              <w:top w:val="nil"/>
              <w:left w:val="nil"/>
              <w:bottom w:val="single" w:sz="4" w:space="0" w:color="auto"/>
              <w:right w:val="single" w:sz="4" w:space="0" w:color="auto"/>
            </w:tcBorders>
            <w:shd w:val="clear" w:color="auto" w:fill="auto"/>
            <w:noWrap/>
            <w:vAlign w:val="bottom"/>
            <w:hideMark/>
          </w:tcPr>
          <w:p w14:paraId="59400E77"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10.5%</w:t>
            </w:r>
          </w:p>
        </w:tc>
        <w:tc>
          <w:tcPr>
            <w:tcW w:w="452" w:type="pct"/>
            <w:tcBorders>
              <w:top w:val="nil"/>
              <w:left w:val="nil"/>
              <w:bottom w:val="single" w:sz="4" w:space="0" w:color="auto"/>
              <w:right w:val="single" w:sz="4" w:space="0" w:color="auto"/>
            </w:tcBorders>
            <w:shd w:val="clear" w:color="auto" w:fill="auto"/>
            <w:noWrap/>
            <w:vAlign w:val="bottom"/>
            <w:hideMark/>
          </w:tcPr>
          <w:p w14:paraId="0977DD3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1.8%</w:t>
            </w:r>
          </w:p>
        </w:tc>
      </w:tr>
      <w:tr w:rsidR="001C2995" w:rsidRPr="009E52D7" w14:paraId="7F44B93D"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485BC2CD"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One-Time-Password</w:t>
            </w:r>
          </w:p>
        </w:tc>
        <w:tc>
          <w:tcPr>
            <w:tcW w:w="470" w:type="pct"/>
            <w:tcBorders>
              <w:top w:val="nil"/>
              <w:left w:val="nil"/>
              <w:bottom w:val="single" w:sz="4" w:space="0" w:color="auto"/>
              <w:right w:val="single" w:sz="4" w:space="0" w:color="auto"/>
            </w:tcBorders>
            <w:shd w:val="clear" w:color="auto" w:fill="auto"/>
            <w:noWrap/>
            <w:vAlign w:val="bottom"/>
            <w:hideMark/>
          </w:tcPr>
          <w:p w14:paraId="034D063F"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2.0%</w:t>
            </w:r>
          </w:p>
        </w:tc>
        <w:tc>
          <w:tcPr>
            <w:tcW w:w="564" w:type="pct"/>
            <w:tcBorders>
              <w:top w:val="nil"/>
              <w:left w:val="nil"/>
              <w:bottom w:val="single" w:sz="4" w:space="0" w:color="auto"/>
              <w:right w:val="single" w:sz="4" w:space="0" w:color="auto"/>
            </w:tcBorders>
            <w:shd w:val="clear" w:color="auto" w:fill="auto"/>
            <w:noWrap/>
            <w:vAlign w:val="bottom"/>
            <w:hideMark/>
          </w:tcPr>
          <w:p w14:paraId="3CF55536"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2.0%</w:t>
            </w:r>
          </w:p>
        </w:tc>
        <w:tc>
          <w:tcPr>
            <w:tcW w:w="422" w:type="pct"/>
            <w:tcBorders>
              <w:top w:val="nil"/>
              <w:left w:val="nil"/>
              <w:bottom w:val="single" w:sz="4" w:space="0" w:color="auto"/>
              <w:right w:val="single" w:sz="4" w:space="0" w:color="auto"/>
            </w:tcBorders>
            <w:shd w:val="clear" w:color="auto" w:fill="auto"/>
            <w:noWrap/>
            <w:vAlign w:val="bottom"/>
            <w:hideMark/>
          </w:tcPr>
          <w:p w14:paraId="2AD2C68C"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9.3%</w:t>
            </w:r>
          </w:p>
        </w:tc>
        <w:tc>
          <w:tcPr>
            <w:tcW w:w="516" w:type="pct"/>
            <w:tcBorders>
              <w:top w:val="nil"/>
              <w:left w:val="nil"/>
              <w:bottom w:val="single" w:sz="4" w:space="0" w:color="auto"/>
              <w:right w:val="single" w:sz="4" w:space="0" w:color="auto"/>
            </w:tcBorders>
            <w:shd w:val="clear" w:color="auto" w:fill="auto"/>
            <w:noWrap/>
            <w:vAlign w:val="bottom"/>
            <w:hideMark/>
          </w:tcPr>
          <w:p w14:paraId="7317AFBD"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9.8%</w:t>
            </w:r>
          </w:p>
        </w:tc>
        <w:tc>
          <w:tcPr>
            <w:tcW w:w="468" w:type="pct"/>
            <w:tcBorders>
              <w:top w:val="nil"/>
              <w:left w:val="nil"/>
              <w:bottom w:val="single" w:sz="4" w:space="0" w:color="auto"/>
              <w:right w:val="single" w:sz="4" w:space="0" w:color="auto"/>
            </w:tcBorders>
            <w:shd w:val="clear" w:color="auto" w:fill="auto"/>
            <w:noWrap/>
            <w:vAlign w:val="bottom"/>
            <w:hideMark/>
          </w:tcPr>
          <w:p w14:paraId="6EBDDF6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13.0%</w:t>
            </w:r>
          </w:p>
        </w:tc>
        <w:tc>
          <w:tcPr>
            <w:tcW w:w="562" w:type="pct"/>
            <w:tcBorders>
              <w:top w:val="nil"/>
              <w:left w:val="nil"/>
              <w:bottom w:val="single" w:sz="4" w:space="0" w:color="auto"/>
              <w:right w:val="single" w:sz="4" w:space="0" w:color="auto"/>
            </w:tcBorders>
            <w:shd w:val="clear" w:color="auto" w:fill="auto"/>
            <w:noWrap/>
            <w:vAlign w:val="bottom"/>
            <w:hideMark/>
          </w:tcPr>
          <w:p w14:paraId="0530EC2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12.3%</w:t>
            </w:r>
          </w:p>
        </w:tc>
        <w:tc>
          <w:tcPr>
            <w:tcW w:w="452" w:type="pct"/>
            <w:tcBorders>
              <w:top w:val="nil"/>
              <w:left w:val="nil"/>
              <w:bottom w:val="single" w:sz="4" w:space="0" w:color="auto"/>
              <w:right w:val="single" w:sz="4" w:space="0" w:color="auto"/>
            </w:tcBorders>
            <w:shd w:val="clear" w:color="auto" w:fill="auto"/>
            <w:noWrap/>
            <w:vAlign w:val="bottom"/>
            <w:hideMark/>
          </w:tcPr>
          <w:p w14:paraId="40E07DBE"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8.6%</w:t>
            </w:r>
          </w:p>
        </w:tc>
      </w:tr>
      <w:tr w:rsidR="001C2995" w:rsidRPr="009E52D7" w14:paraId="337AFFDF"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0A83437D"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Used Aadhaar for Bank Account Openings</w:t>
            </w:r>
          </w:p>
        </w:tc>
        <w:tc>
          <w:tcPr>
            <w:tcW w:w="470" w:type="pct"/>
            <w:tcBorders>
              <w:top w:val="nil"/>
              <w:left w:val="nil"/>
              <w:bottom w:val="single" w:sz="4" w:space="0" w:color="auto"/>
              <w:right w:val="single" w:sz="4" w:space="0" w:color="auto"/>
            </w:tcBorders>
            <w:shd w:val="clear" w:color="auto" w:fill="auto"/>
            <w:noWrap/>
            <w:vAlign w:val="bottom"/>
            <w:hideMark/>
          </w:tcPr>
          <w:p w14:paraId="68C0BC4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94.7%</w:t>
            </w:r>
          </w:p>
        </w:tc>
        <w:tc>
          <w:tcPr>
            <w:tcW w:w="564" w:type="pct"/>
            <w:tcBorders>
              <w:top w:val="nil"/>
              <w:left w:val="nil"/>
              <w:bottom w:val="single" w:sz="4" w:space="0" w:color="auto"/>
              <w:right w:val="single" w:sz="4" w:space="0" w:color="auto"/>
            </w:tcBorders>
            <w:shd w:val="clear" w:color="auto" w:fill="auto"/>
            <w:noWrap/>
            <w:vAlign w:val="bottom"/>
            <w:hideMark/>
          </w:tcPr>
          <w:p w14:paraId="450477B1"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82.2%</w:t>
            </w:r>
          </w:p>
        </w:tc>
        <w:tc>
          <w:tcPr>
            <w:tcW w:w="422" w:type="pct"/>
            <w:tcBorders>
              <w:top w:val="nil"/>
              <w:left w:val="nil"/>
              <w:bottom w:val="single" w:sz="4" w:space="0" w:color="auto"/>
              <w:right w:val="single" w:sz="4" w:space="0" w:color="auto"/>
            </w:tcBorders>
            <w:shd w:val="clear" w:color="auto" w:fill="auto"/>
            <w:noWrap/>
            <w:vAlign w:val="bottom"/>
            <w:hideMark/>
          </w:tcPr>
          <w:p w14:paraId="57709119"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75.5%</w:t>
            </w:r>
          </w:p>
        </w:tc>
        <w:tc>
          <w:tcPr>
            <w:tcW w:w="516" w:type="pct"/>
            <w:tcBorders>
              <w:top w:val="nil"/>
              <w:left w:val="nil"/>
              <w:bottom w:val="single" w:sz="4" w:space="0" w:color="auto"/>
              <w:right w:val="single" w:sz="4" w:space="0" w:color="auto"/>
            </w:tcBorders>
            <w:shd w:val="clear" w:color="auto" w:fill="auto"/>
            <w:noWrap/>
            <w:vAlign w:val="bottom"/>
            <w:hideMark/>
          </w:tcPr>
          <w:p w14:paraId="147B5715"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86.0%</w:t>
            </w:r>
          </w:p>
        </w:tc>
        <w:tc>
          <w:tcPr>
            <w:tcW w:w="468" w:type="pct"/>
            <w:tcBorders>
              <w:top w:val="nil"/>
              <w:left w:val="nil"/>
              <w:bottom w:val="single" w:sz="4" w:space="0" w:color="auto"/>
              <w:right w:val="single" w:sz="4" w:space="0" w:color="auto"/>
            </w:tcBorders>
            <w:shd w:val="clear" w:color="auto" w:fill="auto"/>
            <w:noWrap/>
            <w:vAlign w:val="bottom"/>
            <w:hideMark/>
          </w:tcPr>
          <w:p w14:paraId="5AC882C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84.4%</w:t>
            </w:r>
          </w:p>
        </w:tc>
        <w:tc>
          <w:tcPr>
            <w:tcW w:w="562" w:type="pct"/>
            <w:tcBorders>
              <w:top w:val="nil"/>
              <w:left w:val="nil"/>
              <w:bottom w:val="single" w:sz="4" w:space="0" w:color="auto"/>
              <w:right w:val="single" w:sz="4" w:space="0" w:color="auto"/>
            </w:tcBorders>
            <w:shd w:val="clear" w:color="auto" w:fill="auto"/>
            <w:noWrap/>
            <w:vAlign w:val="bottom"/>
            <w:hideMark/>
          </w:tcPr>
          <w:p w14:paraId="594E682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94.2%</w:t>
            </w:r>
          </w:p>
        </w:tc>
        <w:tc>
          <w:tcPr>
            <w:tcW w:w="452" w:type="pct"/>
            <w:tcBorders>
              <w:top w:val="nil"/>
              <w:left w:val="nil"/>
              <w:bottom w:val="single" w:sz="4" w:space="0" w:color="auto"/>
              <w:right w:val="single" w:sz="4" w:space="0" w:color="auto"/>
            </w:tcBorders>
            <w:shd w:val="clear" w:color="auto" w:fill="auto"/>
            <w:noWrap/>
            <w:vAlign w:val="bottom"/>
            <w:hideMark/>
          </w:tcPr>
          <w:p w14:paraId="2FFDB7A5"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88.8%</w:t>
            </w:r>
          </w:p>
        </w:tc>
      </w:tr>
      <w:tr w:rsidR="001C2995" w:rsidRPr="009E52D7" w14:paraId="19130CE4"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10B6DA11"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Used Aadhaar for SIM Card</w:t>
            </w:r>
          </w:p>
        </w:tc>
        <w:tc>
          <w:tcPr>
            <w:tcW w:w="470" w:type="pct"/>
            <w:tcBorders>
              <w:top w:val="nil"/>
              <w:left w:val="nil"/>
              <w:bottom w:val="single" w:sz="4" w:space="0" w:color="auto"/>
              <w:right w:val="single" w:sz="4" w:space="0" w:color="auto"/>
            </w:tcBorders>
            <w:shd w:val="clear" w:color="auto" w:fill="auto"/>
            <w:noWrap/>
            <w:vAlign w:val="bottom"/>
            <w:hideMark/>
          </w:tcPr>
          <w:p w14:paraId="51D87FA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94.4%</w:t>
            </w:r>
          </w:p>
        </w:tc>
        <w:tc>
          <w:tcPr>
            <w:tcW w:w="564" w:type="pct"/>
            <w:tcBorders>
              <w:top w:val="nil"/>
              <w:left w:val="nil"/>
              <w:bottom w:val="single" w:sz="4" w:space="0" w:color="auto"/>
              <w:right w:val="single" w:sz="4" w:space="0" w:color="auto"/>
            </w:tcBorders>
            <w:shd w:val="clear" w:color="auto" w:fill="auto"/>
            <w:noWrap/>
            <w:vAlign w:val="bottom"/>
            <w:hideMark/>
          </w:tcPr>
          <w:p w14:paraId="79A66D27"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83.4%</w:t>
            </w:r>
          </w:p>
        </w:tc>
        <w:tc>
          <w:tcPr>
            <w:tcW w:w="422" w:type="pct"/>
            <w:tcBorders>
              <w:top w:val="nil"/>
              <w:left w:val="nil"/>
              <w:bottom w:val="single" w:sz="4" w:space="0" w:color="auto"/>
              <w:right w:val="single" w:sz="4" w:space="0" w:color="auto"/>
            </w:tcBorders>
            <w:shd w:val="clear" w:color="auto" w:fill="auto"/>
            <w:noWrap/>
            <w:vAlign w:val="bottom"/>
            <w:hideMark/>
          </w:tcPr>
          <w:p w14:paraId="00B66D8E"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78.3%</w:t>
            </w:r>
          </w:p>
        </w:tc>
        <w:tc>
          <w:tcPr>
            <w:tcW w:w="516" w:type="pct"/>
            <w:tcBorders>
              <w:top w:val="nil"/>
              <w:left w:val="nil"/>
              <w:bottom w:val="single" w:sz="4" w:space="0" w:color="auto"/>
              <w:right w:val="single" w:sz="4" w:space="0" w:color="auto"/>
            </w:tcBorders>
            <w:shd w:val="clear" w:color="auto" w:fill="auto"/>
            <w:noWrap/>
            <w:vAlign w:val="bottom"/>
            <w:hideMark/>
          </w:tcPr>
          <w:p w14:paraId="719581C7"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54.6%</w:t>
            </w:r>
          </w:p>
        </w:tc>
        <w:tc>
          <w:tcPr>
            <w:tcW w:w="468" w:type="pct"/>
            <w:tcBorders>
              <w:top w:val="nil"/>
              <w:left w:val="nil"/>
              <w:bottom w:val="single" w:sz="4" w:space="0" w:color="auto"/>
              <w:right w:val="single" w:sz="4" w:space="0" w:color="auto"/>
            </w:tcBorders>
            <w:shd w:val="clear" w:color="auto" w:fill="auto"/>
            <w:noWrap/>
            <w:vAlign w:val="bottom"/>
            <w:hideMark/>
          </w:tcPr>
          <w:p w14:paraId="0FA09B0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44.4%</w:t>
            </w:r>
          </w:p>
        </w:tc>
        <w:tc>
          <w:tcPr>
            <w:tcW w:w="562" w:type="pct"/>
            <w:tcBorders>
              <w:top w:val="nil"/>
              <w:left w:val="nil"/>
              <w:bottom w:val="single" w:sz="4" w:space="0" w:color="auto"/>
              <w:right w:val="single" w:sz="4" w:space="0" w:color="auto"/>
            </w:tcBorders>
            <w:shd w:val="clear" w:color="auto" w:fill="auto"/>
            <w:noWrap/>
            <w:vAlign w:val="bottom"/>
            <w:hideMark/>
          </w:tcPr>
          <w:p w14:paraId="1F68BBA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72.3%</w:t>
            </w:r>
          </w:p>
        </w:tc>
        <w:tc>
          <w:tcPr>
            <w:tcW w:w="452" w:type="pct"/>
            <w:tcBorders>
              <w:top w:val="nil"/>
              <w:left w:val="nil"/>
              <w:bottom w:val="single" w:sz="4" w:space="0" w:color="auto"/>
              <w:right w:val="single" w:sz="4" w:space="0" w:color="auto"/>
            </w:tcBorders>
            <w:shd w:val="clear" w:color="auto" w:fill="auto"/>
            <w:noWrap/>
            <w:vAlign w:val="bottom"/>
            <w:hideMark/>
          </w:tcPr>
          <w:p w14:paraId="0FF3DA86"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45.0%</w:t>
            </w:r>
          </w:p>
        </w:tc>
      </w:tr>
      <w:tr w:rsidR="001C2995" w:rsidRPr="009E52D7" w14:paraId="2505E6F3" w14:textId="77777777" w:rsidTr="001C2995">
        <w:trPr>
          <w:trHeight w:val="288"/>
        </w:trPr>
        <w:tc>
          <w:tcPr>
            <w:tcW w:w="5000" w:type="pct"/>
            <w:gridSpan w:val="8"/>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AE241E0" w14:textId="37EFF8EE"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w:t>
            </w:r>
            <w:r w:rsidR="001232D6">
              <w:rPr>
                <w:rFonts w:eastAsia="Times New Roman" w:cs="Calibri"/>
                <w:color w:val="000000"/>
                <w:sz w:val="18"/>
                <w:lang w:val="en-US"/>
              </w:rPr>
              <w:t>Errors and denials</w:t>
            </w:r>
          </w:p>
        </w:tc>
      </w:tr>
      <w:tr w:rsidR="001C2995" w:rsidRPr="009E52D7" w14:paraId="3FF8F063" w14:textId="77777777" w:rsidTr="001C2995">
        <w:trPr>
          <w:trHeight w:val="288"/>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6E79B112"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Card Error Rate</w:t>
            </w:r>
          </w:p>
        </w:tc>
        <w:tc>
          <w:tcPr>
            <w:tcW w:w="470" w:type="pct"/>
            <w:tcBorders>
              <w:top w:val="nil"/>
              <w:left w:val="nil"/>
              <w:bottom w:val="single" w:sz="4" w:space="0" w:color="auto"/>
              <w:right w:val="single" w:sz="4" w:space="0" w:color="auto"/>
            </w:tcBorders>
            <w:shd w:val="clear" w:color="auto" w:fill="auto"/>
            <w:noWrap/>
            <w:vAlign w:val="bottom"/>
            <w:hideMark/>
          </w:tcPr>
          <w:p w14:paraId="4D8AF39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8.0%</w:t>
            </w:r>
          </w:p>
        </w:tc>
        <w:tc>
          <w:tcPr>
            <w:tcW w:w="564" w:type="pct"/>
            <w:tcBorders>
              <w:top w:val="nil"/>
              <w:left w:val="nil"/>
              <w:bottom w:val="single" w:sz="4" w:space="0" w:color="auto"/>
              <w:right w:val="single" w:sz="4" w:space="0" w:color="auto"/>
            </w:tcBorders>
            <w:shd w:val="clear" w:color="auto" w:fill="auto"/>
            <w:noWrap/>
            <w:vAlign w:val="bottom"/>
            <w:hideMark/>
          </w:tcPr>
          <w:p w14:paraId="66B042B8"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4.8%</w:t>
            </w:r>
          </w:p>
        </w:tc>
        <w:tc>
          <w:tcPr>
            <w:tcW w:w="422" w:type="pct"/>
            <w:tcBorders>
              <w:top w:val="nil"/>
              <w:left w:val="nil"/>
              <w:bottom w:val="single" w:sz="4" w:space="0" w:color="auto"/>
              <w:right w:val="single" w:sz="4" w:space="0" w:color="auto"/>
            </w:tcBorders>
            <w:shd w:val="clear" w:color="auto" w:fill="auto"/>
            <w:noWrap/>
            <w:vAlign w:val="bottom"/>
            <w:hideMark/>
          </w:tcPr>
          <w:p w14:paraId="12FC7CA4"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12.2%</w:t>
            </w:r>
          </w:p>
        </w:tc>
        <w:tc>
          <w:tcPr>
            <w:tcW w:w="516" w:type="pct"/>
            <w:tcBorders>
              <w:top w:val="nil"/>
              <w:left w:val="nil"/>
              <w:bottom w:val="single" w:sz="4" w:space="0" w:color="auto"/>
              <w:right w:val="single" w:sz="4" w:space="0" w:color="auto"/>
            </w:tcBorders>
            <w:shd w:val="clear" w:color="auto" w:fill="auto"/>
            <w:noWrap/>
            <w:vAlign w:val="bottom"/>
            <w:hideMark/>
          </w:tcPr>
          <w:p w14:paraId="7B46535A"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5.0%</w:t>
            </w:r>
          </w:p>
        </w:tc>
        <w:tc>
          <w:tcPr>
            <w:tcW w:w="468" w:type="pct"/>
            <w:tcBorders>
              <w:top w:val="nil"/>
              <w:left w:val="nil"/>
              <w:bottom w:val="single" w:sz="4" w:space="0" w:color="auto"/>
              <w:right w:val="single" w:sz="4" w:space="0" w:color="auto"/>
            </w:tcBorders>
            <w:shd w:val="clear" w:color="auto" w:fill="auto"/>
            <w:noWrap/>
            <w:vAlign w:val="bottom"/>
            <w:hideMark/>
          </w:tcPr>
          <w:p w14:paraId="53F8913D"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0.8%</w:t>
            </w:r>
          </w:p>
        </w:tc>
        <w:tc>
          <w:tcPr>
            <w:tcW w:w="562" w:type="pct"/>
            <w:tcBorders>
              <w:top w:val="nil"/>
              <w:left w:val="nil"/>
              <w:bottom w:val="single" w:sz="4" w:space="0" w:color="auto"/>
              <w:right w:val="single" w:sz="4" w:space="0" w:color="auto"/>
            </w:tcBorders>
            <w:shd w:val="clear" w:color="auto" w:fill="auto"/>
            <w:noWrap/>
            <w:vAlign w:val="bottom"/>
            <w:hideMark/>
          </w:tcPr>
          <w:p w14:paraId="01E8C095"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5.2%</w:t>
            </w:r>
          </w:p>
        </w:tc>
        <w:tc>
          <w:tcPr>
            <w:tcW w:w="452" w:type="pct"/>
            <w:tcBorders>
              <w:top w:val="nil"/>
              <w:left w:val="nil"/>
              <w:bottom w:val="single" w:sz="4" w:space="0" w:color="auto"/>
              <w:right w:val="single" w:sz="4" w:space="0" w:color="auto"/>
            </w:tcBorders>
            <w:shd w:val="clear" w:color="auto" w:fill="auto"/>
            <w:noWrap/>
            <w:vAlign w:val="bottom"/>
            <w:hideMark/>
          </w:tcPr>
          <w:p w14:paraId="5930CB6D"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2.7%</w:t>
            </w:r>
          </w:p>
        </w:tc>
      </w:tr>
      <w:tr w:rsidR="001C2995" w:rsidRPr="009E52D7" w14:paraId="16C799A9" w14:textId="77777777" w:rsidTr="001232D6">
        <w:trPr>
          <w:trHeight w:val="454"/>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4C2AE400" w14:textId="420553CD"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Denial </w:t>
            </w:r>
            <w:r w:rsidR="001232D6">
              <w:rPr>
                <w:rFonts w:eastAsia="Times New Roman" w:cs="Calibri"/>
                <w:color w:val="000000"/>
                <w:sz w:val="18"/>
                <w:lang w:val="en-US"/>
              </w:rPr>
              <w:t>of</w:t>
            </w:r>
            <w:r w:rsidRPr="009E52D7">
              <w:rPr>
                <w:rFonts w:eastAsia="Times New Roman" w:cs="Calibri"/>
                <w:color w:val="000000"/>
                <w:sz w:val="18"/>
                <w:lang w:val="en-US"/>
              </w:rPr>
              <w:t xml:space="preserve"> PDS</w:t>
            </w:r>
            <w:r w:rsidR="001232D6">
              <w:rPr>
                <w:rFonts w:eastAsia="Times New Roman" w:cs="Calibri"/>
                <w:color w:val="000000"/>
                <w:sz w:val="18"/>
                <w:lang w:val="en-US"/>
              </w:rPr>
              <w:t xml:space="preserve"> rations</w:t>
            </w:r>
            <w:r w:rsidRPr="009E52D7">
              <w:rPr>
                <w:rFonts w:eastAsia="Times New Roman" w:cs="Calibri"/>
                <w:color w:val="000000"/>
                <w:sz w:val="18"/>
                <w:lang w:val="en-US"/>
              </w:rPr>
              <w:t xml:space="preserve"> due to Aadhaar-related problems</w:t>
            </w:r>
          </w:p>
        </w:tc>
        <w:tc>
          <w:tcPr>
            <w:tcW w:w="470" w:type="pct"/>
            <w:tcBorders>
              <w:top w:val="nil"/>
              <w:left w:val="nil"/>
              <w:bottom w:val="single" w:sz="4" w:space="0" w:color="auto"/>
              <w:right w:val="single" w:sz="4" w:space="0" w:color="auto"/>
            </w:tcBorders>
            <w:shd w:val="clear" w:color="auto" w:fill="auto"/>
            <w:noWrap/>
            <w:vAlign w:val="bottom"/>
            <w:hideMark/>
          </w:tcPr>
          <w:p w14:paraId="2479AC44"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0.8%</w:t>
            </w:r>
          </w:p>
        </w:tc>
        <w:tc>
          <w:tcPr>
            <w:tcW w:w="564" w:type="pct"/>
            <w:tcBorders>
              <w:top w:val="nil"/>
              <w:left w:val="nil"/>
              <w:bottom w:val="single" w:sz="4" w:space="0" w:color="auto"/>
              <w:right w:val="single" w:sz="4" w:space="0" w:color="auto"/>
            </w:tcBorders>
            <w:shd w:val="clear" w:color="auto" w:fill="auto"/>
            <w:noWrap/>
            <w:vAlign w:val="bottom"/>
            <w:hideMark/>
          </w:tcPr>
          <w:p w14:paraId="6AD2857E"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2.9%</w:t>
            </w:r>
          </w:p>
        </w:tc>
        <w:tc>
          <w:tcPr>
            <w:tcW w:w="422" w:type="pct"/>
            <w:tcBorders>
              <w:top w:val="nil"/>
              <w:left w:val="nil"/>
              <w:bottom w:val="single" w:sz="4" w:space="0" w:color="auto"/>
              <w:right w:val="single" w:sz="4" w:space="0" w:color="auto"/>
            </w:tcBorders>
            <w:shd w:val="clear" w:color="auto" w:fill="auto"/>
            <w:noWrap/>
            <w:vAlign w:val="bottom"/>
            <w:hideMark/>
          </w:tcPr>
          <w:p w14:paraId="295815F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0.9%</w:t>
            </w:r>
          </w:p>
        </w:tc>
        <w:tc>
          <w:tcPr>
            <w:tcW w:w="516" w:type="pct"/>
            <w:tcBorders>
              <w:top w:val="nil"/>
              <w:left w:val="nil"/>
              <w:bottom w:val="single" w:sz="4" w:space="0" w:color="auto"/>
              <w:right w:val="single" w:sz="4" w:space="0" w:color="auto"/>
            </w:tcBorders>
            <w:shd w:val="clear" w:color="auto" w:fill="auto"/>
            <w:noWrap/>
            <w:vAlign w:val="bottom"/>
            <w:hideMark/>
          </w:tcPr>
          <w:p w14:paraId="3350048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4.7%</w:t>
            </w:r>
          </w:p>
        </w:tc>
        <w:tc>
          <w:tcPr>
            <w:tcW w:w="468" w:type="pct"/>
            <w:tcBorders>
              <w:top w:val="nil"/>
              <w:left w:val="nil"/>
              <w:bottom w:val="single" w:sz="4" w:space="0" w:color="auto"/>
              <w:right w:val="single" w:sz="4" w:space="0" w:color="auto"/>
            </w:tcBorders>
            <w:shd w:val="clear" w:color="auto" w:fill="auto"/>
            <w:noWrap/>
            <w:vAlign w:val="bottom"/>
            <w:hideMark/>
          </w:tcPr>
          <w:p w14:paraId="1FCB117B"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0.2%</w:t>
            </w:r>
          </w:p>
        </w:tc>
        <w:tc>
          <w:tcPr>
            <w:tcW w:w="562" w:type="pct"/>
            <w:tcBorders>
              <w:top w:val="nil"/>
              <w:left w:val="nil"/>
              <w:bottom w:val="single" w:sz="4" w:space="0" w:color="auto"/>
              <w:right w:val="single" w:sz="4" w:space="0" w:color="auto"/>
            </w:tcBorders>
            <w:shd w:val="clear" w:color="auto" w:fill="auto"/>
            <w:noWrap/>
            <w:vAlign w:val="bottom"/>
            <w:hideMark/>
          </w:tcPr>
          <w:p w14:paraId="4C6A4C0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7.1%</w:t>
            </w:r>
          </w:p>
        </w:tc>
        <w:tc>
          <w:tcPr>
            <w:tcW w:w="452" w:type="pct"/>
            <w:tcBorders>
              <w:top w:val="nil"/>
              <w:left w:val="nil"/>
              <w:bottom w:val="single" w:sz="4" w:space="0" w:color="auto"/>
              <w:right w:val="single" w:sz="4" w:space="0" w:color="auto"/>
            </w:tcBorders>
            <w:shd w:val="clear" w:color="auto" w:fill="auto"/>
            <w:noWrap/>
            <w:vAlign w:val="bottom"/>
            <w:hideMark/>
          </w:tcPr>
          <w:p w14:paraId="24F2EF00"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0.0%</w:t>
            </w:r>
          </w:p>
        </w:tc>
      </w:tr>
      <w:tr w:rsidR="001C2995" w:rsidRPr="009E52D7" w14:paraId="043518AD" w14:textId="77777777" w:rsidTr="001C2995">
        <w:trPr>
          <w:trHeight w:val="288"/>
        </w:trPr>
        <w:tc>
          <w:tcPr>
            <w:tcW w:w="5000" w:type="pct"/>
            <w:gridSpan w:val="8"/>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5EA6E4" w14:textId="77777777"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Ease of PDS Delivery due to Aadhaar</w:t>
            </w:r>
          </w:p>
        </w:tc>
      </w:tr>
      <w:tr w:rsidR="001C2995" w:rsidRPr="009E52D7" w14:paraId="4EC13458" w14:textId="77777777" w:rsidTr="001232D6">
        <w:trPr>
          <w:trHeight w:val="454"/>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04005FE6" w14:textId="5CA10062" w:rsidR="001C2995" w:rsidRPr="009E52D7" w:rsidRDefault="001C2995" w:rsidP="002D3B5C">
            <w:pPr>
              <w:keepNext/>
              <w:keepLines/>
              <w:spacing w:after="0"/>
              <w:rPr>
                <w:rFonts w:eastAsia="Times New Roman" w:cs="Calibri"/>
                <w:color w:val="000000"/>
                <w:sz w:val="18"/>
                <w:lang w:val="en-US"/>
              </w:rPr>
            </w:pPr>
            <w:r w:rsidRPr="009E52D7">
              <w:rPr>
                <w:rFonts w:eastAsia="Times New Roman" w:cs="Calibri"/>
                <w:color w:val="000000"/>
                <w:sz w:val="18"/>
                <w:lang w:val="en-US"/>
              </w:rPr>
              <w:t xml:space="preserve">  % who found it became </w:t>
            </w:r>
            <w:r w:rsidR="009E52D7">
              <w:rPr>
                <w:rFonts w:eastAsia="Times New Roman" w:cs="Calibri"/>
                <w:color w:val="000000"/>
                <w:sz w:val="18"/>
                <w:lang w:val="en-US"/>
              </w:rPr>
              <w:t>easier</w:t>
            </w:r>
            <w:r w:rsidRPr="009E52D7">
              <w:rPr>
                <w:rFonts w:eastAsia="Times New Roman" w:cs="Calibri"/>
                <w:color w:val="000000"/>
                <w:sz w:val="18"/>
                <w:lang w:val="en-US"/>
              </w:rPr>
              <w:t xml:space="preserve"> after Aadhaar</w:t>
            </w:r>
          </w:p>
        </w:tc>
        <w:tc>
          <w:tcPr>
            <w:tcW w:w="470" w:type="pct"/>
            <w:tcBorders>
              <w:top w:val="nil"/>
              <w:left w:val="nil"/>
              <w:bottom w:val="single" w:sz="4" w:space="0" w:color="auto"/>
              <w:right w:val="single" w:sz="4" w:space="0" w:color="auto"/>
            </w:tcBorders>
            <w:shd w:val="clear" w:color="auto" w:fill="auto"/>
            <w:noWrap/>
            <w:vAlign w:val="bottom"/>
            <w:hideMark/>
          </w:tcPr>
          <w:p w14:paraId="1D6BA3C2"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55.3%</w:t>
            </w:r>
          </w:p>
        </w:tc>
        <w:tc>
          <w:tcPr>
            <w:tcW w:w="564" w:type="pct"/>
            <w:tcBorders>
              <w:top w:val="nil"/>
              <w:left w:val="nil"/>
              <w:bottom w:val="single" w:sz="4" w:space="0" w:color="auto"/>
              <w:right w:val="single" w:sz="4" w:space="0" w:color="auto"/>
            </w:tcBorders>
            <w:shd w:val="clear" w:color="auto" w:fill="auto"/>
            <w:noWrap/>
            <w:vAlign w:val="bottom"/>
            <w:hideMark/>
          </w:tcPr>
          <w:p w14:paraId="45761050"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67.4%</w:t>
            </w:r>
          </w:p>
        </w:tc>
        <w:tc>
          <w:tcPr>
            <w:tcW w:w="422" w:type="pct"/>
            <w:tcBorders>
              <w:top w:val="nil"/>
              <w:left w:val="nil"/>
              <w:bottom w:val="single" w:sz="4" w:space="0" w:color="auto"/>
              <w:right w:val="single" w:sz="4" w:space="0" w:color="auto"/>
            </w:tcBorders>
            <w:shd w:val="clear" w:color="auto" w:fill="auto"/>
            <w:noWrap/>
            <w:vAlign w:val="bottom"/>
            <w:hideMark/>
          </w:tcPr>
          <w:p w14:paraId="5D5CA0E8" w14:textId="77777777" w:rsidR="001C2995" w:rsidRPr="009E52D7" w:rsidRDefault="001C2995" w:rsidP="002D3B5C">
            <w:pPr>
              <w:keepNext/>
              <w:keepLines/>
              <w:spacing w:after="0"/>
              <w:jc w:val="right"/>
              <w:rPr>
                <w:rFonts w:eastAsia="Times New Roman" w:cs="Calibri"/>
                <w:i/>
                <w:iCs/>
                <w:color w:val="E7E6E6"/>
                <w:sz w:val="18"/>
                <w:lang w:val="en-US"/>
              </w:rPr>
            </w:pPr>
            <w:r w:rsidRPr="009E52D7">
              <w:rPr>
                <w:rFonts w:eastAsia="Times New Roman" w:cs="Calibri"/>
                <w:i/>
                <w:iCs/>
                <w:color w:val="E7E6E6"/>
                <w:sz w:val="18"/>
                <w:lang w:val="en-US"/>
              </w:rPr>
              <w:t>NA</w:t>
            </w:r>
          </w:p>
        </w:tc>
        <w:tc>
          <w:tcPr>
            <w:tcW w:w="516" w:type="pct"/>
            <w:tcBorders>
              <w:top w:val="nil"/>
              <w:left w:val="nil"/>
              <w:bottom w:val="single" w:sz="4" w:space="0" w:color="auto"/>
              <w:right w:val="single" w:sz="4" w:space="0" w:color="auto"/>
            </w:tcBorders>
            <w:shd w:val="clear" w:color="auto" w:fill="auto"/>
            <w:noWrap/>
            <w:vAlign w:val="bottom"/>
            <w:hideMark/>
          </w:tcPr>
          <w:p w14:paraId="4595C7F0"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67.9%</w:t>
            </w:r>
          </w:p>
        </w:tc>
        <w:tc>
          <w:tcPr>
            <w:tcW w:w="468" w:type="pct"/>
            <w:tcBorders>
              <w:top w:val="nil"/>
              <w:left w:val="nil"/>
              <w:bottom w:val="single" w:sz="4" w:space="0" w:color="auto"/>
              <w:right w:val="single" w:sz="4" w:space="0" w:color="auto"/>
            </w:tcBorders>
            <w:shd w:val="clear" w:color="auto" w:fill="auto"/>
            <w:noWrap/>
            <w:vAlign w:val="bottom"/>
            <w:hideMark/>
          </w:tcPr>
          <w:p w14:paraId="1E240BFF"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72.5%</w:t>
            </w:r>
          </w:p>
        </w:tc>
        <w:tc>
          <w:tcPr>
            <w:tcW w:w="562" w:type="pct"/>
            <w:tcBorders>
              <w:top w:val="nil"/>
              <w:left w:val="nil"/>
              <w:bottom w:val="single" w:sz="4" w:space="0" w:color="auto"/>
              <w:right w:val="single" w:sz="4" w:space="0" w:color="auto"/>
            </w:tcBorders>
            <w:shd w:val="clear" w:color="auto" w:fill="auto"/>
            <w:noWrap/>
            <w:vAlign w:val="bottom"/>
            <w:hideMark/>
          </w:tcPr>
          <w:p w14:paraId="67ECE5E3"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68.8%</w:t>
            </w:r>
          </w:p>
        </w:tc>
        <w:tc>
          <w:tcPr>
            <w:tcW w:w="452" w:type="pct"/>
            <w:tcBorders>
              <w:top w:val="nil"/>
              <w:left w:val="nil"/>
              <w:bottom w:val="single" w:sz="4" w:space="0" w:color="auto"/>
              <w:right w:val="single" w:sz="4" w:space="0" w:color="auto"/>
            </w:tcBorders>
            <w:shd w:val="clear" w:color="auto" w:fill="auto"/>
            <w:noWrap/>
            <w:vAlign w:val="bottom"/>
            <w:hideMark/>
          </w:tcPr>
          <w:p w14:paraId="063C34C6" w14:textId="77777777" w:rsidR="001C2995" w:rsidRPr="009E52D7" w:rsidRDefault="001C2995" w:rsidP="002D3B5C">
            <w:pPr>
              <w:keepNext/>
              <w:keepLines/>
              <w:spacing w:after="0"/>
              <w:jc w:val="right"/>
              <w:rPr>
                <w:rFonts w:eastAsia="Times New Roman" w:cs="Calibri"/>
                <w:color w:val="000000"/>
                <w:sz w:val="18"/>
                <w:lang w:val="en-US"/>
              </w:rPr>
            </w:pPr>
            <w:r w:rsidRPr="009E52D7">
              <w:rPr>
                <w:rFonts w:eastAsia="Times New Roman" w:cs="Calibri"/>
                <w:color w:val="000000"/>
                <w:sz w:val="18"/>
                <w:lang w:val="en-US"/>
              </w:rPr>
              <w:t>40.3%</w:t>
            </w:r>
          </w:p>
        </w:tc>
      </w:tr>
      <w:tr w:rsidR="001C2995" w:rsidRPr="009E52D7" w14:paraId="566672E6" w14:textId="77777777" w:rsidTr="001232D6">
        <w:trPr>
          <w:trHeight w:val="454"/>
        </w:trPr>
        <w:tc>
          <w:tcPr>
            <w:tcW w:w="1545" w:type="pct"/>
            <w:tcBorders>
              <w:top w:val="nil"/>
              <w:left w:val="single" w:sz="4" w:space="0" w:color="auto"/>
              <w:bottom w:val="single" w:sz="4" w:space="0" w:color="auto"/>
              <w:right w:val="single" w:sz="4" w:space="0" w:color="auto"/>
            </w:tcBorders>
            <w:shd w:val="clear" w:color="auto" w:fill="auto"/>
            <w:noWrap/>
            <w:vAlign w:val="bottom"/>
            <w:hideMark/>
          </w:tcPr>
          <w:p w14:paraId="6501F872" w14:textId="3D0D7F57" w:rsidR="001C2995" w:rsidRPr="009E52D7" w:rsidRDefault="001C2995" w:rsidP="001C2995">
            <w:pPr>
              <w:spacing w:after="0"/>
              <w:rPr>
                <w:rFonts w:eastAsia="Times New Roman" w:cs="Calibri"/>
                <w:color w:val="000000"/>
                <w:sz w:val="18"/>
                <w:lang w:val="en-US"/>
              </w:rPr>
            </w:pPr>
            <w:r w:rsidRPr="009E52D7">
              <w:rPr>
                <w:rFonts w:eastAsia="Times New Roman" w:cs="Calibri"/>
                <w:color w:val="000000"/>
                <w:sz w:val="18"/>
                <w:lang w:val="en-US"/>
              </w:rPr>
              <w:t xml:space="preserve">  % who found it became </w:t>
            </w:r>
            <w:r w:rsidR="009E52D7">
              <w:rPr>
                <w:rFonts w:eastAsia="Times New Roman" w:cs="Calibri"/>
                <w:color w:val="000000"/>
                <w:sz w:val="18"/>
                <w:lang w:val="en-US"/>
              </w:rPr>
              <w:t xml:space="preserve">more </w:t>
            </w:r>
            <w:r w:rsidRPr="009E52D7">
              <w:rPr>
                <w:rFonts w:eastAsia="Times New Roman" w:cs="Calibri"/>
                <w:color w:val="000000"/>
                <w:sz w:val="18"/>
                <w:lang w:val="en-US"/>
              </w:rPr>
              <w:t>difficult after Aadhaar</w:t>
            </w:r>
          </w:p>
        </w:tc>
        <w:tc>
          <w:tcPr>
            <w:tcW w:w="470" w:type="pct"/>
            <w:tcBorders>
              <w:top w:val="nil"/>
              <w:left w:val="nil"/>
              <w:bottom w:val="single" w:sz="4" w:space="0" w:color="auto"/>
              <w:right w:val="single" w:sz="4" w:space="0" w:color="auto"/>
            </w:tcBorders>
            <w:shd w:val="clear" w:color="auto" w:fill="auto"/>
            <w:noWrap/>
            <w:vAlign w:val="bottom"/>
            <w:hideMark/>
          </w:tcPr>
          <w:p w14:paraId="17A51D82" w14:textId="77777777" w:rsidR="001C2995" w:rsidRPr="009E52D7" w:rsidRDefault="001C2995" w:rsidP="001C2995">
            <w:pPr>
              <w:spacing w:after="0"/>
              <w:jc w:val="right"/>
              <w:rPr>
                <w:rFonts w:eastAsia="Times New Roman" w:cs="Calibri"/>
                <w:color w:val="000000"/>
                <w:sz w:val="18"/>
                <w:lang w:val="en-US"/>
              </w:rPr>
            </w:pPr>
            <w:r w:rsidRPr="009E52D7">
              <w:rPr>
                <w:rFonts w:eastAsia="Times New Roman" w:cs="Calibri"/>
                <w:color w:val="000000"/>
                <w:sz w:val="18"/>
                <w:lang w:val="en-US"/>
              </w:rPr>
              <w:t>36.5%</w:t>
            </w:r>
          </w:p>
        </w:tc>
        <w:tc>
          <w:tcPr>
            <w:tcW w:w="564" w:type="pct"/>
            <w:tcBorders>
              <w:top w:val="nil"/>
              <w:left w:val="nil"/>
              <w:bottom w:val="single" w:sz="4" w:space="0" w:color="auto"/>
              <w:right w:val="single" w:sz="4" w:space="0" w:color="auto"/>
            </w:tcBorders>
            <w:shd w:val="clear" w:color="auto" w:fill="auto"/>
            <w:noWrap/>
            <w:vAlign w:val="bottom"/>
            <w:hideMark/>
          </w:tcPr>
          <w:p w14:paraId="3469D3E0" w14:textId="77777777" w:rsidR="001C2995" w:rsidRPr="009E52D7" w:rsidRDefault="001C2995" w:rsidP="001C2995">
            <w:pPr>
              <w:spacing w:after="0"/>
              <w:jc w:val="right"/>
              <w:rPr>
                <w:rFonts w:eastAsia="Times New Roman" w:cs="Calibri"/>
                <w:color w:val="000000"/>
                <w:sz w:val="18"/>
                <w:lang w:val="en-US"/>
              </w:rPr>
            </w:pPr>
            <w:r w:rsidRPr="009E52D7">
              <w:rPr>
                <w:rFonts w:eastAsia="Times New Roman" w:cs="Calibri"/>
                <w:color w:val="000000"/>
                <w:sz w:val="18"/>
                <w:lang w:val="en-US"/>
              </w:rPr>
              <w:t>22.2%</w:t>
            </w:r>
          </w:p>
        </w:tc>
        <w:tc>
          <w:tcPr>
            <w:tcW w:w="422" w:type="pct"/>
            <w:tcBorders>
              <w:top w:val="nil"/>
              <w:left w:val="nil"/>
              <w:bottom w:val="single" w:sz="4" w:space="0" w:color="auto"/>
              <w:right w:val="single" w:sz="4" w:space="0" w:color="auto"/>
            </w:tcBorders>
            <w:shd w:val="clear" w:color="auto" w:fill="auto"/>
            <w:noWrap/>
            <w:vAlign w:val="bottom"/>
            <w:hideMark/>
          </w:tcPr>
          <w:p w14:paraId="5AF2156F" w14:textId="77777777" w:rsidR="001C2995" w:rsidRPr="009E52D7" w:rsidRDefault="001C2995" w:rsidP="001C2995">
            <w:pPr>
              <w:spacing w:after="0"/>
              <w:jc w:val="right"/>
              <w:rPr>
                <w:rFonts w:eastAsia="Times New Roman" w:cs="Calibri"/>
                <w:i/>
                <w:iCs/>
                <w:color w:val="E7E6E6"/>
                <w:sz w:val="18"/>
                <w:lang w:val="en-US"/>
              </w:rPr>
            </w:pPr>
            <w:r w:rsidRPr="009E52D7">
              <w:rPr>
                <w:rFonts w:eastAsia="Times New Roman" w:cs="Calibri"/>
                <w:i/>
                <w:iCs/>
                <w:color w:val="E7E6E6"/>
                <w:sz w:val="18"/>
                <w:lang w:val="en-US"/>
              </w:rPr>
              <w:t>NA</w:t>
            </w:r>
          </w:p>
        </w:tc>
        <w:tc>
          <w:tcPr>
            <w:tcW w:w="516" w:type="pct"/>
            <w:tcBorders>
              <w:top w:val="nil"/>
              <w:left w:val="nil"/>
              <w:bottom w:val="single" w:sz="4" w:space="0" w:color="auto"/>
              <w:right w:val="single" w:sz="4" w:space="0" w:color="auto"/>
            </w:tcBorders>
            <w:shd w:val="clear" w:color="auto" w:fill="auto"/>
            <w:noWrap/>
            <w:vAlign w:val="bottom"/>
            <w:hideMark/>
          </w:tcPr>
          <w:p w14:paraId="142D3418" w14:textId="77777777" w:rsidR="001C2995" w:rsidRPr="009E52D7" w:rsidRDefault="001C2995" w:rsidP="001C2995">
            <w:pPr>
              <w:spacing w:after="0"/>
              <w:jc w:val="right"/>
              <w:rPr>
                <w:rFonts w:eastAsia="Times New Roman" w:cs="Calibri"/>
                <w:color w:val="000000"/>
                <w:sz w:val="18"/>
                <w:lang w:val="en-US"/>
              </w:rPr>
            </w:pPr>
            <w:r w:rsidRPr="009E52D7">
              <w:rPr>
                <w:rFonts w:eastAsia="Times New Roman" w:cs="Calibri"/>
                <w:color w:val="000000"/>
                <w:sz w:val="18"/>
                <w:lang w:val="en-US"/>
              </w:rPr>
              <w:t>2.4%</w:t>
            </w:r>
          </w:p>
        </w:tc>
        <w:tc>
          <w:tcPr>
            <w:tcW w:w="468" w:type="pct"/>
            <w:tcBorders>
              <w:top w:val="nil"/>
              <w:left w:val="nil"/>
              <w:bottom w:val="single" w:sz="4" w:space="0" w:color="auto"/>
              <w:right w:val="single" w:sz="4" w:space="0" w:color="auto"/>
            </w:tcBorders>
            <w:shd w:val="clear" w:color="auto" w:fill="auto"/>
            <w:noWrap/>
            <w:vAlign w:val="bottom"/>
            <w:hideMark/>
          </w:tcPr>
          <w:p w14:paraId="25343E5C" w14:textId="77777777" w:rsidR="001C2995" w:rsidRPr="009E52D7" w:rsidRDefault="001C2995" w:rsidP="001C2995">
            <w:pPr>
              <w:spacing w:after="0"/>
              <w:jc w:val="right"/>
              <w:rPr>
                <w:rFonts w:eastAsia="Times New Roman" w:cs="Calibri"/>
                <w:color w:val="000000"/>
                <w:sz w:val="18"/>
                <w:lang w:val="en-US"/>
              </w:rPr>
            </w:pPr>
            <w:r w:rsidRPr="009E52D7">
              <w:rPr>
                <w:rFonts w:eastAsia="Times New Roman" w:cs="Calibri"/>
                <w:color w:val="000000"/>
                <w:sz w:val="18"/>
                <w:lang w:val="en-US"/>
              </w:rPr>
              <w:t>0.7%</w:t>
            </w:r>
          </w:p>
        </w:tc>
        <w:tc>
          <w:tcPr>
            <w:tcW w:w="562" w:type="pct"/>
            <w:tcBorders>
              <w:top w:val="nil"/>
              <w:left w:val="nil"/>
              <w:bottom w:val="single" w:sz="4" w:space="0" w:color="auto"/>
              <w:right w:val="single" w:sz="4" w:space="0" w:color="auto"/>
            </w:tcBorders>
            <w:shd w:val="clear" w:color="auto" w:fill="auto"/>
            <w:noWrap/>
            <w:vAlign w:val="bottom"/>
            <w:hideMark/>
          </w:tcPr>
          <w:p w14:paraId="60490764" w14:textId="77777777" w:rsidR="001C2995" w:rsidRPr="009E52D7" w:rsidRDefault="001C2995" w:rsidP="001C2995">
            <w:pPr>
              <w:spacing w:after="0"/>
              <w:jc w:val="right"/>
              <w:rPr>
                <w:rFonts w:eastAsia="Times New Roman" w:cs="Calibri"/>
                <w:color w:val="000000"/>
                <w:sz w:val="18"/>
                <w:lang w:val="en-US"/>
              </w:rPr>
            </w:pPr>
            <w:r w:rsidRPr="009E52D7">
              <w:rPr>
                <w:rFonts w:eastAsia="Times New Roman" w:cs="Calibri"/>
                <w:color w:val="000000"/>
                <w:sz w:val="18"/>
                <w:lang w:val="en-US"/>
              </w:rPr>
              <w:t>1.1%</w:t>
            </w:r>
          </w:p>
        </w:tc>
        <w:tc>
          <w:tcPr>
            <w:tcW w:w="452" w:type="pct"/>
            <w:tcBorders>
              <w:top w:val="nil"/>
              <w:left w:val="nil"/>
              <w:bottom w:val="single" w:sz="4" w:space="0" w:color="auto"/>
              <w:right w:val="single" w:sz="4" w:space="0" w:color="auto"/>
            </w:tcBorders>
            <w:shd w:val="clear" w:color="auto" w:fill="auto"/>
            <w:noWrap/>
            <w:vAlign w:val="bottom"/>
            <w:hideMark/>
          </w:tcPr>
          <w:p w14:paraId="6CAD7B77" w14:textId="77777777" w:rsidR="001C2995" w:rsidRPr="009E52D7" w:rsidRDefault="001C2995" w:rsidP="001C2995">
            <w:pPr>
              <w:spacing w:after="0"/>
              <w:jc w:val="right"/>
              <w:rPr>
                <w:rFonts w:eastAsia="Times New Roman" w:cs="Calibri"/>
                <w:color w:val="000000"/>
                <w:sz w:val="18"/>
                <w:lang w:val="en-US"/>
              </w:rPr>
            </w:pPr>
            <w:r w:rsidRPr="009E52D7">
              <w:rPr>
                <w:rFonts w:eastAsia="Times New Roman" w:cs="Calibri"/>
                <w:color w:val="000000"/>
                <w:sz w:val="18"/>
                <w:lang w:val="en-US"/>
              </w:rPr>
              <w:t>0.3%</w:t>
            </w:r>
          </w:p>
        </w:tc>
      </w:tr>
    </w:tbl>
    <w:p w14:paraId="4A760F11" w14:textId="77777777" w:rsidR="00E71D56" w:rsidRPr="00A13B61" w:rsidRDefault="00E71D56" w:rsidP="00F511BC"/>
    <w:p w14:paraId="76A3697E" w14:textId="6770B24C" w:rsidR="00B64CBC" w:rsidRPr="00A13B61" w:rsidRDefault="00B64CBC" w:rsidP="00F511BC">
      <w:pPr>
        <w:pStyle w:val="Heading3"/>
        <w:rPr>
          <w:rFonts w:cs="Times New Roman (Headings CS)"/>
          <w:b w:val="0"/>
          <w:smallCaps/>
          <w:color w:val="018AAA" w:themeColor="accent2"/>
        </w:rPr>
      </w:pPr>
      <w:bookmarkStart w:id="53" w:name="_Toc25484994"/>
      <w:r w:rsidRPr="00A13B61">
        <w:t>Dataset</w:t>
      </w:r>
      <w:bookmarkEnd w:id="53"/>
    </w:p>
    <w:p w14:paraId="343A265F" w14:textId="55903A1F" w:rsidR="00B64CBC" w:rsidRPr="00A13B61" w:rsidRDefault="00292E09" w:rsidP="00F511BC">
      <w:r w:rsidRPr="00A13B61">
        <w:rPr>
          <w:lang w:eastAsia="en-IN"/>
        </w:rPr>
        <w:t xml:space="preserve">To promote transparency and reproducibility, we </w:t>
      </w:r>
      <w:r w:rsidR="00D74092" w:rsidRPr="00A13B61">
        <w:rPr>
          <w:lang w:eastAsia="en-IN"/>
        </w:rPr>
        <w:t xml:space="preserve">have </w:t>
      </w:r>
      <w:r w:rsidRPr="00A13B61">
        <w:rPr>
          <w:lang w:eastAsia="en-IN"/>
        </w:rPr>
        <w:t xml:space="preserve">published </w:t>
      </w:r>
      <w:r w:rsidR="00025999" w:rsidRPr="00A13B61">
        <w:rPr>
          <w:lang w:eastAsia="en-IN"/>
        </w:rPr>
        <w:t>the</w:t>
      </w:r>
      <w:r w:rsidRPr="00A13B61">
        <w:rPr>
          <w:lang w:eastAsia="en-IN"/>
        </w:rPr>
        <w:t xml:space="preserve"> </w:t>
      </w:r>
      <w:r w:rsidR="00B64CBC" w:rsidRPr="00A13B61">
        <w:rPr>
          <w:lang w:eastAsia="en-IN"/>
        </w:rPr>
        <w:t>raw datasets from both surveys</w:t>
      </w:r>
      <w:r w:rsidRPr="00A13B61">
        <w:rPr>
          <w:lang w:eastAsia="en-IN"/>
        </w:rPr>
        <w:t xml:space="preserve">, which are </w:t>
      </w:r>
      <w:r w:rsidR="00550B7B" w:rsidRPr="00A13B61">
        <w:rPr>
          <w:lang w:eastAsia="en-IN"/>
        </w:rPr>
        <w:t xml:space="preserve">freely </w:t>
      </w:r>
      <w:r w:rsidR="00B64CBC" w:rsidRPr="00A13B61">
        <w:rPr>
          <w:lang w:eastAsia="en-IN"/>
        </w:rPr>
        <w:t>accessibl</w:t>
      </w:r>
      <w:r w:rsidR="00025999" w:rsidRPr="00A13B61">
        <w:rPr>
          <w:lang w:eastAsia="en-IN"/>
        </w:rPr>
        <w:t xml:space="preserve">e at www.stateofaadhaar.in. </w:t>
      </w:r>
      <w:r w:rsidR="00550B7B" w:rsidRPr="00A13B61">
        <w:rPr>
          <w:lang w:eastAsia="en-IN"/>
        </w:rPr>
        <w:t xml:space="preserve">We </w:t>
      </w:r>
      <w:r w:rsidR="007D34E8" w:rsidRPr="00A13B61">
        <w:rPr>
          <w:lang w:eastAsia="en-IN"/>
        </w:rPr>
        <w:t xml:space="preserve">have also </w:t>
      </w:r>
      <w:r w:rsidR="00550B7B" w:rsidRPr="00A13B61">
        <w:rPr>
          <w:lang w:eastAsia="en-IN"/>
        </w:rPr>
        <w:t>provided guides</w:t>
      </w:r>
      <w:r w:rsidR="008159C5" w:rsidRPr="00A13B61">
        <w:rPr>
          <w:lang w:eastAsia="en-IN"/>
        </w:rPr>
        <w:t>,</w:t>
      </w:r>
      <w:r w:rsidR="00550B7B" w:rsidRPr="00A13B61">
        <w:rPr>
          <w:lang w:eastAsia="en-IN"/>
        </w:rPr>
        <w:t xml:space="preserve"> such as </w:t>
      </w:r>
      <w:r w:rsidR="00025999" w:rsidRPr="00A13B61">
        <w:rPr>
          <w:lang w:eastAsia="en-IN"/>
        </w:rPr>
        <w:t>a</w:t>
      </w:r>
      <w:r w:rsidR="00114128" w:rsidRPr="00A13B61">
        <w:rPr>
          <w:lang w:eastAsia="en-IN"/>
        </w:rPr>
        <w:t xml:space="preserve"> variable codebook,</w:t>
      </w:r>
      <w:r w:rsidR="00550B7B" w:rsidRPr="00A13B61">
        <w:rPr>
          <w:lang w:eastAsia="en-IN"/>
        </w:rPr>
        <w:t xml:space="preserve"> and </w:t>
      </w:r>
      <w:r w:rsidR="001C5636" w:rsidRPr="00A13B61">
        <w:rPr>
          <w:lang w:eastAsia="en-IN"/>
        </w:rPr>
        <w:t>a “</w:t>
      </w:r>
      <w:r w:rsidR="00550B7B" w:rsidRPr="00A13B61">
        <w:rPr>
          <w:lang w:eastAsia="en-IN"/>
        </w:rPr>
        <w:t>read me</w:t>
      </w:r>
      <w:r w:rsidR="001C5636" w:rsidRPr="00A13B61">
        <w:rPr>
          <w:lang w:eastAsia="en-IN"/>
        </w:rPr>
        <w:t>”</w:t>
      </w:r>
      <w:r w:rsidR="00550B7B" w:rsidRPr="00A13B61">
        <w:rPr>
          <w:lang w:eastAsia="en-IN"/>
        </w:rPr>
        <w:t xml:space="preserve"> for the dataset.</w:t>
      </w:r>
    </w:p>
    <w:p w14:paraId="6D5B1B9D" w14:textId="77777777" w:rsidR="0023070A" w:rsidRPr="00A13B61" w:rsidRDefault="0023070A" w:rsidP="00F511BC">
      <w:pPr>
        <w:rPr>
          <w:rFonts w:eastAsiaTheme="majorEastAsia" w:cs="Times New Roman (Headings CS)"/>
          <w:color w:val="018AAA" w:themeColor="accent2"/>
        </w:rPr>
      </w:pPr>
      <w:bookmarkStart w:id="54" w:name="_Toc16155678"/>
      <w:bookmarkStart w:id="55" w:name="_Toc16763866"/>
      <w:bookmarkEnd w:id="28"/>
      <w:r w:rsidRPr="00A13B61">
        <w:br w:type="page"/>
      </w:r>
    </w:p>
    <w:p w14:paraId="499C9F0D" w14:textId="0AF39BA0" w:rsidR="00AD199B" w:rsidRPr="00A13B61" w:rsidRDefault="00AD199B" w:rsidP="00F511BC">
      <w:pPr>
        <w:pStyle w:val="Heading1"/>
      </w:pPr>
      <w:bookmarkStart w:id="56" w:name="_Toc25484995"/>
      <w:r w:rsidRPr="00A13B61">
        <w:lastRenderedPageBreak/>
        <w:t>Limitations</w:t>
      </w:r>
      <w:bookmarkEnd w:id="56"/>
    </w:p>
    <w:p w14:paraId="42D86733" w14:textId="20F60AC1" w:rsidR="009F583B" w:rsidRPr="00A13B61" w:rsidRDefault="0011682D" w:rsidP="00F511BC">
      <w:pPr>
        <w:rPr>
          <w:lang w:eastAsia="en-IN"/>
        </w:rPr>
      </w:pPr>
      <w:r w:rsidRPr="00A13B61">
        <w:rPr>
          <w:lang w:eastAsia="en-IN"/>
        </w:rPr>
        <w:t xml:space="preserve">We recognize several limitations in using surveys. </w:t>
      </w:r>
      <w:r w:rsidR="009F583B" w:rsidRPr="00A13B61">
        <w:rPr>
          <w:lang w:eastAsia="en-IN"/>
        </w:rPr>
        <w:t>In particular, s</w:t>
      </w:r>
      <w:r w:rsidRPr="00A13B61">
        <w:rPr>
          <w:lang w:eastAsia="en-IN"/>
        </w:rPr>
        <w:t>urveys do not establish causality and are prone to numerous biases, such as acquiescence bias, recall bias, social desirability bias, and non-response bias.</w:t>
      </w:r>
      <w:r w:rsidR="00580EAC" w:rsidRPr="00A13B61">
        <w:rPr>
          <w:lang w:eastAsia="en-IN"/>
        </w:rPr>
        <w:t xml:space="preserve"> </w:t>
      </w:r>
    </w:p>
    <w:p w14:paraId="0647ABDD" w14:textId="788424E5" w:rsidR="009F583B" w:rsidRPr="00A13B61" w:rsidRDefault="00B46CA3" w:rsidP="00F511BC">
      <w:pPr>
        <w:rPr>
          <w:lang w:eastAsia="en-IN"/>
        </w:rPr>
      </w:pPr>
      <w:r w:rsidRPr="00A13B61">
        <w:rPr>
          <w:lang w:eastAsia="en-IN"/>
        </w:rPr>
        <w:t>As far as possible, w</w:t>
      </w:r>
      <w:r w:rsidR="0011682D" w:rsidRPr="00A13B61">
        <w:rPr>
          <w:lang w:eastAsia="en-IN"/>
        </w:rPr>
        <w:t xml:space="preserve">e </w:t>
      </w:r>
      <w:r w:rsidR="00E07F45" w:rsidRPr="00A13B61">
        <w:rPr>
          <w:lang w:eastAsia="en-IN"/>
        </w:rPr>
        <w:t xml:space="preserve">have </w:t>
      </w:r>
      <w:r w:rsidR="009F583B" w:rsidRPr="00A13B61">
        <w:rPr>
          <w:lang w:eastAsia="en-IN"/>
        </w:rPr>
        <w:t xml:space="preserve">attempted to mitigate these limitations. </w:t>
      </w:r>
      <w:r w:rsidR="0011682D" w:rsidRPr="00A13B61">
        <w:rPr>
          <w:lang w:eastAsia="en-IN"/>
        </w:rPr>
        <w:t xml:space="preserve">For example, </w:t>
      </w:r>
      <w:r w:rsidR="009F583B" w:rsidRPr="00A13B61">
        <w:rPr>
          <w:lang w:eastAsia="en-IN"/>
        </w:rPr>
        <w:t>we conducted extensive enumerator training on survey biases. Furthermore, we focused only on questions that residents were able to answer credibly through a survey</w:t>
      </w:r>
      <w:r w:rsidR="00E07F45" w:rsidRPr="00A13B61">
        <w:rPr>
          <w:lang w:eastAsia="en-IN"/>
        </w:rPr>
        <w:t xml:space="preserve"> format</w:t>
      </w:r>
      <w:r w:rsidR="00580EAC" w:rsidRPr="00A13B61">
        <w:rPr>
          <w:lang w:eastAsia="en-IN"/>
        </w:rPr>
        <w:t xml:space="preserve">. </w:t>
      </w:r>
      <w:r w:rsidR="009F583B" w:rsidRPr="00A13B61">
        <w:rPr>
          <w:lang w:eastAsia="en-IN"/>
        </w:rPr>
        <w:t xml:space="preserve">Moreover, we supplemented our survey findings with insights </w:t>
      </w:r>
      <w:r w:rsidR="00025999" w:rsidRPr="00A13B61">
        <w:rPr>
          <w:lang w:eastAsia="en-IN"/>
        </w:rPr>
        <w:t>from</w:t>
      </w:r>
      <w:r w:rsidR="002942F9" w:rsidRPr="00A13B61">
        <w:rPr>
          <w:lang w:eastAsia="en-IN"/>
        </w:rPr>
        <w:t xml:space="preserve"> human</w:t>
      </w:r>
      <w:r w:rsidR="00025999" w:rsidRPr="00A13B61">
        <w:rPr>
          <w:lang w:eastAsia="en-IN"/>
        </w:rPr>
        <w:t xml:space="preserve"> </w:t>
      </w:r>
      <w:r w:rsidR="002942F9" w:rsidRPr="00A13B61">
        <w:rPr>
          <w:lang w:eastAsia="en-IN"/>
        </w:rPr>
        <w:t>c</w:t>
      </w:r>
      <w:r w:rsidR="00025999" w:rsidRPr="00A13B61">
        <w:rPr>
          <w:lang w:eastAsia="en-IN"/>
        </w:rPr>
        <w:t>e</w:t>
      </w:r>
      <w:r w:rsidR="002942F9" w:rsidRPr="00A13B61">
        <w:rPr>
          <w:lang w:eastAsia="en-IN"/>
        </w:rPr>
        <w:t>ntred design research</w:t>
      </w:r>
      <w:r w:rsidR="009F583B" w:rsidRPr="00A13B61">
        <w:rPr>
          <w:lang w:eastAsia="en-IN"/>
        </w:rPr>
        <w:t xml:space="preserve"> with over 100 people</w:t>
      </w:r>
      <w:r w:rsidR="002942F9" w:rsidRPr="00A13B61">
        <w:rPr>
          <w:lang w:eastAsia="en-IN"/>
        </w:rPr>
        <w:t xml:space="preserve"> in Maharashtra, Karnataka, Assam and Bihar, which included </w:t>
      </w:r>
      <w:r w:rsidR="002579A9" w:rsidRPr="00A13B61">
        <w:rPr>
          <w:lang w:eastAsia="en-IN"/>
        </w:rPr>
        <w:t>1:1 in-depth interviews, intercepts, small-group discussions, activity-led sessions, and observational walk-throughs. This helped us to develop</w:t>
      </w:r>
      <w:r w:rsidR="009F583B" w:rsidRPr="00A13B61">
        <w:rPr>
          <w:lang w:eastAsia="en-IN"/>
        </w:rPr>
        <w:t xml:space="preserve"> a more </w:t>
      </w:r>
      <w:r w:rsidR="00E07F45" w:rsidRPr="00A13B61">
        <w:rPr>
          <w:lang w:eastAsia="en-IN"/>
        </w:rPr>
        <w:t xml:space="preserve">nuanced </w:t>
      </w:r>
      <w:r w:rsidR="009F583B" w:rsidRPr="00A13B61">
        <w:rPr>
          <w:lang w:eastAsia="en-IN"/>
        </w:rPr>
        <w:t>understanding of our key findings.</w:t>
      </w:r>
    </w:p>
    <w:p w14:paraId="6795E8B8" w14:textId="191291C7" w:rsidR="0011682D" w:rsidRPr="00A13B61" w:rsidRDefault="003F3F11" w:rsidP="00F511BC">
      <w:pPr>
        <w:rPr>
          <w:lang w:eastAsia="en-IN"/>
        </w:rPr>
      </w:pPr>
      <w:r w:rsidRPr="00A13B61">
        <w:rPr>
          <w:lang w:eastAsia="en-IN"/>
        </w:rPr>
        <w:t xml:space="preserve">Despite our efforts, we recognize that </w:t>
      </w:r>
      <w:r w:rsidR="00025999" w:rsidRPr="00A13B61">
        <w:rPr>
          <w:lang w:eastAsia="en-IN"/>
        </w:rPr>
        <w:t xml:space="preserve">some </w:t>
      </w:r>
      <w:r w:rsidRPr="00A13B61">
        <w:rPr>
          <w:lang w:eastAsia="en-IN"/>
        </w:rPr>
        <w:t>biases will inevitably remain</w:t>
      </w:r>
      <w:r w:rsidR="00E07F45" w:rsidRPr="00A13B61">
        <w:rPr>
          <w:lang w:eastAsia="en-IN"/>
        </w:rPr>
        <w:t>. O</w:t>
      </w:r>
      <w:r w:rsidRPr="00A13B61">
        <w:rPr>
          <w:lang w:eastAsia="en-IN"/>
        </w:rPr>
        <w:t>ur survey findings should</w:t>
      </w:r>
      <w:r w:rsidR="00C143A3" w:rsidRPr="00A13B61">
        <w:rPr>
          <w:lang w:eastAsia="en-IN"/>
        </w:rPr>
        <w:t xml:space="preserve"> therefore</w:t>
      </w:r>
      <w:r w:rsidRPr="00A13B61">
        <w:rPr>
          <w:lang w:eastAsia="en-IN"/>
        </w:rPr>
        <w:t xml:space="preserve"> be considered with these </w:t>
      </w:r>
      <w:r w:rsidR="00E07F45" w:rsidRPr="00A13B61">
        <w:rPr>
          <w:lang w:eastAsia="en-IN"/>
        </w:rPr>
        <w:t xml:space="preserve">inherent </w:t>
      </w:r>
      <w:r w:rsidRPr="00A13B61">
        <w:rPr>
          <w:lang w:eastAsia="en-IN"/>
        </w:rPr>
        <w:t>limitations in mind.</w:t>
      </w:r>
      <w:bookmarkEnd w:id="54"/>
      <w:bookmarkEnd w:id="55"/>
    </w:p>
    <w:p w14:paraId="786F42F3" w14:textId="5F68654D" w:rsidR="00025999" w:rsidRPr="00A13B61" w:rsidRDefault="00025999" w:rsidP="00F511BC">
      <w:pPr>
        <w:rPr>
          <w:lang w:eastAsia="en-IN"/>
        </w:rPr>
      </w:pPr>
    </w:p>
    <w:p w14:paraId="43033315" w14:textId="6CCB8CFC" w:rsidR="00025999" w:rsidRPr="00A13B61" w:rsidRDefault="00025999" w:rsidP="00F511BC">
      <w:pPr>
        <w:rPr>
          <w:lang w:eastAsia="en-IN"/>
        </w:rPr>
      </w:pPr>
    </w:p>
    <w:p w14:paraId="23F5E28C" w14:textId="63C80E7F" w:rsidR="00025999" w:rsidRPr="00A13B61" w:rsidRDefault="00025999" w:rsidP="00F511BC">
      <w:pPr>
        <w:pStyle w:val="Heading1"/>
      </w:pPr>
      <w:bookmarkStart w:id="57" w:name="_Toc25484996"/>
      <w:r w:rsidRPr="00A13B61">
        <w:t>Glossary of Terms</w:t>
      </w:r>
      <w:bookmarkEnd w:id="57"/>
    </w:p>
    <w:p w14:paraId="0CE0F79B" w14:textId="77777777" w:rsidR="00025999" w:rsidRPr="00A13B61" w:rsidRDefault="00025999" w:rsidP="00F511BC"/>
    <w:tbl>
      <w:tblPr>
        <w:tblW w:w="9508" w:type="dxa"/>
        <w:tblCellMar>
          <w:top w:w="15" w:type="dxa"/>
          <w:left w:w="15" w:type="dxa"/>
          <w:bottom w:w="15" w:type="dxa"/>
          <w:right w:w="15" w:type="dxa"/>
        </w:tblCellMar>
        <w:tblLook w:val="04A0" w:firstRow="1" w:lastRow="0" w:firstColumn="1" w:lastColumn="0" w:noHBand="0" w:noVBand="1"/>
      </w:tblPr>
      <w:tblGrid>
        <w:gridCol w:w="1298"/>
        <w:gridCol w:w="8210"/>
      </w:tblGrid>
      <w:tr w:rsidR="00025999" w:rsidRPr="001232D6" w14:paraId="029E1538" w14:textId="77777777" w:rsidTr="009E52D7">
        <w:trPr>
          <w:trHeight w:val="268"/>
        </w:trPr>
        <w:tc>
          <w:tcPr>
            <w:tcW w:w="0" w:type="auto"/>
            <w:tcBorders>
              <w:top w:val="single" w:sz="8" w:space="0" w:color="7F7F7F"/>
              <w:left w:val="single" w:sz="8" w:space="0" w:color="7F7F7F"/>
              <w:bottom w:val="single" w:sz="8" w:space="0" w:color="7F7F7F"/>
              <w:right w:val="single" w:sz="8" w:space="0" w:color="7F7F7F"/>
            </w:tcBorders>
            <w:shd w:val="clear" w:color="auto" w:fill="118AAA"/>
            <w:tcMar>
              <w:top w:w="100" w:type="dxa"/>
              <w:left w:w="100" w:type="dxa"/>
              <w:bottom w:w="100" w:type="dxa"/>
              <w:right w:w="100" w:type="dxa"/>
            </w:tcMar>
            <w:hideMark/>
          </w:tcPr>
          <w:p w14:paraId="2B00CEA1" w14:textId="77777777" w:rsidR="00025999" w:rsidRPr="001232D6" w:rsidRDefault="00025999" w:rsidP="001232D6">
            <w:pPr>
              <w:spacing w:after="0"/>
              <w:rPr>
                <w:b/>
                <w:bCs/>
              </w:rPr>
            </w:pPr>
            <w:r w:rsidRPr="001232D6">
              <w:rPr>
                <w:b/>
                <w:bCs/>
              </w:rPr>
              <w:t>Term</w:t>
            </w:r>
          </w:p>
        </w:tc>
        <w:tc>
          <w:tcPr>
            <w:tcW w:w="0" w:type="auto"/>
            <w:tcBorders>
              <w:top w:val="single" w:sz="8" w:space="0" w:color="7F7F7F"/>
              <w:left w:val="single" w:sz="8" w:space="0" w:color="7F7F7F"/>
              <w:bottom w:val="single" w:sz="8" w:space="0" w:color="7F7F7F"/>
              <w:right w:val="single" w:sz="8" w:space="0" w:color="7F7F7F"/>
            </w:tcBorders>
            <w:shd w:val="clear" w:color="auto" w:fill="118AAA"/>
            <w:tcMar>
              <w:top w:w="100" w:type="dxa"/>
              <w:left w:w="100" w:type="dxa"/>
              <w:bottom w:w="100" w:type="dxa"/>
              <w:right w:w="100" w:type="dxa"/>
            </w:tcMar>
            <w:hideMark/>
          </w:tcPr>
          <w:p w14:paraId="5903D20D" w14:textId="77777777" w:rsidR="00025999" w:rsidRPr="001232D6" w:rsidRDefault="00025999" w:rsidP="001232D6">
            <w:pPr>
              <w:spacing w:after="0"/>
              <w:rPr>
                <w:b/>
                <w:bCs/>
              </w:rPr>
            </w:pPr>
            <w:r w:rsidRPr="001232D6">
              <w:rPr>
                <w:b/>
                <w:bCs/>
              </w:rPr>
              <w:t>Definition</w:t>
            </w:r>
          </w:p>
        </w:tc>
      </w:tr>
      <w:tr w:rsidR="00025999" w:rsidRPr="005F065A" w14:paraId="02369FC3" w14:textId="77777777" w:rsidTr="009E52D7">
        <w:trPr>
          <w:trHeight w:val="224"/>
        </w:trPr>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05A0A651" w14:textId="77777777" w:rsidR="00025999" w:rsidRPr="009E52D7" w:rsidRDefault="00025999" w:rsidP="001232D6">
            <w:pPr>
              <w:spacing w:after="0"/>
            </w:pPr>
            <w:r w:rsidRPr="009E52D7">
              <w:t>Denial of service</w:t>
            </w:r>
          </w:p>
        </w:tc>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7F1921E7" w14:textId="77777777" w:rsidR="00025999" w:rsidRPr="009E52D7" w:rsidRDefault="00025999" w:rsidP="001232D6">
            <w:pPr>
              <w:spacing w:after="0"/>
            </w:pPr>
            <w:r w:rsidRPr="009E52D7">
              <w:t>We define denial of service as not receiving a service (as reported by the respondents) at the time of expected service delivery (such as collection of rations). </w:t>
            </w:r>
          </w:p>
        </w:tc>
      </w:tr>
      <w:tr w:rsidR="00025999" w:rsidRPr="005F065A" w14:paraId="19F976EE" w14:textId="77777777" w:rsidTr="009E52D7">
        <w:trPr>
          <w:trHeight w:val="239"/>
        </w:trPr>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049BA1FB" w14:textId="77777777" w:rsidR="00025999" w:rsidRPr="009E52D7" w:rsidRDefault="00025999" w:rsidP="001232D6">
            <w:pPr>
              <w:spacing w:after="0"/>
            </w:pPr>
            <w:r w:rsidRPr="009E52D7">
              <w:t>Error rate</w:t>
            </w:r>
          </w:p>
        </w:tc>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61A1DF1E" w14:textId="77777777" w:rsidR="00025999" w:rsidRPr="009E52D7" w:rsidRDefault="00025999" w:rsidP="001232D6">
            <w:pPr>
              <w:spacing w:after="0"/>
            </w:pPr>
            <w:r w:rsidRPr="009E52D7">
              <w:t>The incidence of error in people’s Aadhaar information. We report error rates for data printed on the card (name, date of birth, sex, address, photograph) and for some data that is captured but not printed on the card (mobile phone, biometrics). Error rates are self-reported.</w:t>
            </w:r>
          </w:p>
        </w:tc>
      </w:tr>
      <w:tr w:rsidR="00025999" w:rsidRPr="005F065A" w14:paraId="53F07629" w14:textId="77777777" w:rsidTr="009E52D7">
        <w:trPr>
          <w:trHeight w:val="174"/>
        </w:trPr>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12544861" w14:textId="77777777" w:rsidR="00025999" w:rsidRPr="009E52D7" w:rsidRDefault="00025999" w:rsidP="001232D6">
            <w:pPr>
              <w:spacing w:after="0"/>
            </w:pPr>
            <w:r w:rsidRPr="009E52D7">
              <w:t>Exclusion</w:t>
            </w:r>
          </w:p>
        </w:tc>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46696264" w14:textId="77777777" w:rsidR="00025999" w:rsidRPr="009E52D7" w:rsidRDefault="00025999" w:rsidP="001232D6">
            <w:pPr>
              <w:spacing w:after="0"/>
            </w:pPr>
            <w:r w:rsidRPr="009E52D7">
              <w:t>We define exclusion from a service as lack of access to the service because of inability to enrol or cancellation of existing enrolment</w:t>
            </w:r>
          </w:p>
        </w:tc>
      </w:tr>
      <w:tr w:rsidR="00025999" w:rsidRPr="005F065A" w14:paraId="50CB14A9" w14:textId="77777777" w:rsidTr="009E52D7">
        <w:trPr>
          <w:trHeight w:val="224"/>
        </w:trPr>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4AF1E8F2" w14:textId="77777777" w:rsidR="00025999" w:rsidRPr="009E52D7" w:rsidRDefault="00025999" w:rsidP="001232D6">
            <w:pPr>
              <w:spacing w:after="0"/>
            </w:pPr>
            <w:r w:rsidRPr="009E52D7">
              <w:t>Net satisfaction</w:t>
            </w:r>
          </w:p>
        </w:tc>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3D8274E4" w14:textId="4921958D" w:rsidR="00025999" w:rsidRPr="009E52D7" w:rsidRDefault="00025999" w:rsidP="001232D6">
            <w:pPr>
              <w:spacing w:after="0"/>
            </w:pPr>
            <w:r w:rsidRPr="009E52D7">
              <w:t>Share of people who are satisfied minus share of people who are dissatisfied</w:t>
            </w:r>
          </w:p>
        </w:tc>
      </w:tr>
      <w:tr w:rsidR="00025999" w:rsidRPr="005F065A" w14:paraId="3A43F8CD" w14:textId="77777777" w:rsidTr="009E52D7">
        <w:trPr>
          <w:trHeight w:val="224"/>
        </w:trPr>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19E47C53" w14:textId="77777777" w:rsidR="00025999" w:rsidRPr="009E52D7" w:rsidRDefault="00025999" w:rsidP="001232D6">
            <w:pPr>
              <w:spacing w:after="0"/>
            </w:pPr>
            <w:r w:rsidRPr="009E52D7">
              <w:t>Resident</w:t>
            </w:r>
          </w:p>
        </w:tc>
        <w:tc>
          <w:tcPr>
            <w:tcW w:w="0" w:type="auto"/>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hideMark/>
          </w:tcPr>
          <w:p w14:paraId="6D824953" w14:textId="77777777" w:rsidR="00025999" w:rsidRPr="009E52D7" w:rsidRDefault="00025999" w:rsidP="001232D6">
            <w:pPr>
              <w:spacing w:after="0"/>
            </w:pPr>
            <w:r w:rsidRPr="009E52D7">
              <w:t xml:space="preserve">Any person living in India. Our study cannot establish </w:t>
            </w:r>
            <w:r w:rsidRPr="009E52D7">
              <w:rPr>
                <w:i/>
                <w:iCs/>
              </w:rPr>
              <w:t xml:space="preserve">legal </w:t>
            </w:r>
            <w:r w:rsidRPr="009E52D7">
              <w:t>residence status</w:t>
            </w:r>
          </w:p>
        </w:tc>
      </w:tr>
    </w:tbl>
    <w:p w14:paraId="57EC9003" w14:textId="77777777" w:rsidR="00025999" w:rsidRPr="00A13B61" w:rsidRDefault="00025999" w:rsidP="00F511BC">
      <w:pPr>
        <w:rPr>
          <w:lang w:eastAsia="en-IN"/>
        </w:rPr>
      </w:pPr>
    </w:p>
    <w:sectPr w:rsidR="00025999" w:rsidRPr="00A13B61" w:rsidSect="00C258D5">
      <w:headerReference w:type="default" r:id="rId11"/>
      <w:footerReference w:type="even" r:id="rId12"/>
      <w:footerReference w:type="default" r:id="rId13"/>
      <w:type w:val="continuous"/>
      <w:pgSz w:w="11906" w:h="16838" w:code="9"/>
      <w:pgMar w:top="1152" w:right="1152" w:bottom="1152" w:left="1152" w:header="720" w:footer="36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B00D5" w14:textId="77777777" w:rsidR="001B7F76" w:rsidRDefault="001B7F76" w:rsidP="00F511BC">
      <w:r>
        <w:separator/>
      </w:r>
    </w:p>
  </w:endnote>
  <w:endnote w:type="continuationSeparator" w:id="0">
    <w:p w14:paraId="6A4DA18B" w14:textId="77777777" w:rsidR="001B7F76" w:rsidRDefault="001B7F76" w:rsidP="00F5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A">
    <w:altName w:val="Tahoma"/>
    <w:panose1 w:val="020B0604020202020204"/>
    <w:charset w:val="00"/>
    <w:family w:val="auto"/>
    <w:notTrueType/>
    <w:pitch w:val="variable"/>
    <w:sig w:usb0="20000287" w:usb1="00000001" w:usb2="00000000" w:usb3="00000000" w:csb0="0000019F" w:csb1="00000000"/>
  </w:font>
  <w:font w:name="Lato">
    <w:panose1 w:val="020B0604020202020204"/>
    <w:charset w:val="4D"/>
    <w:family w:val="swiss"/>
    <w:pitch w:val="variable"/>
    <w:sig w:usb0="A00000AF" w:usb1="50006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Proxima Nova A Semibold">
    <w:panose1 w:val="02000506030000020004"/>
    <w:charset w:val="00"/>
    <w:family w:val="auto"/>
    <w:notTrueType/>
    <w:pitch w:val="variable"/>
    <w:sig w:usb0="20000287" w:usb1="00000001" w:usb2="00000000" w:usb3="00000000" w:csb0="0000019F" w:csb1="00000000"/>
  </w:font>
  <w:font w:name="Lato Light">
    <w:panose1 w:val="020B0604020202020204"/>
    <w:charset w:val="4D"/>
    <w:family w:val="swiss"/>
    <w:pitch w:val="variable"/>
    <w:sig w:usb0="A00000AF" w:usb1="5000604B" w:usb2="00000000" w:usb3="00000000" w:csb0="00000093"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3504830"/>
      <w:docPartObj>
        <w:docPartGallery w:val="Page Numbers (Bottom of Page)"/>
        <w:docPartUnique/>
      </w:docPartObj>
    </w:sdtPr>
    <w:sdtContent>
      <w:p w14:paraId="34B5D3D2" w14:textId="1849368A" w:rsidR="00930138" w:rsidRDefault="00930138" w:rsidP="003301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04965" w14:textId="77777777" w:rsidR="00930138" w:rsidRDefault="00930138" w:rsidP="009301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472964"/>
      <w:docPartObj>
        <w:docPartGallery w:val="Page Numbers (Bottom of Page)"/>
        <w:docPartUnique/>
      </w:docPartObj>
    </w:sdtPr>
    <w:sdtContent>
      <w:p w14:paraId="2C54C8CA" w14:textId="17A307E8" w:rsidR="00930138" w:rsidRDefault="00930138" w:rsidP="003301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BF64AE" w14:textId="4D31F3B8" w:rsidR="00D944E8" w:rsidRPr="00261606" w:rsidRDefault="00D944E8" w:rsidP="00930138">
    <w:pPr>
      <w:pStyle w:val="Footer"/>
      <w:ind w:right="360"/>
    </w:pPr>
    <w:r w:rsidRPr="00261606">
      <w:t>Detailed methodology</w:t>
    </w:r>
    <w:r w:rsidR="003F3F98">
      <w:t xml:space="preserve"> </w:t>
    </w:r>
    <w:proofErr w:type="gramStart"/>
    <w:r>
      <w:t>note</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60457" w14:textId="77777777" w:rsidR="001B7F76" w:rsidRDefault="001B7F76" w:rsidP="00F511BC">
      <w:r>
        <w:separator/>
      </w:r>
    </w:p>
  </w:footnote>
  <w:footnote w:type="continuationSeparator" w:id="0">
    <w:p w14:paraId="1C848217" w14:textId="77777777" w:rsidR="001B7F76" w:rsidRDefault="001B7F76" w:rsidP="00F51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828E4" w14:textId="7CC2C886" w:rsidR="00D944E8" w:rsidRDefault="00D944E8" w:rsidP="00F511BC">
    <w:pPr>
      <w:pStyle w:val="Header"/>
    </w:pPr>
    <w:bookmarkStart w:id="58" w:name="_Hlk25059295"/>
    <w:bookmarkStart w:id="59" w:name="_Hlk25059296"/>
    <w:r w:rsidRPr="00261606">
      <w:t>State of Aadhaar 2019</w:t>
    </w:r>
    <w:r w:rsidRPr="00261606">
      <w:tab/>
    </w:r>
    <w:r w:rsidRPr="00261606">
      <w:tab/>
    </w:r>
    <w:r w:rsidRPr="00261606">
      <w:rPr>
        <w:noProof/>
      </w:rPr>
      <w:drawing>
        <wp:inline distT="0" distB="0" distL="0" distR="0" wp14:anchorId="536A3EF4" wp14:editId="44874662">
          <wp:extent cx="328666" cy="272701"/>
          <wp:effectExtent l="0" t="0" r="0" b="0"/>
          <wp:docPr id="15" name="Picture 14">
            <a:extLst xmlns:a="http://schemas.openxmlformats.org/drawingml/2006/main">
              <a:ext uri="{FF2B5EF4-FFF2-40B4-BE49-F238E27FC236}">
                <a16:creationId xmlns:a16="http://schemas.microsoft.com/office/drawing/2014/main" id="{AE348CB3-1D37-412A-985C-E2F790D6D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E348CB3-1D37-412A-985C-E2F790D6D0D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404" cy="279951"/>
                  </a:xfrm>
                  <a:prstGeom prst="rect">
                    <a:avLst/>
                  </a:prstGeom>
                </pic:spPr>
              </pic:pic>
            </a:graphicData>
          </a:graphic>
        </wp:inline>
      </w:drawing>
    </w:r>
    <w:r w:rsidRPr="00261606">
      <w:t xml:space="preserve"> </w:t>
    </w:r>
    <w:r w:rsidRPr="00261606">
      <w:rPr>
        <w:noProof/>
      </w:rPr>
      <w:drawing>
        <wp:inline distT="0" distB="0" distL="0" distR="0" wp14:anchorId="795765BC" wp14:editId="7AA4E270">
          <wp:extent cx="455876" cy="139291"/>
          <wp:effectExtent l="0" t="0" r="1905" b="0"/>
          <wp:docPr id="4" name="Picture 4" descr="Image result for dalber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lberg logo&quot;"/>
                  <pic:cNvPicPr>
                    <a:picLocks noChangeAspect="1" noChangeArrowheads="1"/>
                  </pic:cNvPicPr>
                </pic:nvPicPr>
                <pic:blipFill rotWithShape="1">
                  <a:blip r:embed="rId2">
                    <a:extLst>
                      <a:ext uri="{28A0092B-C50C-407E-A947-70E740481C1C}">
                        <a14:useLocalDpi xmlns:a14="http://schemas.microsoft.com/office/drawing/2010/main" val="0"/>
                      </a:ext>
                    </a:extLst>
                  </a:blip>
                  <a:srcRect l="5266" t="39536" r="4824" b="32992"/>
                  <a:stretch/>
                </pic:blipFill>
                <pic:spPr bwMode="auto">
                  <a:xfrm>
                    <a:off x="0" y="0"/>
                    <a:ext cx="617849" cy="188781"/>
                  </a:xfrm>
                  <a:prstGeom prst="rect">
                    <a:avLst/>
                  </a:prstGeom>
                  <a:noFill/>
                  <a:ln>
                    <a:noFill/>
                  </a:ln>
                  <a:extLst>
                    <a:ext uri="{53640926-AAD7-44D8-BBD7-CCE9431645EC}">
                      <a14:shadowObscured xmlns:a14="http://schemas.microsoft.com/office/drawing/2010/main"/>
                    </a:ext>
                  </a:extLst>
                </pic:spPr>
              </pic:pic>
            </a:graphicData>
          </a:graphic>
        </wp:inline>
      </w:drawing>
    </w:r>
  </w:p>
  <w:p w14:paraId="5793C7E5" w14:textId="77777777" w:rsidR="00D944E8" w:rsidRPr="00261606" w:rsidRDefault="00D944E8" w:rsidP="00F511BC">
    <w:pPr>
      <w:pStyle w:val="Header"/>
    </w:pPr>
  </w:p>
  <w:bookmarkEnd w:id="58"/>
  <w:bookmarkEnd w:id="59"/>
  <w:p w14:paraId="16CD1946" w14:textId="77777777" w:rsidR="00D944E8" w:rsidRPr="00261606" w:rsidRDefault="00D944E8" w:rsidP="00F51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5EB5"/>
    <w:multiLevelType w:val="hybridMultilevel"/>
    <w:tmpl w:val="3B583052"/>
    <w:lvl w:ilvl="0" w:tplc="207A331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75F9"/>
    <w:multiLevelType w:val="multilevel"/>
    <w:tmpl w:val="2730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54ED"/>
    <w:multiLevelType w:val="hybridMultilevel"/>
    <w:tmpl w:val="A288B69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E521C2"/>
    <w:multiLevelType w:val="hybridMultilevel"/>
    <w:tmpl w:val="A4F257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76DF4"/>
    <w:multiLevelType w:val="multilevel"/>
    <w:tmpl w:val="0B9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C1355"/>
    <w:multiLevelType w:val="multilevel"/>
    <w:tmpl w:val="9B2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04DB"/>
    <w:multiLevelType w:val="multilevel"/>
    <w:tmpl w:val="E3502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3533F"/>
    <w:multiLevelType w:val="hybridMultilevel"/>
    <w:tmpl w:val="5F942F4C"/>
    <w:lvl w:ilvl="0" w:tplc="0F5ECAA2">
      <w:start w:val="1"/>
      <w:numFmt w:val="decimal"/>
      <w:lvlText w:val="%1."/>
      <w:lvlJc w:val="left"/>
      <w:pPr>
        <w:ind w:left="360" w:hanging="360"/>
      </w:pPr>
      <w:rPr>
        <w:rFonts w:ascii="Proxima Nova A" w:hAnsi="Proxima Nova A" w:hint="default"/>
        <w:b w:val="0"/>
        <w:sz w:val="20"/>
        <w:szCs w:val="2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300139"/>
    <w:multiLevelType w:val="hybridMultilevel"/>
    <w:tmpl w:val="4CBC5650"/>
    <w:lvl w:ilvl="0" w:tplc="9DBCA3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D1B1E"/>
    <w:multiLevelType w:val="hybridMultilevel"/>
    <w:tmpl w:val="BD54C3F0"/>
    <w:lvl w:ilvl="0" w:tplc="D3AC2946">
      <w:start w:val="1"/>
      <w:numFmt w:val="bullet"/>
      <w:pStyle w:val="Bullet1"/>
      <w:lvlText w:val=""/>
      <w:lvlJc w:val="left"/>
      <w:pPr>
        <w:ind w:left="144" w:hanging="360"/>
      </w:pPr>
      <w:rPr>
        <w:rFonts w:ascii="Symbol" w:hAnsi="Symbol" w:hint="default"/>
        <w:color w:val="auto"/>
      </w:rPr>
    </w:lvl>
    <w:lvl w:ilvl="1" w:tplc="4B52E812">
      <w:start w:val="1"/>
      <w:numFmt w:val="bullet"/>
      <w:pStyle w:val="Bullet2"/>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0" w15:restartNumberingAfterBreak="0">
    <w:nsid w:val="15994411"/>
    <w:multiLevelType w:val="hybridMultilevel"/>
    <w:tmpl w:val="21BEE096"/>
    <w:lvl w:ilvl="0" w:tplc="939C35EE">
      <w:start w:val="1"/>
      <w:numFmt w:val="decimal"/>
      <w:lvlText w:val="%1."/>
      <w:lvlJc w:val="left"/>
      <w:pPr>
        <w:ind w:left="720" w:hanging="360"/>
      </w:pPr>
      <w:rPr>
        <w:rFonts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385E47"/>
    <w:multiLevelType w:val="multilevel"/>
    <w:tmpl w:val="468A81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1045B8B"/>
    <w:multiLevelType w:val="hybridMultilevel"/>
    <w:tmpl w:val="6FDCE6B0"/>
    <w:lvl w:ilvl="0" w:tplc="F58EEB82">
      <w:numFmt w:val="bullet"/>
      <w:lvlText w:val="-"/>
      <w:lvlJc w:val="left"/>
      <w:pPr>
        <w:ind w:left="720" w:hanging="360"/>
      </w:pPr>
      <w:rPr>
        <w:rFonts w:ascii="Lato" w:eastAsiaTheme="minorHAnsi" w:hAnsi="Lato" w:cs="Lat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B1153"/>
    <w:multiLevelType w:val="hybridMultilevel"/>
    <w:tmpl w:val="B7387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3A77C99"/>
    <w:multiLevelType w:val="multilevel"/>
    <w:tmpl w:val="A4DA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73EBE"/>
    <w:multiLevelType w:val="hybridMultilevel"/>
    <w:tmpl w:val="50EAB444"/>
    <w:lvl w:ilvl="0" w:tplc="1242EFD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FE05FD"/>
    <w:multiLevelType w:val="multilevel"/>
    <w:tmpl w:val="B4ACE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0953F1"/>
    <w:multiLevelType w:val="hybridMultilevel"/>
    <w:tmpl w:val="21BEE096"/>
    <w:lvl w:ilvl="0" w:tplc="939C35EE">
      <w:start w:val="1"/>
      <w:numFmt w:val="decimal"/>
      <w:lvlText w:val="%1."/>
      <w:lvlJc w:val="left"/>
      <w:pPr>
        <w:ind w:left="720" w:hanging="360"/>
      </w:pPr>
      <w:rPr>
        <w:rFonts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594315"/>
    <w:multiLevelType w:val="hybridMultilevel"/>
    <w:tmpl w:val="7C3ECE74"/>
    <w:lvl w:ilvl="0" w:tplc="0F5ECAA2">
      <w:start w:val="1"/>
      <w:numFmt w:val="decimal"/>
      <w:lvlText w:val="%1."/>
      <w:lvlJc w:val="left"/>
      <w:pPr>
        <w:ind w:left="360" w:hanging="360"/>
      </w:pPr>
      <w:rPr>
        <w:rFonts w:ascii="Proxima Nova A" w:hAnsi="Proxima Nova A" w:hint="default"/>
        <w:b w:val="0"/>
        <w:sz w:val="20"/>
        <w:szCs w:val="20"/>
      </w:rPr>
    </w:lvl>
    <w:lvl w:ilvl="1" w:tplc="48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441605A"/>
    <w:multiLevelType w:val="hybridMultilevel"/>
    <w:tmpl w:val="72A21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127D3"/>
    <w:multiLevelType w:val="hybridMultilevel"/>
    <w:tmpl w:val="3B583052"/>
    <w:lvl w:ilvl="0" w:tplc="207A331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295A54"/>
    <w:multiLevelType w:val="multilevel"/>
    <w:tmpl w:val="0C5C7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2C83DBD"/>
    <w:multiLevelType w:val="hybridMultilevel"/>
    <w:tmpl w:val="7C7C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C85E66"/>
    <w:multiLevelType w:val="hybridMultilevel"/>
    <w:tmpl w:val="9B581764"/>
    <w:lvl w:ilvl="0" w:tplc="98241DA8">
      <w:start w:val="1"/>
      <w:numFmt w:val="upperRoman"/>
      <w:pStyle w:val="TOC1"/>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B3EEF"/>
    <w:multiLevelType w:val="hybridMultilevel"/>
    <w:tmpl w:val="0EF63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75F41"/>
    <w:multiLevelType w:val="hybridMultilevel"/>
    <w:tmpl w:val="2794A8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A706C12"/>
    <w:multiLevelType w:val="hybridMultilevel"/>
    <w:tmpl w:val="B72C80A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070" w:hanging="360"/>
      </w:pPr>
    </w:lvl>
    <w:lvl w:ilvl="2" w:tplc="0409001B">
      <w:start w:val="1"/>
      <w:numFmt w:val="lowerRoman"/>
      <w:lvlText w:val="%3."/>
      <w:lvlJc w:val="right"/>
      <w:pPr>
        <w:ind w:left="1598" w:hanging="180"/>
      </w:pPr>
    </w:lvl>
    <w:lvl w:ilvl="3" w:tplc="0409000F">
      <w:start w:val="1"/>
      <w:numFmt w:val="decimal"/>
      <w:lvlText w:val="%4."/>
      <w:lvlJc w:val="left"/>
      <w:pPr>
        <w:ind w:left="644"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06151F7"/>
    <w:multiLevelType w:val="hybridMultilevel"/>
    <w:tmpl w:val="68444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FC58ED"/>
    <w:multiLevelType w:val="hybridMultilevel"/>
    <w:tmpl w:val="A828B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17E47"/>
    <w:multiLevelType w:val="multilevel"/>
    <w:tmpl w:val="86527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896617"/>
    <w:multiLevelType w:val="multilevel"/>
    <w:tmpl w:val="58948E74"/>
    <w:lvl w:ilvl="0">
      <w:start w:val="1"/>
      <w:numFmt w:val="upperRoman"/>
      <w:pStyle w:val="Heading1"/>
      <w:suff w:val="nothing"/>
      <w:lvlText w:val="Section %1"/>
      <w:lvlJc w:val="left"/>
      <w:pPr>
        <w:ind w:left="0" w:firstLine="0"/>
      </w:pPr>
      <w:rPr>
        <w:rFonts w:hint="default"/>
      </w:rPr>
    </w:lvl>
    <w:lvl w:ilvl="1">
      <w:start w:val="1"/>
      <w:numFmt w:val="decimal"/>
      <w:pStyle w:val="Heading1"/>
      <w:lvlText w:val="%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3061B98"/>
    <w:multiLevelType w:val="multilevel"/>
    <w:tmpl w:val="7E9E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F412E"/>
    <w:multiLevelType w:val="multilevel"/>
    <w:tmpl w:val="8A4E36E2"/>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61CF8"/>
    <w:multiLevelType w:val="hybridMultilevel"/>
    <w:tmpl w:val="10DC1BC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4" w15:restartNumberingAfterBreak="0">
    <w:nsid w:val="69367B8A"/>
    <w:multiLevelType w:val="hybridMultilevel"/>
    <w:tmpl w:val="B1E6436C"/>
    <w:lvl w:ilvl="0" w:tplc="E1563518">
      <w:numFmt w:val="bullet"/>
      <w:lvlText w:val="-"/>
      <w:lvlJc w:val="left"/>
      <w:pPr>
        <w:ind w:left="720" w:hanging="360"/>
      </w:pPr>
      <w:rPr>
        <w:rFonts w:ascii="Lato" w:eastAsiaTheme="minorHAnsi" w:hAnsi="Lato" w:cs="Lato"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10E06"/>
    <w:multiLevelType w:val="hybridMultilevel"/>
    <w:tmpl w:val="21BEE096"/>
    <w:lvl w:ilvl="0" w:tplc="939C35EE">
      <w:start w:val="1"/>
      <w:numFmt w:val="decimal"/>
      <w:lvlText w:val="%1."/>
      <w:lvlJc w:val="left"/>
      <w:pPr>
        <w:ind w:left="720" w:hanging="360"/>
      </w:pPr>
      <w:rPr>
        <w:rFonts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B60944"/>
    <w:multiLevelType w:val="hybridMultilevel"/>
    <w:tmpl w:val="52EA3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FE44778"/>
    <w:multiLevelType w:val="multilevel"/>
    <w:tmpl w:val="289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07AC"/>
    <w:multiLevelType w:val="multilevel"/>
    <w:tmpl w:val="F52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D6008"/>
    <w:multiLevelType w:val="hybridMultilevel"/>
    <w:tmpl w:val="05B41FC4"/>
    <w:lvl w:ilvl="0" w:tplc="053056FA">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6A4501E"/>
    <w:multiLevelType w:val="multilevel"/>
    <w:tmpl w:val="B9F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C4996"/>
    <w:multiLevelType w:val="hybridMultilevel"/>
    <w:tmpl w:val="651EB5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D905260"/>
    <w:multiLevelType w:val="hybridMultilevel"/>
    <w:tmpl w:val="5F942F4C"/>
    <w:lvl w:ilvl="0" w:tplc="0F5ECAA2">
      <w:start w:val="1"/>
      <w:numFmt w:val="decimal"/>
      <w:lvlText w:val="%1."/>
      <w:lvlJc w:val="left"/>
      <w:pPr>
        <w:ind w:left="360" w:hanging="360"/>
      </w:pPr>
      <w:rPr>
        <w:rFonts w:ascii="Proxima Nova A" w:hAnsi="Proxima Nova A" w:hint="default"/>
        <w:b w:val="0"/>
        <w:sz w:val="20"/>
        <w:szCs w:val="2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F595443"/>
    <w:multiLevelType w:val="hybridMultilevel"/>
    <w:tmpl w:val="C01807E0"/>
    <w:lvl w:ilvl="0" w:tplc="04090019">
      <w:start w:val="1"/>
      <w:numFmt w:val="lowerLetter"/>
      <w:lvlText w:val="%1."/>
      <w:lvlJc w:val="left"/>
      <w:pPr>
        <w:ind w:left="107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F6938FE"/>
    <w:multiLevelType w:val="hybridMultilevel"/>
    <w:tmpl w:val="4B4E5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3"/>
  </w:num>
  <w:num w:numId="4">
    <w:abstractNumId w:val="8"/>
  </w:num>
  <w:num w:numId="5">
    <w:abstractNumId w:val="34"/>
  </w:num>
  <w:num w:numId="6">
    <w:abstractNumId w:val="12"/>
  </w:num>
  <w:num w:numId="7">
    <w:abstractNumId w:val="20"/>
  </w:num>
  <w:num w:numId="8">
    <w:abstractNumId w:val="0"/>
  </w:num>
  <w:num w:numId="9">
    <w:abstractNumId w:val="38"/>
  </w:num>
  <w:num w:numId="10">
    <w:abstractNumId w:val="14"/>
  </w:num>
  <w:num w:numId="11">
    <w:abstractNumId w:val="6"/>
    <w:lvlOverride w:ilvl="0">
      <w:lvl w:ilvl="0">
        <w:numFmt w:val="decimal"/>
        <w:lvlText w:val="%1."/>
        <w:lvlJc w:val="left"/>
      </w:lvl>
    </w:lvlOverride>
  </w:num>
  <w:num w:numId="12">
    <w:abstractNumId w:val="7"/>
  </w:num>
  <w:num w:numId="13">
    <w:abstractNumId w:val="26"/>
  </w:num>
  <w:num w:numId="14">
    <w:abstractNumId w:val="24"/>
  </w:num>
  <w:num w:numId="15">
    <w:abstractNumId w:val="35"/>
  </w:num>
  <w:num w:numId="16">
    <w:abstractNumId w:val="15"/>
  </w:num>
  <w:num w:numId="17">
    <w:abstractNumId w:val="2"/>
  </w:num>
  <w:num w:numId="18">
    <w:abstractNumId w:val="17"/>
  </w:num>
  <w:num w:numId="19">
    <w:abstractNumId w:val="44"/>
  </w:num>
  <w:num w:numId="20">
    <w:abstractNumId w:val="43"/>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25"/>
  </w:num>
  <w:num w:numId="24">
    <w:abstractNumId w:val="41"/>
  </w:num>
  <w:num w:numId="25">
    <w:abstractNumId w:val="36"/>
  </w:num>
  <w:num w:numId="26">
    <w:abstractNumId w:val="10"/>
  </w:num>
  <w:num w:numId="27">
    <w:abstractNumId w:val="13"/>
  </w:num>
  <w:num w:numId="28">
    <w:abstractNumId w:val="3"/>
  </w:num>
  <w:num w:numId="29">
    <w:abstractNumId w:val="39"/>
  </w:num>
  <w:num w:numId="30">
    <w:abstractNumId w:val="42"/>
  </w:num>
  <w:num w:numId="31">
    <w:abstractNumId w:val="18"/>
  </w:num>
  <w:num w:numId="32">
    <w:abstractNumId w:val="21"/>
  </w:num>
  <w:num w:numId="33">
    <w:abstractNumId w:val="11"/>
  </w:num>
  <w:num w:numId="34">
    <w:abstractNumId w:val="1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32"/>
  </w:num>
  <w:num w:numId="38">
    <w:abstractNumId w:val="31"/>
  </w:num>
  <w:num w:numId="39">
    <w:abstractNumId w:val="1"/>
  </w:num>
  <w:num w:numId="40">
    <w:abstractNumId w:val="5"/>
  </w:num>
  <w:num w:numId="41">
    <w:abstractNumId w:val="4"/>
  </w:num>
  <w:num w:numId="42">
    <w:abstractNumId w:val="29"/>
  </w:num>
  <w:num w:numId="43">
    <w:abstractNumId w:val="40"/>
  </w:num>
  <w:num w:numId="44">
    <w:abstractNumId w:val="37"/>
  </w:num>
  <w:num w:numId="45">
    <w:abstractNumId w:val="28"/>
  </w:num>
  <w:num w:numId="46">
    <w:abstractNumId w:val="27"/>
  </w:num>
  <w:num w:numId="47">
    <w:abstractNumId w:val="19"/>
  </w:num>
  <w:num w:numId="48">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grammar="clean"/>
  <w:defaultTabStop w:val="10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zNTE0szA1tjQxNLJU0lEKTi0uzszPAykwtKwFAMQoLKstAAAA"/>
  </w:docVars>
  <w:rsids>
    <w:rsidRoot w:val="00B0629D"/>
    <w:rsid w:val="00001271"/>
    <w:rsid w:val="0000367A"/>
    <w:rsid w:val="00004007"/>
    <w:rsid w:val="000065E0"/>
    <w:rsid w:val="00011FBF"/>
    <w:rsid w:val="00012000"/>
    <w:rsid w:val="00014D17"/>
    <w:rsid w:val="00017756"/>
    <w:rsid w:val="000202ED"/>
    <w:rsid w:val="000216A3"/>
    <w:rsid w:val="00021D89"/>
    <w:rsid w:val="0002274C"/>
    <w:rsid w:val="00025999"/>
    <w:rsid w:val="0002608B"/>
    <w:rsid w:val="00026EED"/>
    <w:rsid w:val="00027B94"/>
    <w:rsid w:val="00031339"/>
    <w:rsid w:val="00032461"/>
    <w:rsid w:val="0003306A"/>
    <w:rsid w:val="00033CF0"/>
    <w:rsid w:val="000342BE"/>
    <w:rsid w:val="000347A8"/>
    <w:rsid w:val="00036709"/>
    <w:rsid w:val="00036CC5"/>
    <w:rsid w:val="0003771E"/>
    <w:rsid w:val="0003781D"/>
    <w:rsid w:val="00040936"/>
    <w:rsid w:val="00041629"/>
    <w:rsid w:val="0004487F"/>
    <w:rsid w:val="00044DB4"/>
    <w:rsid w:val="00045C63"/>
    <w:rsid w:val="000461FA"/>
    <w:rsid w:val="00050BB1"/>
    <w:rsid w:val="000514CE"/>
    <w:rsid w:val="00051ADB"/>
    <w:rsid w:val="00051DA3"/>
    <w:rsid w:val="000549DC"/>
    <w:rsid w:val="000568DE"/>
    <w:rsid w:val="00062338"/>
    <w:rsid w:val="00063732"/>
    <w:rsid w:val="000645BE"/>
    <w:rsid w:val="00064924"/>
    <w:rsid w:val="000732A2"/>
    <w:rsid w:val="00073A5F"/>
    <w:rsid w:val="00073E25"/>
    <w:rsid w:val="0007522F"/>
    <w:rsid w:val="000769F3"/>
    <w:rsid w:val="00086D25"/>
    <w:rsid w:val="00090594"/>
    <w:rsid w:val="00094048"/>
    <w:rsid w:val="000943F4"/>
    <w:rsid w:val="000A2924"/>
    <w:rsid w:val="000A2A38"/>
    <w:rsid w:val="000A4283"/>
    <w:rsid w:val="000A4BA9"/>
    <w:rsid w:val="000A62DA"/>
    <w:rsid w:val="000A7C73"/>
    <w:rsid w:val="000B25A0"/>
    <w:rsid w:val="000B2BE6"/>
    <w:rsid w:val="000B4807"/>
    <w:rsid w:val="000B4B4E"/>
    <w:rsid w:val="000C0F53"/>
    <w:rsid w:val="000C4000"/>
    <w:rsid w:val="000C5820"/>
    <w:rsid w:val="000D087E"/>
    <w:rsid w:val="000D2C07"/>
    <w:rsid w:val="000D474D"/>
    <w:rsid w:val="000D6655"/>
    <w:rsid w:val="000D69D1"/>
    <w:rsid w:val="000E05E6"/>
    <w:rsid w:val="000E17FA"/>
    <w:rsid w:val="000E30C9"/>
    <w:rsid w:val="000E3E61"/>
    <w:rsid w:val="000E4DFE"/>
    <w:rsid w:val="000E7DD0"/>
    <w:rsid w:val="000F637E"/>
    <w:rsid w:val="000F640F"/>
    <w:rsid w:val="000F76AA"/>
    <w:rsid w:val="001027DC"/>
    <w:rsid w:val="00102ED2"/>
    <w:rsid w:val="00111930"/>
    <w:rsid w:val="00111B62"/>
    <w:rsid w:val="001131A4"/>
    <w:rsid w:val="00114128"/>
    <w:rsid w:val="00115052"/>
    <w:rsid w:val="0011682D"/>
    <w:rsid w:val="00117041"/>
    <w:rsid w:val="001232D6"/>
    <w:rsid w:val="0012596F"/>
    <w:rsid w:val="00125E33"/>
    <w:rsid w:val="0012608E"/>
    <w:rsid w:val="00127008"/>
    <w:rsid w:val="001333DC"/>
    <w:rsid w:val="00134FB1"/>
    <w:rsid w:val="00135391"/>
    <w:rsid w:val="00137D38"/>
    <w:rsid w:val="00141431"/>
    <w:rsid w:val="001435EC"/>
    <w:rsid w:val="00144F1B"/>
    <w:rsid w:val="00145FAD"/>
    <w:rsid w:val="00147424"/>
    <w:rsid w:val="00162B40"/>
    <w:rsid w:val="001634FF"/>
    <w:rsid w:val="001635A0"/>
    <w:rsid w:val="00164749"/>
    <w:rsid w:val="00166F3B"/>
    <w:rsid w:val="0017053B"/>
    <w:rsid w:val="001761D0"/>
    <w:rsid w:val="00176E15"/>
    <w:rsid w:val="00177157"/>
    <w:rsid w:val="00183167"/>
    <w:rsid w:val="00184D5A"/>
    <w:rsid w:val="00190477"/>
    <w:rsid w:val="001926C7"/>
    <w:rsid w:val="00192FBD"/>
    <w:rsid w:val="00197905"/>
    <w:rsid w:val="001A03F6"/>
    <w:rsid w:val="001A1041"/>
    <w:rsid w:val="001A1545"/>
    <w:rsid w:val="001A2500"/>
    <w:rsid w:val="001A2964"/>
    <w:rsid w:val="001A2E99"/>
    <w:rsid w:val="001A2EEC"/>
    <w:rsid w:val="001B0CBD"/>
    <w:rsid w:val="001B0D60"/>
    <w:rsid w:val="001B1234"/>
    <w:rsid w:val="001B326F"/>
    <w:rsid w:val="001B4572"/>
    <w:rsid w:val="001B634D"/>
    <w:rsid w:val="001B7346"/>
    <w:rsid w:val="001B7B15"/>
    <w:rsid w:val="001B7F76"/>
    <w:rsid w:val="001C14C1"/>
    <w:rsid w:val="001C14EC"/>
    <w:rsid w:val="001C2995"/>
    <w:rsid w:val="001C2CB2"/>
    <w:rsid w:val="001C47E1"/>
    <w:rsid w:val="001C5636"/>
    <w:rsid w:val="001C595C"/>
    <w:rsid w:val="001C64D6"/>
    <w:rsid w:val="001C7166"/>
    <w:rsid w:val="001D08DA"/>
    <w:rsid w:val="001D1905"/>
    <w:rsid w:val="001D1B30"/>
    <w:rsid w:val="001D3D13"/>
    <w:rsid w:val="001D6281"/>
    <w:rsid w:val="001D774E"/>
    <w:rsid w:val="001E0EA6"/>
    <w:rsid w:val="001E0F6D"/>
    <w:rsid w:val="001E6177"/>
    <w:rsid w:val="001E6AEE"/>
    <w:rsid w:val="001E76AD"/>
    <w:rsid w:val="001E76BB"/>
    <w:rsid w:val="001F1E27"/>
    <w:rsid w:val="0020295B"/>
    <w:rsid w:val="00203701"/>
    <w:rsid w:val="00204010"/>
    <w:rsid w:val="0020429A"/>
    <w:rsid w:val="002066D0"/>
    <w:rsid w:val="00207083"/>
    <w:rsid w:val="00211D75"/>
    <w:rsid w:val="00212384"/>
    <w:rsid w:val="00212BA3"/>
    <w:rsid w:val="00213800"/>
    <w:rsid w:val="00213A52"/>
    <w:rsid w:val="00216255"/>
    <w:rsid w:val="00216935"/>
    <w:rsid w:val="00217934"/>
    <w:rsid w:val="0022010C"/>
    <w:rsid w:val="002211F9"/>
    <w:rsid w:val="002255CB"/>
    <w:rsid w:val="00225D04"/>
    <w:rsid w:val="002301E0"/>
    <w:rsid w:val="0023070A"/>
    <w:rsid w:val="002326E6"/>
    <w:rsid w:val="002342BA"/>
    <w:rsid w:val="002354E9"/>
    <w:rsid w:val="002357E5"/>
    <w:rsid w:val="00235CE1"/>
    <w:rsid w:val="00235F14"/>
    <w:rsid w:val="00235FF5"/>
    <w:rsid w:val="0023610D"/>
    <w:rsid w:val="00240856"/>
    <w:rsid w:val="00242FD4"/>
    <w:rsid w:val="0024369E"/>
    <w:rsid w:val="002445E6"/>
    <w:rsid w:val="002464B9"/>
    <w:rsid w:val="00250DFA"/>
    <w:rsid w:val="002512A6"/>
    <w:rsid w:val="00254ABD"/>
    <w:rsid w:val="00254ADD"/>
    <w:rsid w:val="00256A5A"/>
    <w:rsid w:val="00256F4D"/>
    <w:rsid w:val="002579A9"/>
    <w:rsid w:val="00257FB9"/>
    <w:rsid w:val="00260ED8"/>
    <w:rsid w:val="00261606"/>
    <w:rsid w:val="0026504B"/>
    <w:rsid w:val="0026627D"/>
    <w:rsid w:val="00266299"/>
    <w:rsid w:val="00266B3C"/>
    <w:rsid w:val="002776E0"/>
    <w:rsid w:val="00281694"/>
    <w:rsid w:val="002817AA"/>
    <w:rsid w:val="002828F1"/>
    <w:rsid w:val="00285992"/>
    <w:rsid w:val="00285E9F"/>
    <w:rsid w:val="002860E2"/>
    <w:rsid w:val="00291383"/>
    <w:rsid w:val="0029258C"/>
    <w:rsid w:val="00292E09"/>
    <w:rsid w:val="002942F9"/>
    <w:rsid w:val="002A1086"/>
    <w:rsid w:val="002A1ECE"/>
    <w:rsid w:val="002B341B"/>
    <w:rsid w:val="002B3754"/>
    <w:rsid w:val="002B3CA1"/>
    <w:rsid w:val="002B475A"/>
    <w:rsid w:val="002B5E1E"/>
    <w:rsid w:val="002B7497"/>
    <w:rsid w:val="002B7C62"/>
    <w:rsid w:val="002C110D"/>
    <w:rsid w:val="002C3631"/>
    <w:rsid w:val="002C6069"/>
    <w:rsid w:val="002C6544"/>
    <w:rsid w:val="002C7ED6"/>
    <w:rsid w:val="002C7F88"/>
    <w:rsid w:val="002D2593"/>
    <w:rsid w:val="002D2AA5"/>
    <w:rsid w:val="002D3B31"/>
    <w:rsid w:val="002D3B5C"/>
    <w:rsid w:val="002D452E"/>
    <w:rsid w:val="002D50D4"/>
    <w:rsid w:val="002D5685"/>
    <w:rsid w:val="002D6651"/>
    <w:rsid w:val="002E3078"/>
    <w:rsid w:val="002E4805"/>
    <w:rsid w:val="002E5857"/>
    <w:rsid w:val="002F02B9"/>
    <w:rsid w:val="002F0ED3"/>
    <w:rsid w:val="002F2BB4"/>
    <w:rsid w:val="002F708D"/>
    <w:rsid w:val="0030274C"/>
    <w:rsid w:val="003029E6"/>
    <w:rsid w:val="00304966"/>
    <w:rsid w:val="00306703"/>
    <w:rsid w:val="00310CD1"/>
    <w:rsid w:val="00311D02"/>
    <w:rsid w:val="00313AC8"/>
    <w:rsid w:val="00315E01"/>
    <w:rsid w:val="00315E0E"/>
    <w:rsid w:val="003174CA"/>
    <w:rsid w:val="003210EB"/>
    <w:rsid w:val="00325900"/>
    <w:rsid w:val="00327161"/>
    <w:rsid w:val="003276DF"/>
    <w:rsid w:val="003310BA"/>
    <w:rsid w:val="00331101"/>
    <w:rsid w:val="003325F3"/>
    <w:rsid w:val="00332ECB"/>
    <w:rsid w:val="003337BB"/>
    <w:rsid w:val="0033650B"/>
    <w:rsid w:val="00340820"/>
    <w:rsid w:val="0034133C"/>
    <w:rsid w:val="003450BB"/>
    <w:rsid w:val="0034527B"/>
    <w:rsid w:val="003507C7"/>
    <w:rsid w:val="00351918"/>
    <w:rsid w:val="00355508"/>
    <w:rsid w:val="00356190"/>
    <w:rsid w:val="003577EC"/>
    <w:rsid w:val="00360F31"/>
    <w:rsid w:val="00363F96"/>
    <w:rsid w:val="003658E8"/>
    <w:rsid w:val="00365DB8"/>
    <w:rsid w:val="00366153"/>
    <w:rsid w:val="00367175"/>
    <w:rsid w:val="003703E0"/>
    <w:rsid w:val="00370638"/>
    <w:rsid w:val="00373E3E"/>
    <w:rsid w:val="003746CC"/>
    <w:rsid w:val="003758FD"/>
    <w:rsid w:val="003776CD"/>
    <w:rsid w:val="003803F0"/>
    <w:rsid w:val="00380A73"/>
    <w:rsid w:val="003815CC"/>
    <w:rsid w:val="003840BA"/>
    <w:rsid w:val="0039618A"/>
    <w:rsid w:val="00396C0C"/>
    <w:rsid w:val="003A04D9"/>
    <w:rsid w:val="003A1C4A"/>
    <w:rsid w:val="003A5CB9"/>
    <w:rsid w:val="003A6A87"/>
    <w:rsid w:val="003B35AE"/>
    <w:rsid w:val="003C1A0A"/>
    <w:rsid w:val="003C2338"/>
    <w:rsid w:val="003C2EB2"/>
    <w:rsid w:val="003C39CD"/>
    <w:rsid w:val="003C503A"/>
    <w:rsid w:val="003C658E"/>
    <w:rsid w:val="003D3422"/>
    <w:rsid w:val="003D3535"/>
    <w:rsid w:val="003D54E9"/>
    <w:rsid w:val="003D5AC0"/>
    <w:rsid w:val="003D78A8"/>
    <w:rsid w:val="003E1F92"/>
    <w:rsid w:val="003E6449"/>
    <w:rsid w:val="003E659D"/>
    <w:rsid w:val="003E7EC0"/>
    <w:rsid w:val="003F2B15"/>
    <w:rsid w:val="003F31DA"/>
    <w:rsid w:val="003F36FB"/>
    <w:rsid w:val="003F3F11"/>
    <w:rsid w:val="003F3F98"/>
    <w:rsid w:val="003F5952"/>
    <w:rsid w:val="00401608"/>
    <w:rsid w:val="004061B7"/>
    <w:rsid w:val="0040785F"/>
    <w:rsid w:val="00411617"/>
    <w:rsid w:val="00411E5F"/>
    <w:rsid w:val="004130EA"/>
    <w:rsid w:val="00414873"/>
    <w:rsid w:val="00414E57"/>
    <w:rsid w:val="00415C47"/>
    <w:rsid w:val="00415F68"/>
    <w:rsid w:val="0041626D"/>
    <w:rsid w:val="00417955"/>
    <w:rsid w:val="00422317"/>
    <w:rsid w:val="00424207"/>
    <w:rsid w:val="00426F98"/>
    <w:rsid w:val="00427F44"/>
    <w:rsid w:val="00433725"/>
    <w:rsid w:val="004343F1"/>
    <w:rsid w:val="00435749"/>
    <w:rsid w:val="004455BE"/>
    <w:rsid w:val="00450B0E"/>
    <w:rsid w:val="00454E10"/>
    <w:rsid w:val="0045542E"/>
    <w:rsid w:val="00455F7F"/>
    <w:rsid w:val="00455FEA"/>
    <w:rsid w:val="004568ED"/>
    <w:rsid w:val="00460616"/>
    <w:rsid w:val="00462D89"/>
    <w:rsid w:val="00462FF7"/>
    <w:rsid w:val="004656BB"/>
    <w:rsid w:val="00466C61"/>
    <w:rsid w:val="00471B8E"/>
    <w:rsid w:val="0047398E"/>
    <w:rsid w:val="00473AC4"/>
    <w:rsid w:val="004760CD"/>
    <w:rsid w:val="004762E8"/>
    <w:rsid w:val="00477E07"/>
    <w:rsid w:val="0048015E"/>
    <w:rsid w:val="0048265E"/>
    <w:rsid w:val="00482DFF"/>
    <w:rsid w:val="00484B7E"/>
    <w:rsid w:val="00485A69"/>
    <w:rsid w:val="004869B2"/>
    <w:rsid w:val="004879E0"/>
    <w:rsid w:val="00491426"/>
    <w:rsid w:val="00492043"/>
    <w:rsid w:val="00492070"/>
    <w:rsid w:val="004949F8"/>
    <w:rsid w:val="00497CC2"/>
    <w:rsid w:val="004A0023"/>
    <w:rsid w:val="004A366C"/>
    <w:rsid w:val="004A4421"/>
    <w:rsid w:val="004B41DD"/>
    <w:rsid w:val="004B4C42"/>
    <w:rsid w:val="004B64EF"/>
    <w:rsid w:val="004B7778"/>
    <w:rsid w:val="004C04B7"/>
    <w:rsid w:val="004C0A7B"/>
    <w:rsid w:val="004C0E95"/>
    <w:rsid w:val="004C42FC"/>
    <w:rsid w:val="004C6F94"/>
    <w:rsid w:val="004D292A"/>
    <w:rsid w:val="004D5469"/>
    <w:rsid w:val="004D6BBA"/>
    <w:rsid w:val="004E391C"/>
    <w:rsid w:val="004E4B9F"/>
    <w:rsid w:val="004E7797"/>
    <w:rsid w:val="004E787A"/>
    <w:rsid w:val="004F3C68"/>
    <w:rsid w:val="004F517E"/>
    <w:rsid w:val="004F6F23"/>
    <w:rsid w:val="004F7173"/>
    <w:rsid w:val="004F77F9"/>
    <w:rsid w:val="00503683"/>
    <w:rsid w:val="00510CB4"/>
    <w:rsid w:val="00511139"/>
    <w:rsid w:val="005115B3"/>
    <w:rsid w:val="005117D4"/>
    <w:rsid w:val="00512411"/>
    <w:rsid w:val="00513079"/>
    <w:rsid w:val="005163B4"/>
    <w:rsid w:val="0051751F"/>
    <w:rsid w:val="005234BD"/>
    <w:rsid w:val="005236F7"/>
    <w:rsid w:val="00525CD6"/>
    <w:rsid w:val="005267CE"/>
    <w:rsid w:val="00530AC8"/>
    <w:rsid w:val="00531432"/>
    <w:rsid w:val="0053267E"/>
    <w:rsid w:val="00534038"/>
    <w:rsid w:val="00534668"/>
    <w:rsid w:val="00536C1B"/>
    <w:rsid w:val="0053744B"/>
    <w:rsid w:val="005415E3"/>
    <w:rsid w:val="005430D3"/>
    <w:rsid w:val="005442AC"/>
    <w:rsid w:val="00544B91"/>
    <w:rsid w:val="00546F08"/>
    <w:rsid w:val="00550B7B"/>
    <w:rsid w:val="0055184F"/>
    <w:rsid w:val="00552AFD"/>
    <w:rsid w:val="00552E9B"/>
    <w:rsid w:val="005608F5"/>
    <w:rsid w:val="00561192"/>
    <w:rsid w:val="005614C3"/>
    <w:rsid w:val="005642E1"/>
    <w:rsid w:val="0056463B"/>
    <w:rsid w:val="00565060"/>
    <w:rsid w:val="0056618D"/>
    <w:rsid w:val="005717C1"/>
    <w:rsid w:val="005721E9"/>
    <w:rsid w:val="00572C44"/>
    <w:rsid w:val="00580EAC"/>
    <w:rsid w:val="00583A0F"/>
    <w:rsid w:val="005863F9"/>
    <w:rsid w:val="0058654D"/>
    <w:rsid w:val="00586A02"/>
    <w:rsid w:val="00586E9C"/>
    <w:rsid w:val="0058722C"/>
    <w:rsid w:val="00592310"/>
    <w:rsid w:val="0059254A"/>
    <w:rsid w:val="005934F7"/>
    <w:rsid w:val="00594175"/>
    <w:rsid w:val="00594A5B"/>
    <w:rsid w:val="0059532B"/>
    <w:rsid w:val="00597165"/>
    <w:rsid w:val="005A1CD2"/>
    <w:rsid w:val="005A378C"/>
    <w:rsid w:val="005A3D92"/>
    <w:rsid w:val="005B280F"/>
    <w:rsid w:val="005B2F7D"/>
    <w:rsid w:val="005B623F"/>
    <w:rsid w:val="005C084B"/>
    <w:rsid w:val="005C2013"/>
    <w:rsid w:val="005C2420"/>
    <w:rsid w:val="005C2517"/>
    <w:rsid w:val="005C2A0A"/>
    <w:rsid w:val="005C7F33"/>
    <w:rsid w:val="005D3869"/>
    <w:rsid w:val="005D47C7"/>
    <w:rsid w:val="005F065A"/>
    <w:rsid w:val="005F1440"/>
    <w:rsid w:val="005F19AC"/>
    <w:rsid w:val="005F3ACD"/>
    <w:rsid w:val="005F52D7"/>
    <w:rsid w:val="006020DE"/>
    <w:rsid w:val="00603884"/>
    <w:rsid w:val="00605CFE"/>
    <w:rsid w:val="0060623E"/>
    <w:rsid w:val="00606D47"/>
    <w:rsid w:val="00612567"/>
    <w:rsid w:val="006127A8"/>
    <w:rsid w:val="00614DB6"/>
    <w:rsid w:val="00617470"/>
    <w:rsid w:val="00621668"/>
    <w:rsid w:val="00621693"/>
    <w:rsid w:val="00624319"/>
    <w:rsid w:val="00625B84"/>
    <w:rsid w:val="0063078E"/>
    <w:rsid w:val="00632042"/>
    <w:rsid w:val="00634E98"/>
    <w:rsid w:val="00636F72"/>
    <w:rsid w:val="0064129B"/>
    <w:rsid w:val="00642BC1"/>
    <w:rsid w:val="00643A9F"/>
    <w:rsid w:val="00650C31"/>
    <w:rsid w:val="00660490"/>
    <w:rsid w:val="00662372"/>
    <w:rsid w:val="00662F0F"/>
    <w:rsid w:val="00663054"/>
    <w:rsid w:val="00665D3F"/>
    <w:rsid w:val="00672487"/>
    <w:rsid w:val="006727F7"/>
    <w:rsid w:val="00672824"/>
    <w:rsid w:val="00673636"/>
    <w:rsid w:val="006737E7"/>
    <w:rsid w:val="00673A77"/>
    <w:rsid w:val="006774F1"/>
    <w:rsid w:val="00682B3F"/>
    <w:rsid w:val="00694439"/>
    <w:rsid w:val="00696C5F"/>
    <w:rsid w:val="00696F9A"/>
    <w:rsid w:val="006A249D"/>
    <w:rsid w:val="006A3005"/>
    <w:rsid w:val="006A5015"/>
    <w:rsid w:val="006B1FA7"/>
    <w:rsid w:val="006B372F"/>
    <w:rsid w:val="006B45D7"/>
    <w:rsid w:val="006B5EFD"/>
    <w:rsid w:val="006B765A"/>
    <w:rsid w:val="006C3513"/>
    <w:rsid w:val="006C4354"/>
    <w:rsid w:val="006C7CA5"/>
    <w:rsid w:val="006D101D"/>
    <w:rsid w:val="006D105A"/>
    <w:rsid w:val="006D3E23"/>
    <w:rsid w:val="006D58E2"/>
    <w:rsid w:val="006D6ABE"/>
    <w:rsid w:val="006E1423"/>
    <w:rsid w:val="006E3971"/>
    <w:rsid w:val="006E3EE2"/>
    <w:rsid w:val="006E7BFC"/>
    <w:rsid w:val="006F4475"/>
    <w:rsid w:val="006F496F"/>
    <w:rsid w:val="006F58CE"/>
    <w:rsid w:val="007018F0"/>
    <w:rsid w:val="00702F24"/>
    <w:rsid w:val="007063FA"/>
    <w:rsid w:val="00707472"/>
    <w:rsid w:val="00710801"/>
    <w:rsid w:val="00712A3D"/>
    <w:rsid w:val="00717BE6"/>
    <w:rsid w:val="00723984"/>
    <w:rsid w:val="00727247"/>
    <w:rsid w:val="007315AE"/>
    <w:rsid w:val="00736A04"/>
    <w:rsid w:val="00737B45"/>
    <w:rsid w:val="0074051C"/>
    <w:rsid w:val="00740648"/>
    <w:rsid w:val="00742275"/>
    <w:rsid w:val="00742369"/>
    <w:rsid w:val="00744C22"/>
    <w:rsid w:val="007453F5"/>
    <w:rsid w:val="00746053"/>
    <w:rsid w:val="0074740C"/>
    <w:rsid w:val="00751375"/>
    <w:rsid w:val="00751E13"/>
    <w:rsid w:val="00752014"/>
    <w:rsid w:val="007533DF"/>
    <w:rsid w:val="007545C7"/>
    <w:rsid w:val="00765977"/>
    <w:rsid w:val="007671D7"/>
    <w:rsid w:val="00774DC4"/>
    <w:rsid w:val="007800F0"/>
    <w:rsid w:val="00784F2D"/>
    <w:rsid w:val="0078737B"/>
    <w:rsid w:val="007873F3"/>
    <w:rsid w:val="007877A6"/>
    <w:rsid w:val="007913CF"/>
    <w:rsid w:val="00793E24"/>
    <w:rsid w:val="00796013"/>
    <w:rsid w:val="0079787B"/>
    <w:rsid w:val="007A02DB"/>
    <w:rsid w:val="007A1244"/>
    <w:rsid w:val="007A1788"/>
    <w:rsid w:val="007A22CD"/>
    <w:rsid w:val="007A413A"/>
    <w:rsid w:val="007A434A"/>
    <w:rsid w:val="007A7667"/>
    <w:rsid w:val="007A7AF7"/>
    <w:rsid w:val="007A7C9D"/>
    <w:rsid w:val="007B278A"/>
    <w:rsid w:val="007B29D5"/>
    <w:rsid w:val="007B57FF"/>
    <w:rsid w:val="007B5927"/>
    <w:rsid w:val="007B7B1F"/>
    <w:rsid w:val="007C39F8"/>
    <w:rsid w:val="007C5905"/>
    <w:rsid w:val="007C5E3A"/>
    <w:rsid w:val="007D06B0"/>
    <w:rsid w:val="007D257A"/>
    <w:rsid w:val="007D34E8"/>
    <w:rsid w:val="007D6E67"/>
    <w:rsid w:val="007E0671"/>
    <w:rsid w:val="007E1D3A"/>
    <w:rsid w:val="007E2D72"/>
    <w:rsid w:val="007F0D0F"/>
    <w:rsid w:val="007F1FD6"/>
    <w:rsid w:val="007F2C83"/>
    <w:rsid w:val="007F2F1B"/>
    <w:rsid w:val="007F373F"/>
    <w:rsid w:val="00801C40"/>
    <w:rsid w:val="00802257"/>
    <w:rsid w:val="00802DE1"/>
    <w:rsid w:val="0080321C"/>
    <w:rsid w:val="00803D94"/>
    <w:rsid w:val="008159C5"/>
    <w:rsid w:val="00815A4F"/>
    <w:rsid w:val="00816C7E"/>
    <w:rsid w:val="008172DD"/>
    <w:rsid w:val="008212AE"/>
    <w:rsid w:val="0082150F"/>
    <w:rsid w:val="0082307C"/>
    <w:rsid w:val="00827413"/>
    <w:rsid w:val="00827DC0"/>
    <w:rsid w:val="00831778"/>
    <w:rsid w:val="0083397E"/>
    <w:rsid w:val="00835280"/>
    <w:rsid w:val="008356D1"/>
    <w:rsid w:val="00836AD7"/>
    <w:rsid w:val="00840337"/>
    <w:rsid w:val="00841303"/>
    <w:rsid w:val="00842AF3"/>
    <w:rsid w:val="008436E4"/>
    <w:rsid w:val="00843D17"/>
    <w:rsid w:val="00844881"/>
    <w:rsid w:val="00844901"/>
    <w:rsid w:val="00846ECA"/>
    <w:rsid w:val="00847B83"/>
    <w:rsid w:val="008534F8"/>
    <w:rsid w:val="0085441A"/>
    <w:rsid w:val="00855EC7"/>
    <w:rsid w:val="00856715"/>
    <w:rsid w:val="00862917"/>
    <w:rsid w:val="00864F65"/>
    <w:rsid w:val="0086784A"/>
    <w:rsid w:val="008707B5"/>
    <w:rsid w:val="008719D0"/>
    <w:rsid w:val="00873216"/>
    <w:rsid w:val="0087764B"/>
    <w:rsid w:val="00880CEE"/>
    <w:rsid w:val="00882A72"/>
    <w:rsid w:val="00885B76"/>
    <w:rsid w:val="0088705E"/>
    <w:rsid w:val="0089042D"/>
    <w:rsid w:val="0089144F"/>
    <w:rsid w:val="008921C5"/>
    <w:rsid w:val="008961B8"/>
    <w:rsid w:val="008A018B"/>
    <w:rsid w:val="008A0B95"/>
    <w:rsid w:val="008A7F01"/>
    <w:rsid w:val="008B08EC"/>
    <w:rsid w:val="008B0F47"/>
    <w:rsid w:val="008B1859"/>
    <w:rsid w:val="008B5CC3"/>
    <w:rsid w:val="008B6072"/>
    <w:rsid w:val="008C1083"/>
    <w:rsid w:val="008C4150"/>
    <w:rsid w:val="008C4EC3"/>
    <w:rsid w:val="008C63E8"/>
    <w:rsid w:val="008C6725"/>
    <w:rsid w:val="008D0474"/>
    <w:rsid w:val="008D0573"/>
    <w:rsid w:val="008D2525"/>
    <w:rsid w:val="008E598D"/>
    <w:rsid w:val="008E5BC6"/>
    <w:rsid w:val="008E6850"/>
    <w:rsid w:val="008E6C1F"/>
    <w:rsid w:val="008E6EC9"/>
    <w:rsid w:val="008E7058"/>
    <w:rsid w:val="008E72B5"/>
    <w:rsid w:val="008F1432"/>
    <w:rsid w:val="008F1DB5"/>
    <w:rsid w:val="008F22BB"/>
    <w:rsid w:val="008F2F9E"/>
    <w:rsid w:val="008F67E8"/>
    <w:rsid w:val="0090166F"/>
    <w:rsid w:val="00904A23"/>
    <w:rsid w:val="00905272"/>
    <w:rsid w:val="00906E2B"/>
    <w:rsid w:val="00907B7E"/>
    <w:rsid w:val="00915CA1"/>
    <w:rsid w:val="0091683F"/>
    <w:rsid w:val="00921640"/>
    <w:rsid w:val="009218BB"/>
    <w:rsid w:val="00924EA0"/>
    <w:rsid w:val="00930138"/>
    <w:rsid w:val="0093024B"/>
    <w:rsid w:val="009305EF"/>
    <w:rsid w:val="00930B9A"/>
    <w:rsid w:val="00930F37"/>
    <w:rsid w:val="009316B2"/>
    <w:rsid w:val="00931860"/>
    <w:rsid w:val="00933223"/>
    <w:rsid w:val="0093550E"/>
    <w:rsid w:val="00935B17"/>
    <w:rsid w:val="00941C94"/>
    <w:rsid w:val="009453FB"/>
    <w:rsid w:val="00946A50"/>
    <w:rsid w:val="00946E47"/>
    <w:rsid w:val="00947A4E"/>
    <w:rsid w:val="009534DF"/>
    <w:rsid w:val="00955C2A"/>
    <w:rsid w:val="00957061"/>
    <w:rsid w:val="009629F2"/>
    <w:rsid w:val="00962FF7"/>
    <w:rsid w:val="009647BF"/>
    <w:rsid w:val="00964939"/>
    <w:rsid w:val="0097001D"/>
    <w:rsid w:val="009729A0"/>
    <w:rsid w:val="009778FA"/>
    <w:rsid w:val="00980259"/>
    <w:rsid w:val="00980AC4"/>
    <w:rsid w:val="00980E5F"/>
    <w:rsid w:val="00982DFB"/>
    <w:rsid w:val="009838D0"/>
    <w:rsid w:val="00983977"/>
    <w:rsid w:val="009857F5"/>
    <w:rsid w:val="009858A4"/>
    <w:rsid w:val="00985921"/>
    <w:rsid w:val="00986081"/>
    <w:rsid w:val="00987A39"/>
    <w:rsid w:val="00990660"/>
    <w:rsid w:val="00990D35"/>
    <w:rsid w:val="00991966"/>
    <w:rsid w:val="00991A03"/>
    <w:rsid w:val="009924B2"/>
    <w:rsid w:val="009926A0"/>
    <w:rsid w:val="0099499D"/>
    <w:rsid w:val="009970FD"/>
    <w:rsid w:val="009A03B0"/>
    <w:rsid w:val="009A138F"/>
    <w:rsid w:val="009A1801"/>
    <w:rsid w:val="009A5EA6"/>
    <w:rsid w:val="009A66F8"/>
    <w:rsid w:val="009A6CAE"/>
    <w:rsid w:val="009B32B9"/>
    <w:rsid w:val="009B54C3"/>
    <w:rsid w:val="009B6515"/>
    <w:rsid w:val="009C2F55"/>
    <w:rsid w:val="009C4642"/>
    <w:rsid w:val="009C4B46"/>
    <w:rsid w:val="009D0EC3"/>
    <w:rsid w:val="009D17AD"/>
    <w:rsid w:val="009D3119"/>
    <w:rsid w:val="009D679B"/>
    <w:rsid w:val="009E0FA6"/>
    <w:rsid w:val="009E2415"/>
    <w:rsid w:val="009E2E2C"/>
    <w:rsid w:val="009E3D45"/>
    <w:rsid w:val="009E4A90"/>
    <w:rsid w:val="009E5261"/>
    <w:rsid w:val="009E52D7"/>
    <w:rsid w:val="009E57F9"/>
    <w:rsid w:val="009E6C28"/>
    <w:rsid w:val="009F0B3A"/>
    <w:rsid w:val="009F1344"/>
    <w:rsid w:val="009F583B"/>
    <w:rsid w:val="00A00EC5"/>
    <w:rsid w:val="00A0461A"/>
    <w:rsid w:val="00A054F6"/>
    <w:rsid w:val="00A06350"/>
    <w:rsid w:val="00A07A99"/>
    <w:rsid w:val="00A07C64"/>
    <w:rsid w:val="00A13B61"/>
    <w:rsid w:val="00A205D1"/>
    <w:rsid w:val="00A20662"/>
    <w:rsid w:val="00A206CA"/>
    <w:rsid w:val="00A2355F"/>
    <w:rsid w:val="00A323FA"/>
    <w:rsid w:val="00A32EBD"/>
    <w:rsid w:val="00A355BD"/>
    <w:rsid w:val="00A35C43"/>
    <w:rsid w:val="00A36877"/>
    <w:rsid w:val="00A4063F"/>
    <w:rsid w:val="00A40860"/>
    <w:rsid w:val="00A40BA3"/>
    <w:rsid w:val="00A4152B"/>
    <w:rsid w:val="00A4405E"/>
    <w:rsid w:val="00A47A41"/>
    <w:rsid w:val="00A51149"/>
    <w:rsid w:val="00A54111"/>
    <w:rsid w:val="00A57C33"/>
    <w:rsid w:val="00A60423"/>
    <w:rsid w:val="00A66518"/>
    <w:rsid w:val="00A70DBE"/>
    <w:rsid w:val="00A7184D"/>
    <w:rsid w:val="00A735B7"/>
    <w:rsid w:val="00A73A8E"/>
    <w:rsid w:val="00A75D79"/>
    <w:rsid w:val="00A84918"/>
    <w:rsid w:val="00A909FB"/>
    <w:rsid w:val="00A90DF3"/>
    <w:rsid w:val="00A9385A"/>
    <w:rsid w:val="00A93864"/>
    <w:rsid w:val="00A947BA"/>
    <w:rsid w:val="00A9573E"/>
    <w:rsid w:val="00A964D8"/>
    <w:rsid w:val="00A96D46"/>
    <w:rsid w:val="00A97EC2"/>
    <w:rsid w:val="00AA0330"/>
    <w:rsid w:val="00AA06A9"/>
    <w:rsid w:val="00AA1F5A"/>
    <w:rsid w:val="00AA2365"/>
    <w:rsid w:val="00AA27BB"/>
    <w:rsid w:val="00AA3821"/>
    <w:rsid w:val="00AA38AD"/>
    <w:rsid w:val="00AA6807"/>
    <w:rsid w:val="00AC02C7"/>
    <w:rsid w:val="00AC0A4F"/>
    <w:rsid w:val="00AC2DB4"/>
    <w:rsid w:val="00AC5259"/>
    <w:rsid w:val="00AC5627"/>
    <w:rsid w:val="00AC64D1"/>
    <w:rsid w:val="00AD0093"/>
    <w:rsid w:val="00AD0214"/>
    <w:rsid w:val="00AD199B"/>
    <w:rsid w:val="00AD384F"/>
    <w:rsid w:val="00AD39BD"/>
    <w:rsid w:val="00AD39BE"/>
    <w:rsid w:val="00AD4E42"/>
    <w:rsid w:val="00AE2FCC"/>
    <w:rsid w:val="00AE3BAF"/>
    <w:rsid w:val="00AE64E9"/>
    <w:rsid w:val="00AF064C"/>
    <w:rsid w:val="00AF578F"/>
    <w:rsid w:val="00AF5979"/>
    <w:rsid w:val="00AF5A14"/>
    <w:rsid w:val="00AF5D09"/>
    <w:rsid w:val="00AF77F0"/>
    <w:rsid w:val="00B0125A"/>
    <w:rsid w:val="00B01777"/>
    <w:rsid w:val="00B02773"/>
    <w:rsid w:val="00B045F7"/>
    <w:rsid w:val="00B0629D"/>
    <w:rsid w:val="00B11419"/>
    <w:rsid w:val="00B12978"/>
    <w:rsid w:val="00B12B67"/>
    <w:rsid w:val="00B13CDC"/>
    <w:rsid w:val="00B141F7"/>
    <w:rsid w:val="00B15315"/>
    <w:rsid w:val="00B2501E"/>
    <w:rsid w:val="00B25234"/>
    <w:rsid w:val="00B30AC2"/>
    <w:rsid w:val="00B36E8B"/>
    <w:rsid w:val="00B40352"/>
    <w:rsid w:val="00B40B47"/>
    <w:rsid w:val="00B440BC"/>
    <w:rsid w:val="00B46CA3"/>
    <w:rsid w:val="00B51F00"/>
    <w:rsid w:val="00B5203D"/>
    <w:rsid w:val="00B529D2"/>
    <w:rsid w:val="00B548B3"/>
    <w:rsid w:val="00B649C8"/>
    <w:rsid w:val="00B64CBC"/>
    <w:rsid w:val="00B650E9"/>
    <w:rsid w:val="00B668D5"/>
    <w:rsid w:val="00B67689"/>
    <w:rsid w:val="00B67CBC"/>
    <w:rsid w:val="00B705C1"/>
    <w:rsid w:val="00B73F65"/>
    <w:rsid w:val="00B7431D"/>
    <w:rsid w:val="00B75873"/>
    <w:rsid w:val="00B77537"/>
    <w:rsid w:val="00B80909"/>
    <w:rsid w:val="00B84563"/>
    <w:rsid w:val="00B86E88"/>
    <w:rsid w:val="00B871E0"/>
    <w:rsid w:val="00B91B23"/>
    <w:rsid w:val="00B92AA4"/>
    <w:rsid w:val="00B941A1"/>
    <w:rsid w:val="00B9495F"/>
    <w:rsid w:val="00BA1BD7"/>
    <w:rsid w:val="00BA1FB1"/>
    <w:rsid w:val="00BA2252"/>
    <w:rsid w:val="00BA6EEA"/>
    <w:rsid w:val="00BA7684"/>
    <w:rsid w:val="00BB1D7F"/>
    <w:rsid w:val="00BB5638"/>
    <w:rsid w:val="00BC3011"/>
    <w:rsid w:val="00BC7A06"/>
    <w:rsid w:val="00BD1D41"/>
    <w:rsid w:val="00BD37FB"/>
    <w:rsid w:val="00BD395D"/>
    <w:rsid w:val="00BD5055"/>
    <w:rsid w:val="00BD57AA"/>
    <w:rsid w:val="00BE1303"/>
    <w:rsid w:val="00BE16EA"/>
    <w:rsid w:val="00BF0398"/>
    <w:rsid w:val="00BF154C"/>
    <w:rsid w:val="00BF1B14"/>
    <w:rsid w:val="00BF1E20"/>
    <w:rsid w:val="00BF2624"/>
    <w:rsid w:val="00BF4797"/>
    <w:rsid w:val="00BF4FE8"/>
    <w:rsid w:val="00BF6A23"/>
    <w:rsid w:val="00C047AC"/>
    <w:rsid w:val="00C05B8F"/>
    <w:rsid w:val="00C12A29"/>
    <w:rsid w:val="00C132FF"/>
    <w:rsid w:val="00C143A3"/>
    <w:rsid w:val="00C215B9"/>
    <w:rsid w:val="00C22659"/>
    <w:rsid w:val="00C258D5"/>
    <w:rsid w:val="00C258F3"/>
    <w:rsid w:val="00C269DC"/>
    <w:rsid w:val="00C2783F"/>
    <w:rsid w:val="00C323FD"/>
    <w:rsid w:val="00C33134"/>
    <w:rsid w:val="00C332F7"/>
    <w:rsid w:val="00C33DB2"/>
    <w:rsid w:val="00C35053"/>
    <w:rsid w:val="00C354B2"/>
    <w:rsid w:val="00C35696"/>
    <w:rsid w:val="00C369B5"/>
    <w:rsid w:val="00C41160"/>
    <w:rsid w:val="00C42C2F"/>
    <w:rsid w:val="00C45912"/>
    <w:rsid w:val="00C50831"/>
    <w:rsid w:val="00C53854"/>
    <w:rsid w:val="00C545FA"/>
    <w:rsid w:val="00C54BF6"/>
    <w:rsid w:val="00C55253"/>
    <w:rsid w:val="00C611F3"/>
    <w:rsid w:val="00C61870"/>
    <w:rsid w:val="00C63D7A"/>
    <w:rsid w:val="00C65600"/>
    <w:rsid w:val="00C67E34"/>
    <w:rsid w:val="00C722B3"/>
    <w:rsid w:val="00C72FA6"/>
    <w:rsid w:val="00C735AD"/>
    <w:rsid w:val="00C73983"/>
    <w:rsid w:val="00C73CD2"/>
    <w:rsid w:val="00C73DA2"/>
    <w:rsid w:val="00C74827"/>
    <w:rsid w:val="00C77F08"/>
    <w:rsid w:val="00C80542"/>
    <w:rsid w:val="00C848A8"/>
    <w:rsid w:val="00C91E4A"/>
    <w:rsid w:val="00C931E9"/>
    <w:rsid w:val="00C9677A"/>
    <w:rsid w:val="00C97E41"/>
    <w:rsid w:val="00CA2DC7"/>
    <w:rsid w:val="00CA40B7"/>
    <w:rsid w:val="00CA5D20"/>
    <w:rsid w:val="00CB00E2"/>
    <w:rsid w:val="00CB14D8"/>
    <w:rsid w:val="00CB1631"/>
    <w:rsid w:val="00CB1A34"/>
    <w:rsid w:val="00CB2517"/>
    <w:rsid w:val="00CB2790"/>
    <w:rsid w:val="00CB2C0B"/>
    <w:rsid w:val="00CB3F57"/>
    <w:rsid w:val="00CB57CA"/>
    <w:rsid w:val="00CB5F30"/>
    <w:rsid w:val="00CC455B"/>
    <w:rsid w:val="00CD1364"/>
    <w:rsid w:val="00CD145E"/>
    <w:rsid w:val="00CD2427"/>
    <w:rsid w:val="00CD6CAD"/>
    <w:rsid w:val="00CE21AC"/>
    <w:rsid w:val="00CE2333"/>
    <w:rsid w:val="00CE3C08"/>
    <w:rsid w:val="00CE6C37"/>
    <w:rsid w:val="00CE6C43"/>
    <w:rsid w:val="00CF18B9"/>
    <w:rsid w:val="00CF239B"/>
    <w:rsid w:val="00CF2BF0"/>
    <w:rsid w:val="00CF3D71"/>
    <w:rsid w:val="00CF761F"/>
    <w:rsid w:val="00CF7F0A"/>
    <w:rsid w:val="00D0245B"/>
    <w:rsid w:val="00D02F6D"/>
    <w:rsid w:val="00D0361D"/>
    <w:rsid w:val="00D03981"/>
    <w:rsid w:val="00D03C65"/>
    <w:rsid w:val="00D12422"/>
    <w:rsid w:val="00D1265B"/>
    <w:rsid w:val="00D14991"/>
    <w:rsid w:val="00D17007"/>
    <w:rsid w:val="00D17D01"/>
    <w:rsid w:val="00D17D64"/>
    <w:rsid w:val="00D22DC4"/>
    <w:rsid w:val="00D275C5"/>
    <w:rsid w:val="00D31C48"/>
    <w:rsid w:val="00D42988"/>
    <w:rsid w:val="00D43279"/>
    <w:rsid w:val="00D46B81"/>
    <w:rsid w:val="00D46DC4"/>
    <w:rsid w:val="00D47861"/>
    <w:rsid w:val="00D528E4"/>
    <w:rsid w:val="00D60804"/>
    <w:rsid w:val="00D65508"/>
    <w:rsid w:val="00D7005E"/>
    <w:rsid w:val="00D70CB0"/>
    <w:rsid w:val="00D74092"/>
    <w:rsid w:val="00D74CE1"/>
    <w:rsid w:val="00D754D2"/>
    <w:rsid w:val="00D7569C"/>
    <w:rsid w:val="00D77166"/>
    <w:rsid w:val="00D804AD"/>
    <w:rsid w:val="00D806F6"/>
    <w:rsid w:val="00D80C6F"/>
    <w:rsid w:val="00D82CB6"/>
    <w:rsid w:val="00D834A6"/>
    <w:rsid w:val="00D84175"/>
    <w:rsid w:val="00D84A95"/>
    <w:rsid w:val="00D93CBC"/>
    <w:rsid w:val="00D944E8"/>
    <w:rsid w:val="00D94A8A"/>
    <w:rsid w:val="00D9633E"/>
    <w:rsid w:val="00D9782A"/>
    <w:rsid w:val="00DA1314"/>
    <w:rsid w:val="00DA4CD9"/>
    <w:rsid w:val="00DA58BE"/>
    <w:rsid w:val="00DA6248"/>
    <w:rsid w:val="00DB08A0"/>
    <w:rsid w:val="00DB0995"/>
    <w:rsid w:val="00DB35CD"/>
    <w:rsid w:val="00DB49FE"/>
    <w:rsid w:val="00DB6B4A"/>
    <w:rsid w:val="00DB750B"/>
    <w:rsid w:val="00DC0732"/>
    <w:rsid w:val="00DC222D"/>
    <w:rsid w:val="00DC37A2"/>
    <w:rsid w:val="00DC54A6"/>
    <w:rsid w:val="00DC6003"/>
    <w:rsid w:val="00DD0E26"/>
    <w:rsid w:val="00DD4BA8"/>
    <w:rsid w:val="00DD7892"/>
    <w:rsid w:val="00DE7455"/>
    <w:rsid w:val="00DE7D0B"/>
    <w:rsid w:val="00DF6EB1"/>
    <w:rsid w:val="00E00794"/>
    <w:rsid w:val="00E01455"/>
    <w:rsid w:val="00E032D4"/>
    <w:rsid w:val="00E04103"/>
    <w:rsid w:val="00E07D14"/>
    <w:rsid w:val="00E07F45"/>
    <w:rsid w:val="00E11D0C"/>
    <w:rsid w:val="00E12599"/>
    <w:rsid w:val="00E12F1E"/>
    <w:rsid w:val="00E14197"/>
    <w:rsid w:val="00E17469"/>
    <w:rsid w:val="00E20FAF"/>
    <w:rsid w:val="00E21E4B"/>
    <w:rsid w:val="00E26610"/>
    <w:rsid w:val="00E301A1"/>
    <w:rsid w:val="00E31617"/>
    <w:rsid w:val="00E40B4B"/>
    <w:rsid w:val="00E4181D"/>
    <w:rsid w:val="00E42D67"/>
    <w:rsid w:val="00E4333E"/>
    <w:rsid w:val="00E4480F"/>
    <w:rsid w:val="00E44BA1"/>
    <w:rsid w:val="00E46D5F"/>
    <w:rsid w:val="00E50C20"/>
    <w:rsid w:val="00E55294"/>
    <w:rsid w:val="00E56E9C"/>
    <w:rsid w:val="00E60478"/>
    <w:rsid w:val="00E63724"/>
    <w:rsid w:val="00E65ACB"/>
    <w:rsid w:val="00E71272"/>
    <w:rsid w:val="00E71D56"/>
    <w:rsid w:val="00E72B85"/>
    <w:rsid w:val="00E75D13"/>
    <w:rsid w:val="00E76C28"/>
    <w:rsid w:val="00E8055C"/>
    <w:rsid w:val="00E80E6E"/>
    <w:rsid w:val="00E80F6F"/>
    <w:rsid w:val="00E82DC4"/>
    <w:rsid w:val="00E857A1"/>
    <w:rsid w:val="00E861D0"/>
    <w:rsid w:val="00E90389"/>
    <w:rsid w:val="00E90AE7"/>
    <w:rsid w:val="00E9389F"/>
    <w:rsid w:val="00E946BB"/>
    <w:rsid w:val="00E94B4A"/>
    <w:rsid w:val="00E95355"/>
    <w:rsid w:val="00E96A62"/>
    <w:rsid w:val="00E97741"/>
    <w:rsid w:val="00E9794A"/>
    <w:rsid w:val="00EA288F"/>
    <w:rsid w:val="00EA5211"/>
    <w:rsid w:val="00EA6384"/>
    <w:rsid w:val="00EB042F"/>
    <w:rsid w:val="00EB1F26"/>
    <w:rsid w:val="00EB4180"/>
    <w:rsid w:val="00EB41C9"/>
    <w:rsid w:val="00EB4F44"/>
    <w:rsid w:val="00EB5C95"/>
    <w:rsid w:val="00EB6889"/>
    <w:rsid w:val="00EB70D3"/>
    <w:rsid w:val="00EC0A18"/>
    <w:rsid w:val="00EC1D24"/>
    <w:rsid w:val="00EC296A"/>
    <w:rsid w:val="00ED18BE"/>
    <w:rsid w:val="00ED6162"/>
    <w:rsid w:val="00EE14E4"/>
    <w:rsid w:val="00EE2DB1"/>
    <w:rsid w:val="00EE3E4E"/>
    <w:rsid w:val="00EE41F9"/>
    <w:rsid w:val="00EE4399"/>
    <w:rsid w:val="00EE6947"/>
    <w:rsid w:val="00EE7943"/>
    <w:rsid w:val="00EE79FA"/>
    <w:rsid w:val="00EF06A7"/>
    <w:rsid w:val="00EF1672"/>
    <w:rsid w:val="00EF2953"/>
    <w:rsid w:val="00EF3F7D"/>
    <w:rsid w:val="00F00282"/>
    <w:rsid w:val="00F0215C"/>
    <w:rsid w:val="00F02F2D"/>
    <w:rsid w:val="00F0412B"/>
    <w:rsid w:val="00F04990"/>
    <w:rsid w:val="00F069CC"/>
    <w:rsid w:val="00F07128"/>
    <w:rsid w:val="00F079B1"/>
    <w:rsid w:val="00F1028B"/>
    <w:rsid w:val="00F10BD0"/>
    <w:rsid w:val="00F14B31"/>
    <w:rsid w:val="00F16F54"/>
    <w:rsid w:val="00F223A0"/>
    <w:rsid w:val="00F27094"/>
    <w:rsid w:val="00F27140"/>
    <w:rsid w:val="00F33AB8"/>
    <w:rsid w:val="00F36601"/>
    <w:rsid w:val="00F41218"/>
    <w:rsid w:val="00F44088"/>
    <w:rsid w:val="00F44146"/>
    <w:rsid w:val="00F44A9C"/>
    <w:rsid w:val="00F44FC4"/>
    <w:rsid w:val="00F4656F"/>
    <w:rsid w:val="00F47467"/>
    <w:rsid w:val="00F511BC"/>
    <w:rsid w:val="00F55D2A"/>
    <w:rsid w:val="00F55EEB"/>
    <w:rsid w:val="00F56044"/>
    <w:rsid w:val="00F57824"/>
    <w:rsid w:val="00F6165D"/>
    <w:rsid w:val="00F6313E"/>
    <w:rsid w:val="00F65305"/>
    <w:rsid w:val="00F669B1"/>
    <w:rsid w:val="00F723E5"/>
    <w:rsid w:val="00F73669"/>
    <w:rsid w:val="00F754BA"/>
    <w:rsid w:val="00F76DE2"/>
    <w:rsid w:val="00F77C2F"/>
    <w:rsid w:val="00F82989"/>
    <w:rsid w:val="00F84843"/>
    <w:rsid w:val="00F84A95"/>
    <w:rsid w:val="00F86059"/>
    <w:rsid w:val="00F93F13"/>
    <w:rsid w:val="00F94DE8"/>
    <w:rsid w:val="00F953BC"/>
    <w:rsid w:val="00F95572"/>
    <w:rsid w:val="00FA0E8B"/>
    <w:rsid w:val="00FA69E5"/>
    <w:rsid w:val="00FB1C74"/>
    <w:rsid w:val="00FB51D5"/>
    <w:rsid w:val="00FC073A"/>
    <w:rsid w:val="00FC096B"/>
    <w:rsid w:val="00FC1431"/>
    <w:rsid w:val="00FC1FCB"/>
    <w:rsid w:val="00FC20F1"/>
    <w:rsid w:val="00FC2D52"/>
    <w:rsid w:val="00FC3937"/>
    <w:rsid w:val="00FD1B93"/>
    <w:rsid w:val="00FD21E2"/>
    <w:rsid w:val="00FD394A"/>
    <w:rsid w:val="00FD4CAD"/>
    <w:rsid w:val="00FD58A0"/>
    <w:rsid w:val="00FE4C13"/>
    <w:rsid w:val="00FE75AC"/>
    <w:rsid w:val="00FF14F3"/>
    <w:rsid w:val="00FF4107"/>
    <w:rsid w:val="00FF476C"/>
    <w:rsid w:val="00FF6623"/>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FA37DC"/>
  <w15:docId w15:val="{5B31B6BB-C6B5-0444-A452-7F44DA12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0A4F"/>
    <w:rPr>
      <w:rFonts w:ascii="Proxima Nova A" w:hAnsi="Proxima Nova A" w:cs="Times New Roman (Body CS)"/>
      <w:sz w:val="19"/>
      <w:szCs w:val="18"/>
      <w:lang w:val="en-GB"/>
    </w:rPr>
  </w:style>
  <w:style w:type="paragraph" w:styleId="Heading1">
    <w:name w:val="heading 1"/>
    <w:basedOn w:val="Normal"/>
    <w:next w:val="Normal"/>
    <w:link w:val="Heading1Char"/>
    <w:uiPriority w:val="2"/>
    <w:qFormat/>
    <w:rsid w:val="00930138"/>
    <w:pPr>
      <w:keepNext/>
      <w:keepLines/>
      <w:widowControl w:val="0"/>
      <w:numPr>
        <w:ilvl w:val="1"/>
        <w:numId w:val="1"/>
      </w:numPr>
      <w:spacing w:before="120" w:after="240"/>
      <w:ind w:left="578" w:hanging="578"/>
      <w:outlineLvl w:val="0"/>
    </w:pPr>
    <w:rPr>
      <w:rFonts w:eastAsiaTheme="majorEastAsia" w:cs="Times New Roman (Headings CS)"/>
      <w:b/>
      <w:color w:val="000000" w:themeColor="text1"/>
      <w:sz w:val="36"/>
      <w:szCs w:val="40"/>
    </w:rPr>
  </w:style>
  <w:style w:type="paragraph" w:styleId="Heading2">
    <w:name w:val="heading 2"/>
    <w:basedOn w:val="Normal"/>
    <w:next w:val="Normal"/>
    <w:link w:val="Heading2Char"/>
    <w:uiPriority w:val="2"/>
    <w:qFormat/>
    <w:rsid w:val="00930138"/>
    <w:pPr>
      <w:keepNext/>
      <w:keepLines/>
      <w:spacing w:before="240" w:after="120"/>
      <w:outlineLvl w:val="1"/>
    </w:pPr>
    <w:rPr>
      <w:rFonts w:eastAsiaTheme="majorEastAsia" w:cs="Times New Roman (Headings CS)"/>
      <w:b/>
      <w:caps/>
      <w:color w:val="68B7E9"/>
      <w:sz w:val="24"/>
      <w:szCs w:val="36"/>
    </w:rPr>
  </w:style>
  <w:style w:type="paragraph" w:styleId="Heading3">
    <w:name w:val="heading 3"/>
    <w:basedOn w:val="Normal"/>
    <w:next w:val="Normal"/>
    <w:link w:val="Heading3Char"/>
    <w:uiPriority w:val="2"/>
    <w:qFormat/>
    <w:rsid w:val="003F3F98"/>
    <w:pPr>
      <w:keepNext/>
      <w:keepLines/>
      <w:spacing w:before="240" w:after="240"/>
      <w:outlineLvl w:val="2"/>
    </w:pPr>
    <w:rPr>
      <w:rFonts w:ascii="Proxima Nova A Semibold" w:eastAsiaTheme="majorEastAsia" w:hAnsi="Proxima Nova A Semibold" w:cstheme="majorBidi"/>
      <w:b/>
      <w:color w:val="000000" w:themeColor="text1"/>
      <w:sz w:val="22"/>
      <w:szCs w:val="26"/>
    </w:rPr>
  </w:style>
  <w:style w:type="paragraph" w:styleId="Heading4">
    <w:name w:val="heading 4"/>
    <w:basedOn w:val="Normal"/>
    <w:next w:val="Normal"/>
    <w:link w:val="Heading4Char"/>
    <w:autoRedefine/>
    <w:uiPriority w:val="2"/>
    <w:qFormat/>
    <w:rsid w:val="003F3F98"/>
    <w:pPr>
      <w:keepNext/>
      <w:keepLines/>
      <w:spacing w:before="240" w:after="120"/>
      <w:outlineLvl w:val="3"/>
    </w:pPr>
    <w:rPr>
      <w:rFonts w:ascii="Proxima Nova A Semibold" w:eastAsiaTheme="majorEastAsia" w:hAnsi="Proxima Nova A Semibold" w:cstheme="majorBidi"/>
      <w:b/>
      <w:iCs/>
      <w:szCs w:val="26"/>
    </w:rPr>
  </w:style>
  <w:style w:type="paragraph" w:styleId="Heading5">
    <w:name w:val="heading 5"/>
    <w:basedOn w:val="Normal"/>
    <w:next w:val="Normal"/>
    <w:link w:val="Heading5Char"/>
    <w:uiPriority w:val="2"/>
    <w:qFormat/>
    <w:rsid w:val="00D528E4"/>
    <w:pPr>
      <w:keepNext/>
      <w:keepLines/>
      <w:spacing w:before="240" w:after="120"/>
      <w:outlineLvl w:val="4"/>
    </w:pPr>
    <w:rPr>
      <w:rFonts w:eastAsiaTheme="majorEastAsia" w:cstheme="majorBidi"/>
      <w:caps/>
      <w:color w:val="888281" w:themeColor="accent3"/>
      <w:spacing w:val="52"/>
      <w:szCs w:val="24"/>
    </w:rPr>
  </w:style>
  <w:style w:type="paragraph" w:styleId="Heading6">
    <w:name w:val="heading 6"/>
    <w:basedOn w:val="Normal"/>
    <w:next w:val="Normal"/>
    <w:link w:val="Heading6Char"/>
    <w:uiPriority w:val="2"/>
    <w:qFormat/>
    <w:rsid w:val="00D528E4"/>
    <w:pPr>
      <w:keepNext/>
      <w:keepLines/>
      <w:spacing w:before="240" w:after="120"/>
      <w:outlineLvl w:val="5"/>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930138"/>
    <w:rPr>
      <w:rFonts w:ascii="Proxima Nova A" w:eastAsiaTheme="majorEastAsia" w:hAnsi="Proxima Nova A" w:cs="Times New Roman (Headings CS)"/>
      <w:b/>
      <w:color w:val="000000" w:themeColor="text1"/>
      <w:sz w:val="36"/>
      <w:szCs w:val="40"/>
      <w:lang w:val="en-GB"/>
    </w:rPr>
  </w:style>
  <w:style w:type="character" w:customStyle="1" w:styleId="Heading2Char">
    <w:name w:val="Heading 2 Char"/>
    <w:basedOn w:val="DefaultParagraphFont"/>
    <w:link w:val="Heading2"/>
    <w:uiPriority w:val="2"/>
    <w:rsid w:val="00930138"/>
    <w:rPr>
      <w:rFonts w:ascii="Proxima Nova A" w:eastAsiaTheme="majorEastAsia" w:hAnsi="Proxima Nova A" w:cs="Times New Roman (Headings CS)"/>
      <w:b/>
      <w:caps/>
      <w:color w:val="68B7E9"/>
      <w:sz w:val="24"/>
      <w:szCs w:val="36"/>
      <w:lang w:val="en-GB"/>
    </w:rPr>
  </w:style>
  <w:style w:type="character" w:customStyle="1" w:styleId="Heading3Char">
    <w:name w:val="Heading 3 Char"/>
    <w:basedOn w:val="DefaultParagraphFont"/>
    <w:link w:val="Heading3"/>
    <w:uiPriority w:val="2"/>
    <w:rsid w:val="003F3F98"/>
    <w:rPr>
      <w:rFonts w:ascii="Proxima Nova A Semibold" w:eastAsiaTheme="majorEastAsia" w:hAnsi="Proxima Nova A Semibold" w:cstheme="majorBidi"/>
      <w:b/>
      <w:color w:val="000000" w:themeColor="text1"/>
      <w:szCs w:val="26"/>
      <w:lang w:val="en-GB"/>
    </w:rPr>
  </w:style>
  <w:style w:type="character" w:customStyle="1" w:styleId="Heading4Char">
    <w:name w:val="Heading 4 Char"/>
    <w:basedOn w:val="DefaultParagraphFont"/>
    <w:link w:val="Heading4"/>
    <w:uiPriority w:val="2"/>
    <w:rsid w:val="003F3F98"/>
    <w:rPr>
      <w:rFonts w:ascii="Proxima Nova A Semibold" w:eastAsiaTheme="majorEastAsia" w:hAnsi="Proxima Nova A Semibold" w:cstheme="majorBidi"/>
      <w:b/>
      <w:iCs/>
      <w:sz w:val="19"/>
      <w:szCs w:val="26"/>
      <w:lang w:val="en-GB"/>
    </w:rPr>
  </w:style>
  <w:style w:type="character" w:customStyle="1" w:styleId="Heading5Char">
    <w:name w:val="Heading 5 Char"/>
    <w:basedOn w:val="DefaultParagraphFont"/>
    <w:link w:val="Heading5"/>
    <w:uiPriority w:val="2"/>
    <w:rsid w:val="00D528E4"/>
    <w:rPr>
      <w:rFonts w:eastAsiaTheme="majorEastAsia" w:cstheme="majorBidi"/>
      <w:caps/>
      <w:color w:val="888281" w:themeColor="accent3"/>
      <w:spacing w:val="52"/>
      <w:szCs w:val="24"/>
    </w:rPr>
  </w:style>
  <w:style w:type="character" w:customStyle="1" w:styleId="Heading6Char">
    <w:name w:val="Heading 6 Char"/>
    <w:basedOn w:val="DefaultParagraphFont"/>
    <w:link w:val="Heading6"/>
    <w:uiPriority w:val="2"/>
    <w:rsid w:val="00D528E4"/>
    <w:rPr>
      <w:rFonts w:eastAsiaTheme="majorEastAsia" w:cstheme="majorBidi"/>
      <w:b/>
      <w:szCs w:val="24"/>
    </w:rPr>
  </w:style>
  <w:style w:type="table" w:styleId="TableGrid">
    <w:name w:val="Table Grid"/>
    <w:aliases w:val="Table Heading"/>
    <w:basedOn w:val="TableNormal"/>
    <w:uiPriority w:val="59"/>
    <w:rsid w:val="00B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3D54E9"/>
    <w:pPr>
      <w:tabs>
        <w:tab w:val="center" w:pos="4680"/>
        <w:tab w:val="right" w:pos="9360"/>
      </w:tabs>
      <w:spacing w:after="0"/>
    </w:pPr>
  </w:style>
  <w:style w:type="character" w:customStyle="1" w:styleId="HeaderChar">
    <w:name w:val="Header Char"/>
    <w:basedOn w:val="DefaultParagraphFont"/>
    <w:link w:val="Header"/>
    <w:uiPriority w:val="99"/>
    <w:semiHidden/>
    <w:rsid w:val="004C6F94"/>
  </w:style>
  <w:style w:type="paragraph" w:styleId="Footer">
    <w:name w:val="footer"/>
    <w:basedOn w:val="Normal"/>
    <w:link w:val="FooterChar"/>
    <w:rsid w:val="003D54E9"/>
    <w:pPr>
      <w:tabs>
        <w:tab w:val="center" w:pos="4680"/>
        <w:tab w:val="right" w:pos="9360"/>
      </w:tabs>
      <w:spacing w:after="0"/>
    </w:pPr>
  </w:style>
  <w:style w:type="character" w:customStyle="1" w:styleId="FooterChar">
    <w:name w:val="Footer Char"/>
    <w:basedOn w:val="DefaultParagraphFont"/>
    <w:link w:val="Footer"/>
    <w:rsid w:val="004C6F94"/>
  </w:style>
  <w:style w:type="paragraph" w:styleId="TOCHeading">
    <w:name w:val="TOC Heading"/>
    <w:basedOn w:val="Normal"/>
    <w:next w:val="Normal"/>
    <w:uiPriority w:val="39"/>
    <w:qFormat/>
    <w:rsid w:val="00930B9A"/>
    <w:pPr>
      <w:pageBreakBefore/>
      <w:spacing w:before="240" w:after="360"/>
    </w:pPr>
    <w:rPr>
      <w:b/>
      <w:color w:val="651232" w:themeColor="accent1" w:themeShade="BF"/>
      <w:sz w:val="52"/>
      <w:szCs w:val="32"/>
    </w:rPr>
  </w:style>
  <w:style w:type="paragraph" w:styleId="TOC1">
    <w:name w:val="toc 1"/>
    <w:basedOn w:val="Normal"/>
    <w:next w:val="Normal"/>
    <w:autoRedefine/>
    <w:uiPriority w:val="39"/>
    <w:rsid w:val="00CE6C43"/>
    <w:pPr>
      <w:numPr>
        <w:numId w:val="3"/>
      </w:numPr>
      <w:tabs>
        <w:tab w:val="right" w:leader="dot" w:pos="9926"/>
      </w:tabs>
      <w:spacing w:before="240" w:after="100"/>
      <w:ind w:left="1440" w:hanging="1440"/>
    </w:pPr>
    <w:rPr>
      <w:b/>
      <w:noProof/>
    </w:rPr>
  </w:style>
  <w:style w:type="paragraph" w:styleId="TOC2">
    <w:name w:val="toc 2"/>
    <w:basedOn w:val="Normal"/>
    <w:next w:val="Normal"/>
    <w:autoRedefine/>
    <w:uiPriority w:val="39"/>
    <w:rsid w:val="008D0573"/>
    <w:pPr>
      <w:tabs>
        <w:tab w:val="right" w:leader="dot" w:pos="9926"/>
      </w:tabs>
      <w:spacing w:after="100"/>
      <w:ind w:left="1980" w:hanging="540"/>
    </w:pPr>
    <w:rPr>
      <w:noProof/>
    </w:rPr>
  </w:style>
  <w:style w:type="paragraph" w:styleId="TOC3">
    <w:name w:val="toc 3"/>
    <w:basedOn w:val="Normal"/>
    <w:next w:val="Normal"/>
    <w:autoRedefine/>
    <w:uiPriority w:val="39"/>
    <w:rsid w:val="00C67E34"/>
    <w:pPr>
      <w:tabs>
        <w:tab w:val="right" w:leader="dot" w:pos="9926"/>
      </w:tabs>
      <w:spacing w:after="100"/>
      <w:ind w:left="1980"/>
    </w:pPr>
  </w:style>
  <w:style w:type="character" w:styleId="Hyperlink">
    <w:name w:val="Hyperlink"/>
    <w:basedOn w:val="DefaultParagraphFont"/>
    <w:uiPriority w:val="99"/>
    <w:rsid w:val="003D54E9"/>
    <w:rPr>
      <w:color w:val="A0DBDD" w:themeColor="hyperlink"/>
      <w:u w:val="single"/>
    </w:rPr>
  </w:style>
  <w:style w:type="paragraph" w:styleId="Title">
    <w:name w:val="Title"/>
    <w:basedOn w:val="Normal"/>
    <w:next w:val="Normal"/>
    <w:link w:val="TitleChar"/>
    <w:uiPriority w:val="3"/>
    <w:qFormat/>
    <w:rsid w:val="00844881"/>
    <w:pPr>
      <w:spacing w:after="0"/>
    </w:pPr>
    <w:rPr>
      <w:b/>
      <w:color w:val="FFFFFF" w:themeColor="background1"/>
      <w:sz w:val="80"/>
      <w:szCs w:val="80"/>
    </w:rPr>
  </w:style>
  <w:style w:type="character" w:customStyle="1" w:styleId="TitleChar">
    <w:name w:val="Title Char"/>
    <w:basedOn w:val="DefaultParagraphFont"/>
    <w:link w:val="Title"/>
    <w:uiPriority w:val="3"/>
    <w:rsid w:val="004C6F94"/>
    <w:rPr>
      <w:b/>
      <w:color w:val="FFFFFF" w:themeColor="background1"/>
      <w:sz w:val="80"/>
      <w:szCs w:val="80"/>
    </w:rPr>
  </w:style>
  <w:style w:type="paragraph" w:customStyle="1" w:styleId="Title2">
    <w:name w:val="Title 2"/>
    <w:basedOn w:val="Normal"/>
    <w:next w:val="Normal"/>
    <w:uiPriority w:val="3"/>
    <w:qFormat/>
    <w:rsid w:val="00946E47"/>
    <w:pPr>
      <w:spacing w:before="240"/>
    </w:pPr>
    <w:rPr>
      <w:b/>
      <w:color w:val="FFFFFF" w:themeColor="background1"/>
      <w:sz w:val="52"/>
      <w:szCs w:val="30"/>
    </w:rPr>
  </w:style>
  <w:style w:type="paragraph" w:styleId="NoSpacing">
    <w:name w:val="No Spacing"/>
    <w:uiPriority w:val="9"/>
    <w:semiHidden/>
    <w:qFormat/>
    <w:rsid w:val="00844881"/>
    <w:pPr>
      <w:spacing w:after="0" w:line="240" w:lineRule="auto"/>
    </w:pPr>
  </w:style>
  <w:style w:type="paragraph" w:customStyle="1" w:styleId="Bullet2">
    <w:name w:val="Bullet 2"/>
    <w:basedOn w:val="Normal"/>
    <w:uiPriority w:val="1"/>
    <w:rsid w:val="00D528E4"/>
    <w:pPr>
      <w:numPr>
        <w:ilvl w:val="1"/>
        <w:numId w:val="2"/>
      </w:numPr>
      <w:spacing w:before="60" w:after="60"/>
      <w:ind w:left="1152" w:hanging="288"/>
    </w:pPr>
  </w:style>
  <w:style w:type="paragraph" w:customStyle="1" w:styleId="Bullet1">
    <w:name w:val="Bullet 1"/>
    <w:basedOn w:val="Normal"/>
    <w:uiPriority w:val="1"/>
    <w:qFormat/>
    <w:rsid w:val="00D528E4"/>
    <w:pPr>
      <w:numPr>
        <w:numId w:val="2"/>
      </w:numPr>
      <w:spacing w:before="60" w:after="60"/>
      <w:ind w:left="576" w:hanging="288"/>
    </w:pPr>
  </w:style>
  <w:style w:type="table" w:customStyle="1" w:styleId="DalbergStyle">
    <w:name w:val="Dalberg Style"/>
    <w:basedOn w:val="TableNormal"/>
    <w:uiPriority w:val="99"/>
    <w:rsid w:val="00AC02C7"/>
    <w:pPr>
      <w:spacing w:before="40" w:after="40" w:line="240" w:lineRule="auto"/>
      <w:jc w:val="center"/>
    </w:pPr>
    <w:tblPr>
      <w:tblBorders>
        <w:top w:val="single" w:sz="4" w:space="0" w:color="881944" w:themeColor="accent1"/>
        <w:left w:val="single" w:sz="4" w:space="0" w:color="881944" w:themeColor="accent1"/>
        <w:bottom w:val="single" w:sz="4" w:space="0" w:color="881944" w:themeColor="accent1"/>
        <w:right w:val="single" w:sz="4" w:space="0" w:color="881944" w:themeColor="accent1"/>
        <w:insideH w:val="single" w:sz="4" w:space="0" w:color="881944" w:themeColor="accent1"/>
        <w:insideV w:val="single" w:sz="4" w:space="0" w:color="881944" w:themeColor="accent1"/>
      </w:tblBorders>
      <w:tblCellMar>
        <w:left w:w="29" w:type="dxa"/>
        <w:right w:w="29" w:type="dxa"/>
      </w:tblCellMar>
    </w:tblPr>
    <w:tcPr>
      <w:shd w:val="clear" w:color="auto" w:fill="auto"/>
      <w:vAlign w:val="center"/>
    </w:tcPr>
    <w:tblStylePr w:type="firstRow">
      <w:pPr>
        <w:jc w:val="center"/>
      </w:pPr>
      <w:rPr>
        <w:b/>
        <w:color w:val="FFFFFF" w:themeColor="background1"/>
      </w:rPr>
      <w:tblPr/>
      <w:tcPr>
        <w:tcBorders>
          <w:insideV w:val="single" w:sz="4" w:space="0" w:color="FFFFFF" w:themeColor="background1"/>
        </w:tcBorders>
        <w:shd w:val="clear" w:color="auto" w:fill="881944" w:themeFill="accent1"/>
      </w:tcPr>
    </w:tblStylePr>
  </w:style>
  <w:style w:type="paragraph" w:styleId="ListParagraph">
    <w:name w:val="List Paragraph"/>
    <w:aliases w:val="Table/Figure Heading,Listeafsnit,Paragraphe de liste1,Colorful List - Accent 11,List Paragraph1,bl,Bullet L1,bl1,Proposal Bullet List,TOC style,Resume Title,Bullet Style,List Paragraph (numbered (a)),lp1,Bulleted Text,Letter List,Normal 1"/>
    <w:basedOn w:val="Normal"/>
    <w:link w:val="ListParagraphChar"/>
    <w:uiPriority w:val="34"/>
    <w:qFormat/>
    <w:rsid w:val="004C6F94"/>
    <w:pPr>
      <w:ind w:left="720"/>
      <w:contextualSpacing/>
    </w:pPr>
  </w:style>
  <w:style w:type="paragraph" w:customStyle="1" w:styleId="SectionNumber">
    <w:name w:val="Section Number"/>
    <w:basedOn w:val="Normal"/>
    <w:next w:val="Normal"/>
    <w:qFormat/>
    <w:rsid w:val="008C1083"/>
    <w:pPr>
      <w:jc w:val="center"/>
    </w:pPr>
    <w:rPr>
      <w:caps/>
      <w:color w:val="FFFFFF" w:themeColor="background1"/>
      <w:spacing w:val="80"/>
      <w:sz w:val="36"/>
      <w:szCs w:val="36"/>
    </w:rPr>
  </w:style>
  <w:style w:type="paragraph" w:customStyle="1" w:styleId="SectionText">
    <w:name w:val="Section Text"/>
    <w:basedOn w:val="Normal"/>
    <w:next w:val="Normal"/>
    <w:qFormat/>
    <w:rsid w:val="00873216"/>
    <w:pPr>
      <w:spacing w:after="0"/>
      <w:jc w:val="center"/>
    </w:pPr>
    <w:rPr>
      <w:rFonts w:asciiTheme="majorHAnsi" w:hAnsiTheme="majorHAnsi"/>
      <w:color w:val="FFFFFF" w:themeColor="background1"/>
      <w:sz w:val="100"/>
      <w:szCs w:val="100"/>
    </w:rPr>
  </w:style>
  <w:style w:type="paragraph" w:styleId="BalloonText">
    <w:name w:val="Balloon Text"/>
    <w:basedOn w:val="Normal"/>
    <w:link w:val="BalloonTextChar"/>
    <w:uiPriority w:val="99"/>
    <w:semiHidden/>
    <w:rsid w:val="006F496F"/>
    <w:pPr>
      <w:spacing w:after="0"/>
    </w:pPr>
    <w:rPr>
      <w:rFonts w:ascii="Lucida Grande" w:hAnsi="Lucida Grande" w:cs="Lucida Grande"/>
      <w:sz w:val="18"/>
    </w:rPr>
  </w:style>
  <w:style w:type="character" w:customStyle="1" w:styleId="BalloonTextChar">
    <w:name w:val="Balloon Text Char"/>
    <w:basedOn w:val="DefaultParagraphFont"/>
    <w:link w:val="BalloonText"/>
    <w:uiPriority w:val="99"/>
    <w:semiHidden/>
    <w:rsid w:val="006F496F"/>
    <w:rPr>
      <w:rFonts w:ascii="Lucida Grande" w:hAnsi="Lucida Grande" w:cs="Lucida Grande"/>
      <w:sz w:val="18"/>
      <w:szCs w:val="18"/>
    </w:rPr>
  </w:style>
  <w:style w:type="character" w:styleId="FollowedHyperlink">
    <w:name w:val="FollowedHyperlink"/>
    <w:basedOn w:val="DefaultParagraphFont"/>
    <w:uiPriority w:val="99"/>
    <w:semiHidden/>
    <w:unhideWhenUsed/>
    <w:rsid w:val="007E1D3A"/>
    <w:rPr>
      <w:color w:val="73C25F" w:themeColor="followedHyperlink"/>
      <w:u w:val="single"/>
    </w:rPr>
  </w:style>
  <w:style w:type="paragraph" w:styleId="FootnoteText">
    <w:name w:val="footnote text"/>
    <w:basedOn w:val="Normal"/>
    <w:link w:val="FootnoteTextChar"/>
    <w:uiPriority w:val="99"/>
    <w:semiHidden/>
    <w:unhideWhenUsed/>
    <w:rsid w:val="001A2964"/>
    <w:pPr>
      <w:spacing w:after="0"/>
    </w:pPr>
    <w:rPr>
      <w:szCs w:val="20"/>
    </w:rPr>
  </w:style>
  <w:style w:type="character" w:customStyle="1" w:styleId="FootnoteTextChar">
    <w:name w:val="Footnote Text Char"/>
    <w:basedOn w:val="DefaultParagraphFont"/>
    <w:link w:val="FootnoteText"/>
    <w:uiPriority w:val="99"/>
    <w:semiHidden/>
    <w:rsid w:val="001A2964"/>
    <w:rPr>
      <w:sz w:val="20"/>
      <w:szCs w:val="20"/>
    </w:rPr>
  </w:style>
  <w:style w:type="character" w:styleId="FootnoteReference">
    <w:name w:val="footnote reference"/>
    <w:basedOn w:val="DefaultParagraphFont"/>
    <w:uiPriority w:val="99"/>
    <w:unhideWhenUsed/>
    <w:rsid w:val="001A2964"/>
    <w:rPr>
      <w:vertAlign w:val="superscript"/>
    </w:rPr>
  </w:style>
  <w:style w:type="character" w:styleId="Emphasis">
    <w:name w:val="Emphasis"/>
    <w:basedOn w:val="DefaultParagraphFont"/>
    <w:uiPriority w:val="20"/>
    <w:qFormat/>
    <w:rsid w:val="00EB70D3"/>
    <w:rPr>
      <w:i/>
      <w:iCs/>
    </w:rPr>
  </w:style>
  <w:style w:type="character" w:styleId="IntenseEmphasis">
    <w:name w:val="Intense Emphasis"/>
    <w:basedOn w:val="DefaultParagraphFont"/>
    <w:uiPriority w:val="21"/>
    <w:qFormat/>
    <w:rsid w:val="00E80F6F"/>
    <w:rPr>
      <w:i/>
      <w:iCs/>
      <w:color w:val="881944" w:themeColor="accent1"/>
      <w:sz w:val="20"/>
    </w:rPr>
  </w:style>
  <w:style w:type="character" w:styleId="CommentReference">
    <w:name w:val="annotation reference"/>
    <w:basedOn w:val="DefaultParagraphFont"/>
    <w:uiPriority w:val="99"/>
    <w:semiHidden/>
    <w:unhideWhenUsed/>
    <w:rsid w:val="00257FB9"/>
    <w:rPr>
      <w:sz w:val="16"/>
      <w:szCs w:val="16"/>
    </w:rPr>
  </w:style>
  <w:style w:type="paragraph" w:styleId="CommentText">
    <w:name w:val="annotation text"/>
    <w:basedOn w:val="Normal"/>
    <w:link w:val="CommentTextChar"/>
    <w:uiPriority w:val="99"/>
    <w:unhideWhenUsed/>
    <w:rsid w:val="00257FB9"/>
    <w:rPr>
      <w:szCs w:val="20"/>
    </w:rPr>
  </w:style>
  <w:style w:type="character" w:customStyle="1" w:styleId="CommentTextChar">
    <w:name w:val="Comment Text Char"/>
    <w:basedOn w:val="DefaultParagraphFont"/>
    <w:link w:val="CommentText"/>
    <w:uiPriority w:val="99"/>
    <w:rsid w:val="00257FB9"/>
    <w:rPr>
      <w:sz w:val="20"/>
      <w:szCs w:val="20"/>
    </w:rPr>
  </w:style>
  <w:style w:type="paragraph" w:styleId="CommentSubject">
    <w:name w:val="annotation subject"/>
    <w:basedOn w:val="CommentText"/>
    <w:next w:val="CommentText"/>
    <w:link w:val="CommentSubjectChar"/>
    <w:uiPriority w:val="99"/>
    <w:semiHidden/>
    <w:unhideWhenUsed/>
    <w:rsid w:val="00257FB9"/>
    <w:rPr>
      <w:b/>
      <w:bCs/>
    </w:rPr>
  </w:style>
  <w:style w:type="character" w:customStyle="1" w:styleId="CommentSubjectChar">
    <w:name w:val="Comment Subject Char"/>
    <w:basedOn w:val="CommentTextChar"/>
    <w:link w:val="CommentSubject"/>
    <w:uiPriority w:val="99"/>
    <w:semiHidden/>
    <w:rsid w:val="00257FB9"/>
    <w:rPr>
      <w:b/>
      <w:bCs/>
      <w:sz w:val="20"/>
      <w:szCs w:val="20"/>
    </w:rPr>
  </w:style>
  <w:style w:type="paragraph" w:styleId="Revision">
    <w:name w:val="Revision"/>
    <w:hidden/>
    <w:uiPriority w:val="99"/>
    <w:semiHidden/>
    <w:rsid w:val="00473AC4"/>
    <w:pPr>
      <w:spacing w:after="0" w:line="240" w:lineRule="auto"/>
    </w:pPr>
  </w:style>
  <w:style w:type="table" w:styleId="ListTable3-Accent2">
    <w:name w:val="List Table 3 Accent 2"/>
    <w:basedOn w:val="TableNormal"/>
    <w:uiPriority w:val="48"/>
    <w:rsid w:val="002B7C62"/>
    <w:pPr>
      <w:spacing w:after="0" w:line="240" w:lineRule="auto"/>
    </w:pPr>
    <w:tblPr>
      <w:tblStyleRowBandSize w:val="1"/>
      <w:tblStyleColBandSize w:val="1"/>
      <w:tblBorders>
        <w:top w:val="single" w:sz="4" w:space="0" w:color="018AAA" w:themeColor="accent2"/>
        <w:left w:val="single" w:sz="4" w:space="0" w:color="018AAA" w:themeColor="accent2"/>
        <w:bottom w:val="single" w:sz="4" w:space="0" w:color="018AAA" w:themeColor="accent2"/>
        <w:right w:val="single" w:sz="4" w:space="0" w:color="018AAA" w:themeColor="accent2"/>
      </w:tblBorders>
    </w:tblPr>
    <w:tblStylePr w:type="firstRow">
      <w:rPr>
        <w:b/>
        <w:bCs/>
        <w:color w:val="FFFFFF" w:themeColor="background1"/>
      </w:rPr>
      <w:tblPr/>
      <w:tcPr>
        <w:shd w:val="clear" w:color="auto" w:fill="018AAA" w:themeFill="accent2"/>
      </w:tcPr>
    </w:tblStylePr>
    <w:tblStylePr w:type="lastRow">
      <w:rPr>
        <w:b/>
        <w:bCs/>
      </w:rPr>
      <w:tblPr/>
      <w:tcPr>
        <w:tcBorders>
          <w:top w:val="double" w:sz="4" w:space="0" w:color="018A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8AAA" w:themeColor="accent2"/>
          <w:right w:val="single" w:sz="4" w:space="0" w:color="018AAA" w:themeColor="accent2"/>
        </w:tcBorders>
      </w:tcPr>
    </w:tblStylePr>
    <w:tblStylePr w:type="band1Horz">
      <w:tblPr/>
      <w:tcPr>
        <w:tcBorders>
          <w:top w:val="single" w:sz="4" w:space="0" w:color="018AAA" w:themeColor="accent2"/>
          <w:bottom w:val="single" w:sz="4" w:space="0" w:color="018A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8AAA" w:themeColor="accent2"/>
          <w:left w:val="nil"/>
        </w:tcBorders>
      </w:tcPr>
    </w:tblStylePr>
    <w:tblStylePr w:type="swCell">
      <w:tblPr/>
      <w:tcPr>
        <w:tcBorders>
          <w:top w:val="double" w:sz="4" w:space="0" w:color="018AAA" w:themeColor="accent2"/>
          <w:right w:val="nil"/>
        </w:tcBorders>
      </w:tcPr>
    </w:tblStylePr>
  </w:style>
  <w:style w:type="table" w:styleId="GridTable4-Accent2">
    <w:name w:val="Grid Table 4 Accent 2"/>
    <w:basedOn w:val="TableNormal"/>
    <w:uiPriority w:val="49"/>
    <w:rsid w:val="002B7C62"/>
    <w:pPr>
      <w:spacing w:after="0" w:line="240" w:lineRule="auto"/>
    </w:pPr>
    <w:tblPr>
      <w:tblStyleRowBandSize w:val="1"/>
      <w:tblStyleColBandSize w:val="1"/>
      <w:tblBorders>
        <w:top w:val="single" w:sz="4" w:space="0" w:color="34D7FD" w:themeColor="accent2" w:themeTint="99"/>
        <w:left w:val="single" w:sz="4" w:space="0" w:color="34D7FD" w:themeColor="accent2" w:themeTint="99"/>
        <w:bottom w:val="single" w:sz="4" w:space="0" w:color="34D7FD" w:themeColor="accent2" w:themeTint="99"/>
        <w:right w:val="single" w:sz="4" w:space="0" w:color="34D7FD" w:themeColor="accent2" w:themeTint="99"/>
        <w:insideH w:val="single" w:sz="4" w:space="0" w:color="34D7FD" w:themeColor="accent2" w:themeTint="99"/>
        <w:insideV w:val="single" w:sz="4" w:space="0" w:color="34D7FD" w:themeColor="accent2" w:themeTint="99"/>
      </w:tblBorders>
    </w:tblPr>
    <w:tblStylePr w:type="firstRow">
      <w:rPr>
        <w:b/>
        <w:bCs/>
        <w:color w:val="FFFFFF" w:themeColor="background1"/>
      </w:rPr>
      <w:tblPr/>
      <w:tcPr>
        <w:tcBorders>
          <w:top w:val="single" w:sz="4" w:space="0" w:color="018AAA" w:themeColor="accent2"/>
          <w:left w:val="single" w:sz="4" w:space="0" w:color="018AAA" w:themeColor="accent2"/>
          <w:bottom w:val="single" w:sz="4" w:space="0" w:color="018AAA" w:themeColor="accent2"/>
          <w:right w:val="single" w:sz="4" w:space="0" w:color="018AAA" w:themeColor="accent2"/>
          <w:insideH w:val="nil"/>
          <w:insideV w:val="nil"/>
        </w:tcBorders>
        <w:shd w:val="clear" w:color="auto" w:fill="018AAA" w:themeFill="accent2"/>
      </w:tcPr>
    </w:tblStylePr>
    <w:tblStylePr w:type="lastRow">
      <w:rPr>
        <w:b/>
        <w:bCs/>
      </w:rPr>
      <w:tblPr/>
      <w:tcPr>
        <w:tcBorders>
          <w:top w:val="double" w:sz="4" w:space="0" w:color="018AAA" w:themeColor="accent2"/>
        </w:tcBorders>
      </w:tcPr>
    </w:tblStylePr>
    <w:tblStylePr w:type="firstCol">
      <w:rPr>
        <w:b/>
        <w:bCs/>
      </w:rPr>
    </w:tblStylePr>
    <w:tblStylePr w:type="lastCol">
      <w:rPr>
        <w:b/>
        <w:bCs/>
      </w:rPr>
    </w:tblStylePr>
    <w:tblStylePr w:type="band1Vert">
      <w:tblPr/>
      <w:tcPr>
        <w:shd w:val="clear" w:color="auto" w:fill="BBF1FE" w:themeFill="accent2" w:themeFillTint="33"/>
      </w:tcPr>
    </w:tblStylePr>
    <w:tblStylePr w:type="band1Horz">
      <w:tblPr/>
      <w:tcPr>
        <w:shd w:val="clear" w:color="auto" w:fill="BBF1FE" w:themeFill="accent2" w:themeFillTint="33"/>
      </w:tcPr>
    </w:tblStylePr>
  </w:style>
  <w:style w:type="table" w:styleId="GridTable3-Accent2">
    <w:name w:val="Grid Table 3 Accent 2"/>
    <w:basedOn w:val="TableNormal"/>
    <w:uiPriority w:val="48"/>
    <w:rsid w:val="002B7C62"/>
    <w:pPr>
      <w:spacing w:after="0" w:line="240" w:lineRule="auto"/>
    </w:pPr>
    <w:tblPr>
      <w:tblStyleRowBandSize w:val="1"/>
      <w:tblStyleColBandSize w:val="1"/>
      <w:tblBorders>
        <w:top w:val="single" w:sz="4" w:space="0" w:color="34D7FD" w:themeColor="accent2" w:themeTint="99"/>
        <w:left w:val="single" w:sz="4" w:space="0" w:color="34D7FD" w:themeColor="accent2" w:themeTint="99"/>
        <w:bottom w:val="single" w:sz="4" w:space="0" w:color="34D7FD" w:themeColor="accent2" w:themeTint="99"/>
        <w:right w:val="single" w:sz="4" w:space="0" w:color="34D7FD" w:themeColor="accent2" w:themeTint="99"/>
        <w:insideH w:val="single" w:sz="4" w:space="0" w:color="34D7FD" w:themeColor="accent2" w:themeTint="99"/>
        <w:insideV w:val="single" w:sz="4" w:space="0" w:color="34D7F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FE" w:themeFill="accent2" w:themeFillTint="33"/>
      </w:tcPr>
    </w:tblStylePr>
    <w:tblStylePr w:type="band1Horz">
      <w:tblPr/>
      <w:tcPr>
        <w:shd w:val="clear" w:color="auto" w:fill="BBF1FE" w:themeFill="accent2" w:themeFillTint="33"/>
      </w:tcPr>
    </w:tblStylePr>
    <w:tblStylePr w:type="neCell">
      <w:tblPr/>
      <w:tcPr>
        <w:tcBorders>
          <w:bottom w:val="single" w:sz="4" w:space="0" w:color="34D7FD" w:themeColor="accent2" w:themeTint="99"/>
        </w:tcBorders>
      </w:tcPr>
    </w:tblStylePr>
    <w:tblStylePr w:type="nwCell">
      <w:tblPr/>
      <w:tcPr>
        <w:tcBorders>
          <w:bottom w:val="single" w:sz="4" w:space="0" w:color="34D7FD" w:themeColor="accent2" w:themeTint="99"/>
        </w:tcBorders>
      </w:tcPr>
    </w:tblStylePr>
    <w:tblStylePr w:type="seCell">
      <w:tblPr/>
      <w:tcPr>
        <w:tcBorders>
          <w:top w:val="single" w:sz="4" w:space="0" w:color="34D7FD" w:themeColor="accent2" w:themeTint="99"/>
        </w:tcBorders>
      </w:tcPr>
    </w:tblStylePr>
    <w:tblStylePr w:type="swCell">
      <w:tblPr/>
      <w:tcPr>
        <w:tcBorders>
          <w:top w:val="single" w:sz="4" w:space="0" w:color="34D7FD" w:themeColor="accent2" w:themeTint="99"/>
        </w:tcBorders>
      </w:tcPr>
    </w:tblStylePr>
  </w:style>
  <w:style w:type="table" w:styleId="GridTable1LightAccent2">
    <w:name w:val="Grid Table 1 Light Accent 2"/>
    <w:basedOn w:val="TableNormal"/>
    <w:uiPriority w:val="46"/>
    <w:rsid w:val="002B7C62"/>
    <w:pPr>
      <w:spacing w:after="0" w:line="240" w:lineRule="auto"/>
    </w:pPr>
    <w:tblPr>
      <w:tblStyleRowBandSize w:val="1"/>
      <w:tblStyleColBandSize w:val="1"/>
      <w:tblBorders>
        <w:top w:val="single" w:sz="4" w:space="0" w:color="78E4FE" w:themeColor="accent2" w:themeTint="66"/>
        <w:left w:val="single" w:sz="4" w:space="0" w:color="78E4FE" w:themeColor="accent2" w:themeTint="66"/>
        <w:bottom w:val="single" w:sz="4" w:space="0" w:color="78E4FE" w:themeColor="accent2" w:themeTint="66"/>
        <w:right w:val="single" w:sz="4" w:space="0" w:color="78E4FE" w:themeColor="accent2" w:themeTint="66"/>
        <w:insideH w:val="single" w:sz="4" w:space="0" w:color="78E4FE" w:themeColor="accent2" w:themeTint="66"/>
        <w:insideV w:val="single" w:sz="4" w:space="0" w:color="78E4FE" w:themeColor="accent2" w:themeTint="66"/>
      </w:tblBorders>
    </w:tblPr>
    <w:tblStylePr w:type="firstRow">
      <w:rPr>
        <w:b/>
        <w:bCs/>
      </w:rPr>
      <w:tblPr/>
      <w:tcPr>
        <w:tcBorders>
          <w:bottom w:val="single" w:sz="12" w:space="0" w:color="34D7FD" w:themeColor="accent2" w:themeTint="99"/>
        </w:tcBorders>
      </w:tcPr>
    </w:tblStylePr>
    <w:tblStylePr w:type="lastRow">
      <w:rPr>
        <w:b/>
        <w:bCs/>
      </w:rPr>
      <w:tblPr/>
      <w:tcPr>
        <w:tcBorders>
          <w:top w:val="double" w:sz="2" w:space="0" w:color="34D7FD"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99"/>
    <w:rsid w:val="002B7C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2B7C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06A9"/>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55BE"/>
    <w:rPr>
      <w:color w:val="605E5C"/>
      <w:shd w:val="clear" w:color="auto" w:fill="E1DFDD"/>
    </w:rPr>
  </w:style>
  <w:style w:type="paragraph" w:styleId="PlainText">
    <w:name w:val="Plain Text"/>
    <w:basedOn w:val="Normal"/>
    <w:link w:val="PlainTextChar"/>
    <w:uiPriority w:val="99"/>
    <w:unhideWhenUsed/>
    <w:rsid w:val="00073E25"/>
    <w:pPr>
      <w:spacing w:after="0"/>
    </w:pPr>
    <w:rPr>
      <w:rFonts w:ascii="Calibri" w:hAnsi="Calibri"/>
      <w:szCs w:val="21"/>
    </w:rPr>
  </w:style>
  <w:style w:type="character" w:customStyle="1" w:styleId="PlainTextChar">
    <w:name w:val="Plain Text Char"/>
    <w:basedOn w:val="DefaultParagraphFont"/>
    <w:link w:val="PlainText"/>
    <w:uiPriority w:val="99"/>
    <w:rsid w:val="00073E25"/>
    <w:rPr>
      <w:rFonts w:ascii="Calibri" w:hAnsi="Calibri"/>
      <w:szCs w:val="21"/>
    </w:rPr>
  </w:style>
  <w:style w:type="paragraph" w:styleId="Caption">
    <w:name w:val="caption"/>
    <w:basedOn w:val="Normal"/>
    <w:next w:val="Normal"/>
    <w:autoRedefine/>
    <w:uiPriority w:val="35"/>
    <w:unhideWhenUsed/>
    <w:qFormat/>
    <w:rsid w:val="003F3F98"/>
    <w:pPr>
      <w:keepNext/>
      <w:spacing w:after="160"/>
    </w:pPr>
    <w:rPr>
      <w:i/>
      <w:iCs/>
      <w:color w:val="7F7F7F" w:themeColor="text1" w:themeTint="80"/>
      <w:sz w:val="18"/>
    </w:rPr>
  </w:style>
  <w:style w:type="character" w:customStyle="1" w:styleId="ListParagraphChar">
    <w:name w:val="List Paragraph Char"/>
    <w:aliases w:val="Table/Figure Heading Char,Listeafsnit Char,Paragraphe de liste1 Char,Colorful List - Accent 11 Char,List Paragraph1 Char,bl Char,Bullet L1 Char,bl1 Char,Proposal Bullet List Char,TOC style Char,Resume Title Char,Bullet Style Char"/>
    <w:link w:val="ListParagraph"/>
    <w:uiPriority w:val="34"/>
    <w:qFormat/>
    <w:locked/>
    <w:rsid w:val="00AA0330"/>
  </w:style>
  <w:style w:type="character" w:customStyle="1" w:styleId="ListLabel10">
    <w:name w:val="ListLabel 10"/>
    <w:qFormat/>
    <w:rsid w:val="00672487"/>
    <w:rPr>
      <w:rFonts w:ascii="Proxima Nova A" w:eastAsia="Lato" w:hAnsi="Proxima Nova A" w:cs="Times New Roman"/>
      <w:color w:val="A0DBDD"/>
      <w:sz w:val="18"/>
      <w:szCs w:val="18"/>
      <w:u w:val="single"/>
    </w:rPr>
  </w:style>
  <w:style w:type="character" w:styleId="PageNumber">
    <w:name w:val="page number"/>
    <w:basedOn w:val="DefaultParagraphFont"/>
    <w:uiPriority w:val="99"/>
    <w:semiHidden/>
    <w:unhideWhenUsed/>
    <w:rsid w:val="0093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265">
      <w:bodyDiv w:val="1"/>
      <w:marLeft w:val="0"/>
      <w:marRight w:val="0"/>
      <w:marTop w:val="0"/>
      <w:marBottom w:val="0"/>
      <w:divBdr>
        <w:top w:val="none" w:sz="0" w:space="0" w:color="auto"/>
        <w:left w:val="none" w:sz="0" w:space="0" w:color="auto"/>
        <w:bottom w:val="none" w:sz="0" w:space="0" w:color="auto"/>
        <w:right w:val="none" w:sz="0" w:space="0" w:color="auto"/>
      </w:divBdr>
    </w:div>
    <w:div w:id="207962947">
      <w:bodyDiv w:val="1"/>
      <w:marLeft w:val="0"/>
      <w:marRight w:val="0"/>
      <w:marTop w:val="0"/>
      <w:marBottom w:val="0"/>
      <w:divBdr>
        <w:top w:val="none" w:sz="0" w:space="0" w:color="auto"/>
        <w:left w:val="none" w:sz="0" w:space="0" w:color="auto"/>
        <w:bottom w:val="none" w:sz="0" w:space="0" w:color="auto"/>
        <w:right w:val="none" w:sz="0" w:space="0" w:color="auto"/>
      </w:divBdr>
    </w:div>
    <w:div w:id="383799115">
      <w:bodyDiv w:val="1"/>
      <w:marLeft w:val="0"/>
      <w:marRight w:val="0"/>
      <w:marTop w:val="0"/>
      <w:marBottom w:val="0"/>
      <w:divBdr>
        <w:top w:val="none" w:sz="0" w:space="0" w:color="auto"/>
        <w:left w:val="none" w:sz="0" w:space="0" w:color="auto"/>
        <w:bottom w:val="none" w:sz="0" w:space="0" w:color="auto"/>
        <w:right w:val="none" w:sz="0" w:space="0" w:color="auto"/>
      </w:divBdr>
    </w:div>
    <w:div w:id="443885293">
      <w:bodyDiv w:val="1"/>
      <w:marLeft w:val="0"/>
      <w:marRight w:val="0"/>
      <w:marTop w:val="0"/>
      <w:marBottom w:val="0"/>
      <w:divBdr>
        <w:top w:val="none" w:sz="0" w:space="0" w:color="auto"/>
        <w:left w:val="none" w:sz="0" w:space="0" w:color="auto"/>
        <w:bottom w:val="none" w:sz="0" w:space="0" w:color="auto"/>
        <w:right w:val="none" w:sz="0" w:space="0" w:color="auto"/>
      </w:divBdr>
    </w:div>
    <w:div w:id="466358538">
      <w:bodyDiv w:val="1"/>
      <w:marLeft w:val="0"/>
      <w:marRight w:val="0"/>
      <w:marTop w:val="0"/>
      <w:marBottom w:val="0"/>
      <w:divBdr>
        <w:top w:val="none" w:sz="0" w:space="0" w:color="auto"/>
        <w:left w:val="none" w:sz="0" w:space="0" w:color="auto"/>
        <w:bottom w:val="none" w:sz="0" w:space="0" w:color="auto"/>
        <w:right w:val="none" w:sz="0" w:space="0" w:color="auto"/>
      </w:divBdr>
    </w:div>
    <w:div w:id="470899848">
      <w:bodyDiv w:val="1"/>
      <w:marLeft w:val="0"/>
      <w:marRight w:val="0"/>
      <w:marTop w:val="0"/>
      <w:marBottom w:val="0"/>
      <w:divBdr>
        <w:top w:val="none" w:sz="0" w:space="0" w:color="auto"/>
        <w:left w:val="none" w:sz="0" w:space="0" w:color="auto"/>
        <w:bottom w:val="none" w:sz="0" w:space="0" w:color="auto"/>
        <w:right w:val="none" w:sz="0" w:space="0" w:color="auto"/>
      </w:divBdr>
    </w:div>
    <w:div w:id="504366979">
      <w:bodyDiv w:val="1"/>
      <w:marLeft w:val="0"/>
      <w:marRight w:val="0"/>
      <w:marTop w:val="0"/>
      <w:marBottom w:val="0"/>
      <w:divBdr>
        <w:top w:val="none" w:sz="0" w:space="0" w:color="auto"/>
        <w:left w:val="none" w:sz="0" w:space="0" w:color="auto"/>
        <w:bottom w:val="none" w:sz="0" w:space="0" w:color="auto"/>
        <w:right w:val="none" w:sz="0" w:space="0" w:color="auto"/>
      </w:divBdr>
    </w:div>
    <w:div w:id="515506720">
      <w:bodyDiv w:val="1"/>
      <w:marLeft w:val="0"/>
      <w:marRight w:val="0"/>
      <w:marTop w:val="0"/>
      <w:marBottom w:val="0"/>
      <w:divBdr>
        <w:top w:val="none" w:sz="0" w:space="0" w:color="auto"/>
        <w:left w:val="none" w:sz="0" w:space="0" w:color="auto"/>
        <w:bottom w:val="none" w:sz="0" w:space="0" w:color="auto"/>
        <w:right w:val="none" w:sz="0" w:space="0" w:color="auto"/>
      </w:divBdr>
    </w:div>
    <w:div w:id="685056157">
      <w:bodyDiv w:val="1"/>
      <w:marLeft w:val="0"/>
      <w:marRight w:val="0"/>
      <w:marTop w:val="0"/>
      <w:marBottom w:val="0"/>
      <w:divBdr>
        <w:top w:val="none" w:sz="0" w:space="0" w:color="auto"/>
        <w:left w:val="none" w:sz="0" w:space="0" w:color="auto"/>
        <w:bottom w:val="none" w:sz="0" w:space="0" w:color="auto"/>
        <w:right w:val="none" w:sz="0" w:space="0" w:color="auto"/>
      </w:divBdr>
    </w:div>
    <w:div w:id="738290930">
      <w:bodyDiv w:val="1"/>
      <w:marLeft w:val="0"/>
      <w:marRight w:val="0"/>
      <w:marTop w:val="0"/>
      <w:marBottom w:val="0"/>
      <w:divBdr>
        <w:top w:val="none" w:sz="0" w:space="0" w:color="auto"/>
        <w:left w:val="none" w:sz="0" w:space="0" w:color="auto"/>
        <w:bottom w:val="none" w:sz="0" w:space="0" w:color="auto"/>
        <w:right w:val="none" w:sz="0" w:space="0" w:color="auto"/>
      </w:divBdr>
    </w:div>
    <w:div w:id="885020126">
      <w:bodyDiv w:val="1"/>
      <w:marLeft w:val="0"/>
      <w:marRight w:val="0"/>
      <w:marTop w:val="0"/>
      <w:marBottom w:val="0"/>
      <w:divBdr>
        <w:top w:val="none" w:sz="0" w:space="0" w:color="auto"/>
        <w:left w:val="none" w:sz="0" w:space="0" w:color="auto"/>
        <w:bottom w:val="none" w:sz="0" w:space="0" w:color="auto"/>
        <w:right w:val="none" w:sz="0" w:space="0" w:color="auto"/>
      </w:divBdr>
    </w:div>
    <w:div w:id="1103111517">
      <w:bodyDiv w:val="1"/>
      <w:marLeft w:val="0"/>
      <w:marRight w:val="0"/>
      <w:marTop w:val="0"/>
      <w:marBottom w:val="0"/>
      <w:divBdr>
        <w:top w:val="none" w:sz="0" w:space="0" w:color="auto"/>
        <w:left w:val="none" w:sz="0" w:space="0" w:color="auto"/>
        <w:bottom w:val="none" w:sz="0" w:space="0" w:color="auto"/>
        <w:right w:val="none" w:sz="0" w:space="0" w:color="auto"/>
      </w:divBdr>
    </w:div>
    <w:div w:id="1253130057">
      <w:bodyDiv w:val="1"/>
      <w:marLeft w:val="0"/>
      <w:marRight w:val="0"/>
      <w:marTop w:val="0"/>
      <w:marBottom w:val="0"/>
      <w:divBdr>
        <w:top w:val="none" w:sz="0" w:space="0" w:color="auto"/>
        <w:left w:val="none" w:sz="0" w:space="0" w:color="auto"/>
        <w:bottom w:val="none" w:sz="0" w:space="0" w:color="auto"/>
        <w:right w:val="none" w:sz="0" w:space="0" w:color="auto"/>
      </w:divBdr>
    </w:div>
    <w:div w:id="1292396894">
      <w:bodyDiv w:val="1"/>
      <w:marLeft w:val="0"/>
      <w:marRight w:val="0"/>
      <w:marTop w:val="0"/>
      <w:marBottom w:val="0"/>
      <w:divBdr>
        <w:top w:val="none" w:sz="0" w:space="0" w:color="auto"/>
        <w:left w:val="none" w:sz="0" w:space="0" w:color="auto"/>
        <w:bottom w:val="none" w:sz="0" w:space="0" w:color="auto"/>
        <w:right w:val="none" w:sz="0" w:space="0" w:color="auto"/>
      </w:divBdr>
    </w:div>
    <w:div w:id="1551259000">
      <w:bodyDiv w:val="1"/>
      <w:marLeft w:val="0"/>
      <w:marRight w:val="0"/>
      <w:marTop w:val="0"/>
      <w:marBottom w:val="0"/>
      <w:divBdr>
        <w:top w:val="none" w:sz="0" w:space="0" w:color="auto"/>
        <w:left w:val="none" w:sz="0" w:space="0" w:color="auto"/>
        <w:bottom w:val="none" w:sz="0" w:space="0" w:color="auto"/>
        <w:right w:val="none" w:sz="0" w:space="0" w:color="auto"/>
      </w:divBdr>
    </w:div>
    <w:div w:id="1587835310">
      <w:bodyDiv w:val="1"/>
      <w:marLeft w:val="0"/>
      <w:marRight w:val="0"/>
      <w:marTop w:val="0"/>
      <w:marBottom w:val="0"/>
      <w:divBdr>
        <w:top w:val="none" w:sz="0" w:space="0" w:color="auto"/>
        <w:left w:val="none" w:sz="0" w:space="0" w:color="auto"/>
        <w:bottom w:val="none" w:sz="0" w:space="0" w:color="auto"/>
        <w:right w:val="none" w:sz="0" w:space="0" w:color="auto"/>
      </w:divBdr>
    </w:div>
    <w:div w:id="1667122777">
      <w:bodyDiv w:val="1"/>
      <w:marLeft w:val="0"/>
      <w:marRight w:val="0"/>
      <w:marTop w:val="0"/>
      <w:marBottom w:val="0"/>
      <w:divBdr>
        <w:top w:val="none" w:sz="0" w:space="0" w:color="auto"/>
        <w:left w:val="none" w:sz="0" w:space="0" w:color="auto"/>
        <w:bottom w:val="none" w:sz="0" w:space="0" w:color="auto"/>
        <w:right w:val="none" w:sz="0" w:space="0" w:color="auto"/>
      </w:divBdr>
    </w:div>
    <w:div w:id="1689678746">
      <w:bodyDiv w:val="1"/>
      <w:marLeft w:val="0"/>
      <w:marRight w:val="0"/>
      <w:marTop w:val="0"/>
      <w:marBottom w:val="0"/>
      <w:divBdr>
        <w:top w:val="none" w:sz="0" w:space="0" w:color="auto"/>
        <w:left w:val="none" w:sz="0" w:space="0" w:color="auto"/>
        <w:bottom w:val="none" w:sz="0" w:space="0" w:color="auto"/>
        <w:right w:val="none" w:sz="0" w:space="0" w:color="auto"/>
      </w:divBdr>
    </w:div>
    <w:div w:id="1783959412">
      <w:bodyDiv w:val="1"/>
      <w:marLeft w:val="0"/>
      <w:marRight w:val="0"/>
      <w:marTop w:val="0"/>
      <w:marBottom w:val="0"/>
      <w:divBdr>
        <w:top w:val="none" w:sz="0" w:space="0" w:color="auto"/>
        <w:left w:val="none" w:sz="0" w:space="0" w:color="auto"/>
        <w:bottom w:val="none" w:sz="0" w:space="0" w:color="auto"/>
        <w:right w:val="none" w:sz="0" w:space="0" w:color="auto"/>
      </w:divBdr>
    </w:div>
    <w:div w:id="2008703712">
      <w:bodyDiv w:val="1"/>
      <w:marLeft w:val="0"/>
      <w:marRight w:val="0"/>
      <w:marTop w:val="0"/>
      <w:marBottom w:val="0"/>
      <w:divBdr>
        <w:top w:val="none" w:sz="0" w:space="0" w:color="auto"/>
        <w:left w:val="none" w:sz="0" w:space="0" w:color="auto"/>
        <w:bottom w:val="none" w:sz="0" w:space="0" w:color="auto"/>
        <w:right w:val="none" w:sz="0" w:space="0" w:color="auto"/>
      </w:divBdr>
    </w:div>
    <w:div w:id="2054496939">
      <w:bodyDiv w:val="1"/>
      <w:marLeft w:val="0"/>
      <w:marRight w:val="0"/>
      <w:marTop w:val="0"/>
      <w:marBottom w:val="0"/>
      <w:divBdr>
        <w:top w:val="none" w:sz="0" w:space="0" w:color="auto"/>
        <w:left w:val="none" w:sz="0" w:space="0" w:color="auto"/>
        <w:bottom w:val="none" w:sz="0" w:space="0" w:color="auto"/>
        <w:right w:val="none" w:sz="0" w:space="0" w:color="auto"/>
      </w:divBdr>
    </w:div>
    <w:div w:id="2079672254">
      <w:bodyDiv w:val="1"/>
      <w:marLeft w:val="0"/>
      <w:marRight w:val="0"/>
      <w:marTop w:val="0"/>
      <w:marBottom w:val="0"/>
      <w:divBdr>
        <w:top w:val="none" w:sz="0" w:space="0" w:color="auto"/>
        <w:left w:val="none" w:sz="0" w:space="0" w:color="auto"/>
        <w:bottom w:val="none" w:sz="0" w:space="0" w:color="auto"/>
        <w:right w:val="none" w:sz="0" w:space="0" w:color="auto"/>
      </w:divBdr>
    </w:div>
    <w:div w:id="21305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sumerpyramidsdx.cmie.com/kommon/bin/sr.php?kall=wtabnav&amp;tab=4000&amp;type=9100&amp;sid=910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alberg">
      <a:dk1>
        <a:sysClr val="windowText" lastClr="000000"/>
      </a:dk1>
      <a:lt1>
        <a:sysClr val="window" lastClr="FFFFFF"/>
      </a:lt1>
      <a:dk2>
        <a:srgbClr val="4857A5"/>
      </a:dk2>
      <a:lt2>
        <a:srgbClr val="AB845E"/>
      </a:lt2>
      <a:accent1>
        <a:srgbClr val="881944"/>
      </a:accent1>
      <a:accent2>
        <a:srgbClr val="018AAA"/>
      </a:accent2>
      <a:accent3>
        <a:srgbClr val="888281"/>
      </a:accent3>
      <a:accent4>
        <a:srgbClr val="F3B11D"/>
      </a:accent4>
      <a:accent5>
        <a:srgbClr val="F04951"/>
      </a:accent5>
      <a:accent6>
        <a:srgbClr val="0F7740"/>
      </a:accent6>
      <a:hlink>
        <a:srgbClr val="A0DBDD"/>
      </a:hlink>
      <a:folHlink>
        <a:srgbClr val="73C25F"/>
      </a:folHlink>
    </a:clrScheme>
    <a:fontScheme name="Custom 19">
      <a:majorFont>
        <a:latin typeface="Lato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AE3406-59DB-C344-8730-50FCBCFE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8140</Words>
  <Characters>46402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Petra Sonderegger</cp:lastModifiedBy>
  <cp:revision>4</cp:revision>
  <cp:lastPrinted>2019-11-24T05:22:00Z</cp:lastPrinted>
  <dcterms:created xsi:type="dcterms:W3CDTF">2019-11-24T05:22:00Z</dcterms:created>
  <dcterms:modified xsi:type="dcterms:W3CDTF">2019-11-24T10:24:00Z</dcterms:modified>
</cp:coreProperties>
</file>