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STATESET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44"/>
          <w:sz w:val="48"/>
          <w:szCs w:val="48"/>
        </w:rPr>
        <w:t xml:space="preserve">StateSet iCommerce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面向自主AI代理的嵌入式商务引擎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技术白皮书 v0.7.15 · 2026年3月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「iCommerce是商务领域的SQLite——正如SQLite使每个应用程序都能嵌入数据库，
iCommerce使每个AI代理都能嵌入一个完整的、加密安全的商务引擎。」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OR Apache-2.0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(rust-version 1.85)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MCP工具数量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语言绑定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10个平台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 iCommerce是一个面向自主AI代理设计的嵌入式、零依赖商务引擎。它基于Rust核心构建，为10个平台提供语言绑定，提供完整的商务和ERP功能面——订单、库存、支付、退货、订阅、制造等——作为AI代理可以安全调用的确定性本地可执行操作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该系统引入了三个新协议：用于代理间自主经济交易的代理对代理（A2A）商务协议、用于加密可验证支付意向的x402支付协议、以及用于防篡改事件同步的可验证加密签名（VES）v1.0规范。iCommerce通过模型上下文协议（MCP）暴露365+工具，由具有可解释拒绝的声明式策略引擎管理，并由涵盖所有层级的全面自动化测试支持。最终产物是一个可移植、可嵌入的商务运行时，使AI代理能够独立推理、决策和执行商务操作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愿景：iCommerce是「商务领域的SQLite」。正如SQLite使每个应用程序都能在本地嵌入数据库，iCommerce使每个AI代理都能嵌入一个完整的、加密安全的商务引擎。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引言</w:t>
      </w:r>
    </w:p>
    <w:p>
      <w:pPr>
        <w:pStyle w:val="Heading2"/>
      </w:pPr>
      <w:r>
        <w:rPr>
          <w:rFonts w:ascii="Arial" w:cs="Arial" w:eastAsia="Arial" w:hAnsi="Arial"/>
        </w:rPr>
        <w:t xml:space="preserve">1.1 从电子商务到智能商务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商务软件架构在过去二十年中结构上基本没有变化：一个中心化服务器暴露REST API，人工操作员通过仪表板管理状态，通过webhook管道和人工编排实现集成。这种架构假设每个决策点都有人参与。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自主AI代理的出现——能够推理、规划和执行多步骤操作的系统——需要一个根本不同的商务运行时。代理不需要仪表板；它们需要确定性API。它们不需要webhook管道；它们需要加密可验证的事件流。它们不需要人工集成；它们需要可以随身携带的便携式、可嵌入库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iCommerce（智能商务）是从人工操作的商务平台向代理原生商务引擎的范式转变。StateSet iCommerce是这一范式的参考实现。</w:t>
      </w:r>
    </w:p>
    <w:p>
      <w:pPr>
        <w:pStyle w:val="Heading2"/>
      </w:pPr>
      <w:r>
        <w:rPr>
          <w:rFonts w:ascii="Arial" w:cs="Arial" w:eastAsia="Arial" w:hAnsi="Arial"/>
        </w:rPr>
        <w:t xml:space="preserve">1.2 设计目标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可嵌入：在进程内运行，零外部依赖，如同数据库领域的SQLite。确定性：相同输入产生相同输出——安全用于自动化执行。可移植：从单一Rust核心跨10种语言绑定提供一致的API。代理原生：为代理对代理支付、托管、信誉和信任提供一等原语。可验证：每个状态变更都经过加密签名并可通过Merkle证明。安全：策略管理的执行，具有可解释的拒绝和审计追踪。</w:t>
      </w:r>
    </w:p>
    <w:p>
      <w:pPr>
        <w:pStyle w:val="Heading2"/>
      </w:pPr>
      <w:r>
        <w:rPr>
          <w:rFonts w:ascii="Arial" w:cs="Arial" w:eastAsia="Arial" w:hAnsi="Arial"/>
        </w:rPr>
        <w:t xml:space="preserve">1.3 贡献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本文的主要贡献包括：一个具有24种强类型实体ID、领域特定错误层次结构和每个聚合显式状态机的类型安全领域模型；A2A商务协议；x402支付协议；VES v1.0加密规范；具有拒绝优先语义的声明式策略引擎；以及365+商务操作的MCP工具面——已知最大的领域特定MCP服务器。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使用案例：生产环境中的代理</w:t>
      </w:r>
    </w:p>
    <w:p>
      <w:pPr>
        <w:pStyle w:val="Heading2"/>
      </w:pPr>
      <w:r>
        <w:rPr>
          <w:rFonts w:ascii="Arial" w:cs="Arial" w:eastAsia="Arial" w:hAnsi="Arial"/>
        </w:rPr>
        <w:t xml:space="preserve">2.1 自主供应链采购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库存代理通过心跳系统监控库存水平，检测到Widget-A已降至再订购阈值以下。无需人工干预，它：查询供应商注册表并识别三个合格的供应商代理；向每个供应商发出报价请求（RFQ），包含所需SKU、数量和交付窗口；接收竞争报价（RFQ协议将协商上限设为5轮以防止无限循环）；根据采购策略规则评估报价；接受最佳报价并创建采购订单和x402支付意向；资金以卖方履行条件托管；交货确认后自动调整库存，VES同步系统将事件传播给所有订阅代理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全程人工参与：零。整个流程在运营团队设定的策略护栏内执行，并通过加密签名的事件日志完全可审计。</w:t>
      </w:r>
    </w:p>
    <w:p>
      <w:pPr>
        <w:pStyle w:val="Heading2"/>
      </w:pPr>
      <w:r>
        <w:rPr>
          <w:rFonts w:ascii="Arial" w:cs="Arial" w:eastAsia="Arial" w:hAnsi="Arial"/>
        </w:rPr>
        <w:t xml:space="preserve">2.2 微支付API经济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研究代理需要来自市场数据代理的实时定价数据，每次API调用收费0.02美元。研究代理通过ERC-8004代理卡发现市场数据代理，调用x402Fetch()自动为每个HTTP请求附加签名支付头，市场数据代理验证支付签名、提供数据并返回收据。预算治理将研究代理每日上限设为5美元。日终时，x402序列器在单笔交易中批量结算所有累积的微意向。</w:t>
      </w:r>
    </w:p>
    <w:p>
      <w:pPr>
        <w:pStyle w:val="Heading2"/>
      </w:pPr>
      <w:r>
        <w:rPr>
          <w:rFonts w:ascii="Arial" w:cs="Arial" w:eastAsia="Arial" w:hAnsi="Arial"/>
        </w:rPr>
        <w:t xml:space="preserve">2.3 端到端订单履行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客户服务代理通过消息网关接收自然语言订单请求：创建购物车、应用促销折扣（由策略引擎验证）并计算税款；通过x402处理支付；履行代理通过SSE流接收订单事件，预留库存并创建发货；跟踪事件通过webhook通知实时传播给客户；如果客户发起退货，退货代理评估退货政策、创建RMA并发放退款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设计原则</w:t>
      </w:r>
    </w:p>
    <w:p>
      <w:pPr>
        <w:pStyle w:val="Heading2"/>
      </w:pPr>
      <w:r>
        <w:rPr>
          <w:rFonts w:ascii="Arial" w:cs="Arial" w:eastAsia="Arial" w:hAnsi="Arial"/>
        </w:rPr>
        <w:t xml:space="preserve">3.1 本地优先执行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iCommerce使用SQLite作为默认存储后端完全在进程内运行。无需网络调用、外部服务或容器。代理只需 npm install @stateset/embedded 即可在同一进程中运行完整的商务引擎。这消除了延迟，减少了故障模式，并实现了离线优先操作。</w:t>
      </w:r>
    </w:p>
    <w:p>
      <w:pPr>
        <w:pStyle w:val="Heading2"/>
      </w:pPr>
      <w:r>
        <w:rPr>
          <w:rFonts w:ascii="Arial" w:cs="Arial" w:eastAsia="Arial" w:hAnsi="Arial"/>
        </w:rPr>
        <w:t xml:space="preserve">3.2 确定性操作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商务引擎中的每个操作都是其输入和当前数据库状态的纯函数。没有隐藏的副作用，没有影响计算的后台定时器，没有非确定性行为。这个属性对AI代理至关重要：它意味着操作可以安全地重放、模拟和推理。</w:t>
      </w:r>
    </w:p>
    <w:p>
      <w:pPr>
        <w:pStyle w:val="Heading2"/>
      </w:pPr>
      <w:r>
        <w:rPr>
          <w:rFonts w:ascii="Arial" w:cs="Arial" w:eastAsia="Arial" w:hAnsi="Arial"/>
        </w:rPr>
        <w:t xml:space="preserve">3.3 通过新类型实现类型安全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Rust核心为所有实体标识符使用强类型新类型。OrderId不能被意外传递到需要CustomerId的地方——编译器会拒绝它。这防止了在字符串类型商务系统中常见的一整类错误。</w:t>
      </w:r>
    </w:p>
    <w:p>
      <w:pPr>
        <w:pStyle w:val="Heading2"/>
      </w:pPr>
      <w:r>
        <w:rPr>
          <w:rFonts w:ascii="Arial" w:cs="Arial" w:eastAsia="Arial" w:hAnsi="Arial"/>
        </w:rPr>
        <w:t xml:space="preserve">3.4 显式状态机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领域聚合（Order、Payment、Return、Subscription、WorkOrder）都有一个经过验证转换的显式状态机。can_transition_to()方法返回转换是否有效，is_terminal()指示是否可能有进一步的转换。无效转换产生类型化错误，而不是静默损坏状态。</w:t>
      </w:r>
    </w:p>
    <w:p>
      <w:pPr>
        <w:pStyle w:val="Heading2"/>
      </w:pPr>
      <w:r>
        <w:rPr>
          <w:rFonts w:ascii="Arial" w:cs="Arial" w:eastAsia="Arial" w:hAnsi="Arial"/>
        </w:rPr>
        <w:t xml:space="preserve">3.5 先预览后执行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所有写操作默认被阻止。必须显式提供--apply标志才能启用变更。没有它，每个操作都返回将要发生的预览——受影响记录数、状态变化——而不实际执行。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系统架构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系统分为三层组织：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Rust核心（21个crate）：纯领域模型、数据库抽象、加密原语、策略评估和定价计算——核心逻辑全部无I/O副作用。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语言绑定：通过FFI层将Rust核心暴露给10种编程语言，每种都有惯用API。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 + MCP服务器：面向代理的接口，通过模型上下文协议提供365+工具、18个专业化代理，以及A2A/x402协议实现。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管理仪表板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可视化管理界面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+ MCP服务器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18个代理配置 / 365+ MCP工具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代理接口层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语言绑定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Node/Python/Ruby/PHP/Go/Java/Kotlin/Swift/.NET/WASM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跨平台支持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Rust核心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21个Crate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原语、核心逻辑、加密、数据库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代理推理循环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理解LLM如何与iCommerce交互对于理解系统设计至关重要。每个代理操作都遵循一个结构化的推理循环，将LLM智能与确定性执行相结合：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LLM推理引擎接收自然语言意图或上下文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从365+工具中选择MCP工具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执行预览（试运行）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策略评估（允许/拒绝）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执行状态变更（如果使用--apply）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观察结果并推理下一步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签名并同步事件（VES v1.0）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为什么预览优先对LLM很重要：当代理在没有--apply的情况下调用工具时，它收到一个结构化预览，准确显示将要改变什么——受影响的记录数、前后状态和验证结果。LLM可以推理这个预览，确认它符合用户意图，然后才发出变更调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为什么可解释拒绝对LLM很重要：传统API返回不透明的错误代码（400 Bad Request），导致LLM在循环中重试相同的失败请求。iCommerce的策略引擎返回结构化拒绝，包含逐条件分解：哪个字段失败、期望值与实际值对比，以及人类可读的补救字符串。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Rust核心：领域模型与类型系统</w:t>
      </w:r>
    </w:p>
    <w:p>
      <w:pPr>
        <w:pStyle w:val="Heading2"/>
      </w:pPr>
      <w:r>
        <w:rPr>
          <w:rFonts w:ascii="Arial" w:cs="Arial" w:eastAsia="Arial" w:hAnsi="Arial"/>
        </w:rPr>
        <w:t xml:space="preserve">6.1 Crate组织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关键特征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stateset-primitives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强类型ID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零依赖，Copy + Eq + 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领域模型、仓库、错误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纯逻辑，无I/O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 v1.0操作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内存安全，密钥清零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基于trait的后端切换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stateset-embedded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统一API面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主要绑定目标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声明式规则引擎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YAML/JSON定义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stateset-a2a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代理对代理商务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拆分、托管、订阅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stateset-pricing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确定性定价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纯函数，WASM兼容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stateset-authz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授权、RBAC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无IO，框架无关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stateset-sync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事件溯源同步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发件箱、冲突解决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强类型实体标识符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所有实体标识符都是Uuid的新类型包装器，提供编译时安全性。OrderId不能传递到期望CustomerId的地方——编译器直接拒绝。共定义24种ID类型。</w:t>
      </w:r>
    </w:p>
    <w:p>
      <w:pPr>
        <w:pStyle w:val="Heading2"/>
      </w:pPr>
      <w:r>
        <w:rPr>
          <w:rFonts w:ascii="Arial" w:cs="Arial" w:eastAsia="Arial" w:hAnsi="Arial"/>
        </w:rPr>
        <w:t xml:space="preserve">6.3 状态机强制执行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每个领域聚合都有编译器强制的状态机。例如，OrderStatus定义了Pending→Confirmed→Processing→Shipped→Delivered的转换路径，同时允许从Pending或Confirmed到Cancelled的转换。</w:t>
      </w:r>
    </w:p>
    <w:p>
      <w:pPr>
        <w:pStyle w:val="Heading2"/>
      </w:pPr>
      <w:r>
        <w:rPr>
          <w:rFonts w:ascii="Arial" w:cs="Arial" w:eastAsia="Arial" w:hAnsi="Arial"/>
        </w:rPr>
        <w:t xml:space="preserve">6.4 错误架构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核心理念：每个错误必须告诉调用者下一步该做什么。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错误形成两级层次结构。每个CommerceError暴露分类方法：is_not_found()、is_validation()、is_conflict()、is_database()、is_retryable()。is_retryable()方法对代理逻辑至关重要——只有暂态故障返回true，防止代理无休止地重试永久性故障。</w:t>
      </w:r>
    </w:p>
    <w:p>
      <w:pPr>
        <w:pStyle w:val="Heading2"/>
      </w:pPr>
      <w:r>
        <w:rPr>
          <w:rFonts w:ascii="Arial" w:cs="Arial" w:eastAsia="Arial" w:hAnsi="Arial"/>
        </w:rPr>
        <w:t xml:space="preserve">6.5 领域模型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关键类型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Order, OrderItem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待处理→确认→已发货→已交付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PaymentTransaction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待处理→处理中→完成/失败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8种交易类型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Return, ReturnItem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已请求→已批准→已接收→已完成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Plan, Subscription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试用→活跃→暂停→取消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BOM, WorkOrder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草稿→活跃→进行中→完成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X402PaymentIntent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待处理→已提交→完成/失败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A2APayment, A2AQuote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完整生命周期管理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数据库层：本地优先持久化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iCommerce支持两种存储后端，通过统一的Database trait抽象：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SQLite（默认）：进程内，零配置，适用于嵌入式代理。通过r2d2连接池。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PostgreSQL：服务器级，通过sqlx异步，适用于并发访问的生产环境。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支持多个隔离级别的ACID事务。关键支付操作使用立即事务保证原子性。模式迁移通过校验和验证完整性。</w:t>
      </w:r>
    </w:p>
    <w:p>
      <w:pPr>
        <w:pStyle w:val="Heading1"/>
      </w:pPr>
      <w:r>
        <w:rPr>
          <w:rFonts w:ascii="Arial" w:cs="Arial" w:eastAsia="Arial" w:hAnsi="Arial"/>
        </w:rPr>
        <w:t xml:space="preserve">8. MCP工具面：365个确定性操作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MCP服务器是一个最小化编排器，从39个领域特定模块加载工具。每次调用都经过：工具调用→权限门→遥测跨度→处理器→响应信封。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核心商务（18个模块）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订单、库存、客户、产品、制造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A2A商务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直接支付、报价、托管、拆分、争议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x402协议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意向、签名、结算、随机数、账本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搜索与发现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向量语义搜索、代理卡注册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平台运营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同步、导入导出、连接器、财务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专业领域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欺诈、礼品卡、忠诚度、运输区域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区块链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跨链原生稳定币支付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代理运行时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知识加载、委托、策略评估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权限沙箱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允许的操作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none（无）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无操作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read（读取）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列表、获取、查询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preview（预览）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 + 显示将要发生的结果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write（写入）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创建、更新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delete（删除）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取消、作废、删除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admin（管理员）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批量操作、设置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代理对代理（A2A）商务协议</w:t>
      </w:r>
    </w:p>
    <w:p>
      <w:pPr>
        <w:pStyle w:val="Heading2"/>
      </w:pPr>
      <w:r>
        <w:rPr>
          <w:rFonts w:ascii="Arial" w:cs="Arial" w:eastAsia="Arial" w:hAnsi="Arial"/>
        </w:rPr>
        <w:t xml:space="preserve">9.1 协议原语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AI代理自主运行时，它们需要相互交易。A2A协议提供：直接支付（跨网络在代理钱包之间转移稳定币）；报价协商（RFQ，结构化价格协商上限5轮）；条件托管（资金通过可编程释放条件持有）；拆分支付（自动分配给多个接收方，防止舍入偏移）；争议解决（结构化解决、证据共享和自动升级）；定期订阅（周到年度计费，含试用、暂停和取消）。</w:t>
      </w:r>
    </w:p>
    <w:p>
      <w:pPr>
        <w:pStyle w:val="Heading2"/>
      </w:pPr>
      <w:r>
        <w:rPr>
          <w:rFonts w:ascii="Arial" w:cs="Arial" w:eastAsia="Arial" w:hAnsi="Arial"/>
        </w:rPr>
        <w:t xml:space="preserve">9.2 信誉、信任与Sybil抵抗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代理信誉通过交易跟踪（0-100分）。iCommerce通过以下方式防御Sybil攻击：ERC-8004身份绑定（代理卡需要加密钱包证明）；信誉引导（新代理信誉从0开始，高价值操作默认被阻止）；速率限制（引擎级别限制报价、争议和支付频率）；质押（路线图中，代理质押与交易量成比例的抵押品）。</w:t>
      </w:r>
    </w:p>
    <w:p>
      <w:pPr>
        <w:pStyle w:val="Heading2"/>
      </w:pPr>
      <w:r>
        <w:rPr>
          <w:rFonts w:ascii="Arial" w:cs="Arial" w:eastAsia="Arial" w:hAnsi="Arial"/>
        </w:rPr>
        <w:t xml:space="preserve">9.3 合规与反洗钱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策略引擎原生支持合规护栏：运营商可以将交易限制为持有已验证KYC/KYB凭证的代理、执行管辖区限制、按层级限制交易规模，并维护满足反洗钱报告义务的不可变审计追踪。这些策略是声明式的，无需代码更改即可更新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x402支付协议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x402协议使AI代理能够创建、签名和结算支付意向，而无需实时网络访问。意向在本地创建和签名，然后批量进行链上结算。</w:t>
      </w:r>
    </w:p>
    <w:p>
      <w:pPr>
        <w:pStyle w:val="Heading2"/>
      </w:pPr>
      <w:r>
        <w:rPr>
          <w:rFonts w:ascii="Arial" w:cs="Arial" w:eastAsia="Arial" w:hAnsi="Arial"/>
        </w:rPr>
        <w:t xml:space="preserve">10.1 Gas抽象与结算经济学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关键设计目标：代理永远不需要持有或管理原生Gas代币（ETH、SOL等）。链下累积：支付意向作为签名支付承诺在序列器的内存池中累积。批量结算：序列器使用Merkle承诺将数百个意向压缩成单笔链上交易。中继网络与ERC-4337：中继者使用账户抽象代表代理支付Gas。SET Chain上的原生结算：亚美分Gas成本，ssUSD作为原生Gas代币——由美国国债支持的收益型稳定币。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序列器无许可性：x402协议完全无许可。任何组织都可以运行自己的中继者、操作独立的序列器节点，或直接向结算链批量提交意向。</w:t>
      </w:r>
    </w:p>
    <w:p>
      <w:pPr>
        <w:pStyle w:val="Heading2"/>
      </w:pPr>
      <w:r>
        <w:rPr>
          <w:rFonts w:ascii="Arial" w:cs="Arial" w:eastAsia="Arial" w:hAnsi="Arial"/>
        </w:rPr>
        <w:t xml:space="preserve">10.2 支持的网络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结算模式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Chain 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ssUSD（收益型）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原生，快速最终性，亚美分Gas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通过中继者的SPL代币转账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ERC-4337 Paymaster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ERC-4337 Paymaster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ERC-4337 Paymaster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基于UTXO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Zcash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隐私保护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可验证加密签名（VES）v1.0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VES为防篡改事件同步提供加密基础。五个组件：JSON规范化（RFC 8785，跨语言字节级一致输出）；领域分离哈希（11个前缀防止跨协议签名重用）；Ed25519签名（超快椭圆曲线签名）；AES-256-GCM加密（使用X25519 ECDH密钥交换和自动密钥擦除zeroize）；Merkle树（O(log n)验证批量完整性）。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65个跨语言测试向量确保Rust和JavaScript实现之间的输出完全一致。</w:t>
      </w:r>
    </w:p>
    <w:p>
      <w:pPr>
        <w:pStyle w:val="Heading1"/>
      </w:pPr>
      <w:r>
        <w:rPr>
          <w:rFonts w:ascii="Arial" w:cs="Arial" w:eastAsia="Arial" w:hAnsi="Arial"/>
        </w:rPr>
        <w:t xml:space="preserve">12. 策略引擎：声明式安全护栏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策略引擎以YAML或JSON实现声明式业务规则——这是人类操作员维持对自主代理控制的主要机制。</w:t>
      </w:r>
    </w:p>
    <w:p>
      <w:pPr>
        <w:pStyle w:val="Heading2"/>
      </w:pPr>
      <w:r>
        <w:rPr>
          <w:rFonts w:ascii="Arial" w:cs="Arial" w:eastAsia="Arial" w:hAnsi="Arial"/>
        </w:rPr>
        <w:t xml:space="preserve">12.1 拒绝优先语义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当多条规则匹配时，任何拒绝操作都会覆盖所有允许操作。单条安全规则就能阻止一个操作，即使其他十条规则允许它。</w:t>
      </w:r>
    </w:p>
    <w:p>
      <w:pPr>
        <w:pStyle w:val="Heading2"/>
      </w:pPr>
      <w:r>
        <w:rPr>
          <w:rFonts w:ascii="Arial" w:cs="Arial" w:eastAsia="Arial" w:hAnsi="Arial"/>
        </w:rPr>
        <w:t xml:space="preserve">12.2 可解释拒绝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策略引擎返回结构化拒绝，包含逐条件分解：哪个字段失败（如order.total &gt; 10000）、期望值与实际值对比，以及人类可读的原因（「超过10,000美元的新客户订单需要人工审核」）和补救措施（「联系销售团队获取批准」）。补救字段明确设计为LLM可读——一个简短、可操作的指令，模型可以无歧义地解释以自我纠正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自主引擎：自治商务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自主引擎将六个子系统组合成统一编排器：调度器（Cron/间隔执行，含重试和指数退避）；工作流引擎（多步骤状态机工作流，含条件分支）；策略引擎（针对商务事件的实时规则评估）；Webhook服务器（来自外部系统的入站事件处理）；审批队列（多级人机回路审批链）；心跳监控（主动健康检查：低库存、废弃购物车、流失、逾期发票）。</w:t>
      </w:r>
    </w:p>
    <w:p>
      <w:pPr>
        <w:pStyle w:val="Heading1"/>
      </w:pPr>
      <w:r>
        <w:rPr>
          <w:rFonts w:ascii="Arial" w:cs="Arial" w:eastAsia="Arial" w:hAnsi="Arial"/>
        </w:rPr>
        <w:t xml:space="preserve">14. 多代理系统：专业化商务代理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iCommerce提供18种专业化代理配置，每种都有领域特定的系统提示词和精选工具集。语义路由器将自然语言请求映射到最合适的专业化代理。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工具访问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customer-service（客户服务）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全服务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所有365+工具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checkout（结账）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购物车 + 结账流程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购物车、运输、支付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inventory（库存）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库存、预测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returns（退货）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RMA处理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退货、退款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analytics（分析）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商业智能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分析、预测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payments（支付）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支付处理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支付、退款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manufacturing（制造）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BOM、工单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subscriptions（订阅）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定期计费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计划、账单周期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14.1 气隙商务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地优先SQLite执行与通过Ollama的本地LLM支持的结合解锁了气隙商务。企业可以在本地Llama、Mistral或DeepSeek模型旁运行iCommerce，允许自主代理处理高度敏感的ERP和财务数据，无需任何字节离开企业内网。对于受数据驻留法规约束的国防承包商、医疗组织和金融机构至关重要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同步架构：最终一致的多代理状态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当多个代理在相同的商务数据上操作时，它们的本地状态通过加密验证的发件箱模式收敛。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推送流程：本地变更→事件创建→Ed25519签名→发件箱排队→批量承诺→提交到序列器。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拉取流程：获取事件→验证签名→检查冲突→解决并应用。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最适用于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LAST_WRITE_WINS（最后写入胜出）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最近时间戳胜出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FIRST_WRITE_WINS（首次写入胜出）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最早时间戳胜出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订单（保留原始）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MERGE（合并）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字段级自动合并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库存更新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MANUAL（手动）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需要人工干预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高价值操作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CUSTOM（自定义）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用户定义解析器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领域特定逻辑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16. 可观测性与遥测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指标：无锁原子计数器跟踪A2A报价、x402意向、策略评估。追踪：OpenTelemetry导出用于Datadog/Grafana集成。审计日志：每次MCP工具调用都记录行为者、资源、操作、决策和微秒级时间戳。</w:t>
      </w:r>
    </w:p>
    <w:p>
      <w:pPr>
        <w:pStyle w:val="Heading1"/>
      </w:pPr>
      <w:r>
        <w:rPr>
          <w:rFonts w:ascii="Arial" w:cs="Arial" w:eastAsia="Arial" w:hAnsi="Arial"/>
        </w:rPr>
        <w:t xml:space="preserve">17. 安全架构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SQL注入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所有更新方法的列白名单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带私有IP黑名单的URL验证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原型污染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深度合并过滤__proto__、constructor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所有正则表达式使用非贪婪量词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预算耗尽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每代理消费上限，含结构化错误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Sybil攻击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ERC-8004身份绑定、信誉门控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密钥泄露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使用后对所有DEK/包装密钥执行zeroize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时序攻击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所有加密比较使用恒定时间相等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18. 语言绑定与可移植性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Rust核心通过稳定的C ABI暴露给10种语言。由于业务逻辑存在于Rust中，用Python编写的代理和用Node.js编写的代理可以安全共享同一底层SQLite商务状态，同时保持完美的行为一致性。</w:t>
      </w:r>
    </w:p>
    <w:p>
      <w:pPr>
        <w:pStyle w:val="Heading1"/>
      </w:pPr>
      <w:r>
        <w:rPr>
          <w:rFonts w:ascii="Arial" w:cs="Arial" w:eastAsia="Arial" w:hAnsi="Arial"/>
        </w:rPr>
        <w:t xml:space="preserve">19. 管理仪表板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使用Next.js 14、TypeScript和Tailwind CSS构建。功能包括订单管道的看板视图、图形化库存预测、图形化策略构建器和10通道消息网关仪表板。</w:t>
      </w:r>
    </w:p>
    <w:p>
      <w:pPr>
        <w:pStyle w:val="Heading1"/>
      </w:pPr>
      <w:r>
        <w:rPr>
          <w:rFonts w:ascii="Arial" w:cs="Arial" w:eastAsia="Arial" w:hAnsi="Arial"/>
        </w:rPr>
        <w:t xml:space="preserve">20. 测试与质量保证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iCommerce在所有层级维护超过10,000个自动化测试。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Rust核心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3,000+测试，0失败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--test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6,000+测试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管理界面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260+测试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自定义向量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65个加密兼容性测试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21. 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CRUD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个位数毫秒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策略评估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微秒级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Ed25519加密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原生微秒级，JS亚毫秒级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MCP服务器启动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亚秒级工具加载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Merkle批次生成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n)扩展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22. 相关工作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传统商务（Shopify/Medusa.js）：为人类UI构建，缺乏可嵌入的占用空间和确定性保证。无头API（Stripe/Saleor）：需要持续网络连接，缺乏A2A微交易原语。代理框架（LangChain/CrewAI）：提供编排但缺乏原生商务工具。区块链商务（OpenBazaar）：需要完整节点且用户体验差；iCommerce采用务实的混合方法。</w:t>
      </w:r>
    </w:p>
    <w:p>
      <w:pPr>
        <w:pStyle w:val="Heading1"/>
      </w:pPr>
      <w:r>
        <w:rPr>
          <w:rFonts w:ascii="Arial" w:cs="Arial" w:eastAsia="Arial" w:hAnsi="Arial"/>
        </w:rPr>
        <w:t xml:space="preserve">23. 路线图</w:t>
      </w:r>
    </w:p>
    <w:p>
      <w:pPr>
        <w:pStyle w:val="Heading2"/>
      </w:pPr>
      <w:r>
        <w:rPr>
          <w:rFonts w:ascii="Arial" w:cs="Arial" w:eastAsia="Arial" w:hAnsi="Arial"/>
        </w:rPr>
        <w:t xml:space="preserve">23.1 近期（v0.8 — v0.9）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代理质押：对Sybil攻击的经济成本。零知识隐私层：用于私密交易的零知识证明。跨链桥：SET Chain到EVM/Solana。策略市场：社区贡献的策略模板。</w:t>
      </w:r>
    </w:p>
    <w:p>
      <w:pPr>
        <w:pStyle w:val="Heading2"/>
      </w:pPr>
      <w:r>
        <w:rPr>
          <w:rFonts w:ascii="Arial" w:cs="Arial" w:eastAsia="Arial" w:hAnsi="Arial"/>
        </w:rPr>
        <w:t xml:space="preserve">23.2 中期（v1.0）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形式化验证：关键托管路径的机器检查证明。联合代理目录：去中心化ERC-8004发现。流式支付：每秒连续支付通道。</w:t>
      </w:r>
    </w:p>
    <w:p>
      <w:pPr>
        <w:pStyle w:val="Heading2"/>
      </w:pPr>
      <w:r>
        <w:rPr>
          <w:rFonts w:ascii="Arial" w:cs="Arial" w:eastAsia="Arial" w:hAnsi="Arial"/>
        </w:rPr>
        <w:t xml:space="preserve">23.3 长期愿景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一个全球代理经济体，数百万专业化AI代理在每一步都有加密保证的情况下自主进行商务活动。iCommerce是使每个代理经济主权的嵌入式运行时。</w:t>
      </w:r>
    </w:p>
    <w:p>
      <w:pPr>
        <w:pStyle w:val="Heading1"/>
      </w:pPr>
      <w:r>
        <w:rPr>
          <w:rFonts w:ascii="Arial" w:cs="Arial" w:eastAsia="Arial" w:hAnsi="Arial"/>
        </w:rPr>
        <w:t xml:space="preserve">24. 结论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 iCommerce代表了自主AI代理时代商务基础设施的根本性重新思考。通过提供可嵌入的、确定性的、加密可验证的商务引擎，以及原生代理对代理交易原语，它实现了一类新的应用程序，使AI代理能够独立管理整个商务运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从电子商务到智能商务的转变不仅仅是技术升级；它是范式转变。电子商务假设每个决策点都有人参与，智能商务假设有一个代理——并提供运行时、协议和安全保证使这一假设可行。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StateSet iCommerce是使自主商务成为可能的引擎。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2026-03-02T20:47:40.694Z</dcterms:created>
  <dcterms:modified xsi:type="dcterms:W3CDTF">2026-03-02T20:47:40.695Z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