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STATESET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d2d44"/>
          <w:sz w:val="48"/>
          <w:szCs w:val="48"/>
        </w:rPr>
        <w:t xml:space="preserve">SET Chain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面向可验证代理交易的商务优化Layer 2</w:t>
      </w:r>
    </w:p>
    <w:p>
      <w:pPr>
        <w:spacing w:after="1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Chain ID 84532001 · OP Stack v1.8.0 · 2026年3月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「商务正从人类操作的数据库转向代理操作的可验证账本。
SET Chain提供了这一转变所需的三个原语。」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共识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 Stack v1.8.0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出块时间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2秒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稳定币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ssUSD（国债支持，约5% APY）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结算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以太坊（L1）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摘要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SET Chain是一个专为商务构建的以太坊Layer 2网络。基于OP Stack构建，它继承了以太坊的安全保证，同时提供2秒出块时间、亚美分交易费用，以及自主商务所需三个原语的原生基础设施：可验证事件承诺（SetRegistry）、Gas抽象商户交易（SetPaymaster）和由美国国债支持的收益型稳定币（ssUSD）。</w:t>
      </w:r>
    </w:p>
    <w:p>
      <w:pPr>
        <w:pStyle w:val="Heading2"/>
      </w:pPr>
      <w:r>
        <w:rPr>
          <w:rFonts w:ascii="Arial" w:cs="Arial" w:eastAsia="Arial" w:hAnsi="Arial"/>
        </w:rPr>
        <w:t xml:space="preserve">StateSet三部曲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SET Chain是垂直集成技术栈的第三层：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第3层 - 应用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StateSet iCommerce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AI代理、MCP工具、A2A协议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第2层 - 排序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StateSet Sequencer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确定性排序、Merkle树、STARK合规证明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第1层 - 结算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Chain L2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SetRegistry、SetPaymaster、ssUSD、链上锚定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基础层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以太坊（L1 DA）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状态根、故障证明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每一层都可独立验证。没有任何层信任其上方的层。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为什么需要商务专用L2？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通用区块链作为商务基础设施存在三个不足：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Gas摩擦：客户不应考虑Gas。在以太坊主网上，单次commitBatch调用成本为$5-50。在SET Chain上，成本仅为分美分级别，SetPaymaster可以完全赞助。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验证缺口：传统商务依赖没有第三方验证机制的数据库断言。SET Chain通过锚定Merkle承诺弥合这一缺口。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结算错配：商务以美元运行。DeFi以波动性代币运行。SET Chain通过ssUSD弥合这一差距——一个从国债获得约5% APY的变基稳定币。</w:t>
      </w:r>
    </w:p>
    <w:p>
      <w:pPr>
        <w:pStyle w:val="Heading2"/>
      </w:pPr>
      <w:r>
        <w:rPr>
          <w:rFonts w:ascii="Arial" w:cs="Arial" w:eastAsia="Arial" w:hAnsi="Arial"/>
        </w:rPr>
        <w:t xml:space="preserve">1.1 为什么不部署在Base上？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答案是内嵌原语。在主权L2上，SetRegistry、SetPaymaster和ssUSD是网络级原语——不是在竞争区块空间。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能力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在Base/Arbitrum上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在SET Chain上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Gas定价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外部市场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针对商务调优（EIP-1559 denom=50）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Paymaster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必须竞标包含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内嵌，优先Gas通道（路线图）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出块时间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与所有dApp共享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2秒，针对订单延迟优化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MEV保护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无保证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阈值加密内存池（阶段2）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承诺吞吐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竞争Gas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保证容量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STARK证明存储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任意calldata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一等公民commitStarkProof()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架构</w:t>
      </w:r>
    </w:p>
    <w:p>
      <w:pPr>
        <w:pStyle w:val="Heading2"/>
      </w:pPr>
      <w:r>
        <w:rPr>
          <w:rFonts w:ascii="Arial" w:cs="Arial" w:eastAsia="Arial" w:hAnsi="Arial"/>
        </w:rPr>
        <w:t xml:space="preserve">2.1 OP Stack组件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op-geth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EVM执行引擎（Cancun兼容）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op-node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从L1数据派生的共识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op-batcher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将L2交易批次提交到L1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op-proposer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将L2状态根发布到L1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op-challenger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通过故障证明争议无效状态根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2.2 链参数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Chain 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84532001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唯一，派生自Base Sepolia + 1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出块时间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2秒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足够快的实时商务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Gas限制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30M gas/区块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标准OP Stack容量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EIP-1559分母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稳定、可预测的费用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L1结算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以太坊Sepolia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继承以太坊安全性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原生代币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标准Gas代币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2.3 数据可用性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SET Chain使用以太坊EIP-4844 Blob空间进行数据可用性，比Dencun之前的calldata成本降低10-100倍。我们有意避免第三方DA层（Celestia、EigenDA），以维护以太坊等效安全性。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DA策略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成本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安全性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EIP-4844 Blob（当前）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约$0.001-0.01/批次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以太坊级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 calldata（备选）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约$0.10-1.00/批次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以太坊级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替代DA（未使用）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亚美分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外部验证者集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SetRegistry：链上承诺存储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SetRegistry是整个StateSet商务系统的加密锚点。它存储Merkle承诺，使任何第三方能够验证特定商务事件是否包含在已提交的批次中。</w:t>
      </w:r>
    </w:p>
    <w:p>
      <w:pPr>
        <w:pStyle w:val="Heading2"/>
      </w:pPr>
      <w:r>
        <w:rPr>
          <w:rFonts w:ascii="Arial" w:cs="Arial" w:eastAsia="Arial" w:hAnsi="Arial"/>
        </w:rPr>
        <w:t xml:space="preserve">3.1 合约函数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函数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commitBatch()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提交包含Merkle根的批次承诺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commitStarkProof()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为批次提交STARK合规证明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commitBatchWithStarkProof()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原子批次+证明提交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verifyInclusion()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验证事件是否包含在已提交批次中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getLatestStateRoot()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获取租户/商店的当前状态根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setSequencerAuthorization()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授权或撤销序列器地址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setStrictMode()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启用/禁用状态链连续性验证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3.2 批次承诺结构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tchCommitment结构包含：eventsRoot（事件叶的Merkle根）、prevStateRoot（前一批次的状态根，用于链接）、newStateRoot（本批次的状态根）、sequenceStart（首个序列号）、sequenceEnd（末尾序列号）、eventCount（批次中的事件数）、timestamp（区块时间戳）、submitter（授权序列器地址）。</w:t>
      </w:r>
    </w:p>
    <w:p>
      <w:pPr>
        <w:pStyle w:val="Heading2"/>
      </w:pPr>
      <w:r>
        <w:rPr>
          <w:rFonts w:ascii="Arial" w:cs="Arial" w:eastAsia="Arial" w:hAnsi="Arial"/>
        </w:rPr>
        <w:t xml:space="preserve">3.3 状态链连续性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当严格模式启用时，每个批次的prevStateRoot必须匹配同一(tenantId, storeId)对的前一批次的newStateRoot。这防止了历史分叉。</w:t>
      </w:r>
    </w:p>
    <w:p>
      <w:pPr>
        <w:pStyle w:val="Heading2"/>
      </w:pPr>
      <w:r>
        <w:rPr>
          <w:rFonts w:ascii="Arial" w:cs="Arial" w:eastAsia="Arial" w:hAnsi="Arial"/>
        </w:rPr>
        <w:t xml:space="preserve">3.4 为什么是乐观Rollup + STARK证明？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SET Chain是一个在其状态中存储有效性证明（STARK）的乐观Rollup。乐观Rollup处理状态有效性（L2状态是否正确？）。STARK处理商务合规（事件是否满足业务规则？）。这是正交关注点。</w:t>
      </w:r>
    </w:p>
    <w:p>
      <w:pPr>
        <w:pStyle w:val="Heading2"/>
      </w:pPr>
      <w:r>
        <w:rPr>
          <w:rFonts w:ascii="Arial" w:cs="Arial" w:eastAsia="Arial" w:hAnsi="Arial"/>
        </w:rPr>
        <w:t xml:space="preserve">3.5 Gas经济学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2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Gas成本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按$0.001/gas计算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commitBatch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60-80k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&lt;$0.08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每批100+事件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commitStarkProof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40-50k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&lt;$0.05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仅STARK证明元数据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verifyInclusion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&lt;$0.001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Merkle证明验证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SetPaymaster：商务Gas抽象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商户不应考虑Gas。客户不应考虑Gas。SetPaymaster实现了ERC-4337 Gas赞助，具有为商务设计的分层控制。</w:t>
      </w:r>
    </w:p>
    <w:p>
      <w:pPr>
        <w:pStyle w:val="Heading2"/>
      </w:pPr>
      <w:r>
        <w:rPr>
          <w:rFonts w:ascii="Arial" w:cs="Arial" w:eastAsia="Arial" w:hAnsi="Arial"/>
        </w:rPr>
        <w:t xml:space="preserve">4.1 赞助层级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每笔交易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每日限额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每月限额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Starter（入门）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0.001 ETH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0.01 ETH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 ETH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Growth（成长）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0.005 ETH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0.05 ETH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 ETH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Enterprise（企业）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0.01 ETH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 ETH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ETH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4.2 操作类型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ORDER_CREATE（创建订单）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新订单下单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ORDER_UPDATE（更新订单）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订单状态转换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PAYMENT_PROCESS（处理支付）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支付执行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INVENTORY_UPDATE（更新库存）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库存调整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RETURN_PROCESS（处理退货）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退货处理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COMMITMENT_ANCHOR（锚定承诺）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批次承诺锚定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结果：在SET Chain上交易的AI代理可以专注于商务逻辑。Gas是平台成本，不是用户成本。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ssUSD：收益型商务稳定币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商务以美元运行。SET Chain提供一个从美国国债获得收益的原生美元计价稳定币。</w:t>
      </w:r>
    </w:p>
    <w:p>
      <w:pPr>
        <w:pStyle w:val="Heading2"/>
      </w:pPr>
      <w:r>
        <w:rPr>
          <w:rFonts w:ascii="Arial" w:cs="Arial" w:eastAsia="Arial" w:hAnsi="Arial"/>
        </w:rPr>
        <w:t xml:space="preserve">5.1 双代币架构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800"/>
        <w:gridCol w:w="2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收益机制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最适用于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ssUSD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变基型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余额每日自动增加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支付、持有、转账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wssUSD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非变基型（ERC-4626）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份额价格累积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DeFi、AMM、借贷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5.2 收益运作方式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ssUSD使用基于份额的会计模型：余额 = 份额 × 每份额NAV。公司在链下持有美国国债。指定的证明者向NAVOracle合约提交每日NAV报告。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第0天：余额 = 1,000.00 ssUSD（1,000份额 × $1.00 NAV）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第30天：余额 = 1,004.11 ssUSD（1,000份额 × $1.00411 NAV，约5% APY）</w:t>
      </w:r>
    </w:p>
    <w:p>
      <w:pPr>
        <w:pStyle w:val="Heading2"/>
      </w:pPr>
      <w:r>
        <w:rPr>
          <w:rFonts w:ascii="Arial" w:cs="Arial" w:eastAsia="Arial" w:hAnsi="Arial"/>
        </w:rPr>
        <w:t xml:space="preserve">5.3 合约架构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合约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TokenRegistry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已验证代币列表和抵押品白名单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NAVOracle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来自授权证明者的每日NAV证明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ssUSD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变基稳定币（铸造/销毁由TreasuryVault把关）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wssUSD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用于DeFi兼容性的ERC-4626包装器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TreasuryVault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抵押品管理、存取款、费用控制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5.4 合规与铸造权限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00"/>
        <w:gridCol w:w="30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权限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铸造（USDC→ssUSD）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仅KYC/KYB已验证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证券合规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赎回（ssUSD→USDC）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仅KYC/KYB已验证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反洗钱/反恐融资义务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转账（ssUSD→ssUSD）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无许可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链上代币转账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包装/解包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无许可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纯会计转换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DeFi集成（wssUSD）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无许可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可组合ERC-4626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5.5 安全机制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V过期：如果NAV在24小时内未更新，存款可能受限。赎回始终可用。暂停控制：存款和赎回可独立暂停以应对紧急情况。完全抵押：每个ssUSD都由1:1的链上USDC/USDT抵押品或链下国债持有支持。赎回延迟：T+1延迟防止银行挤兑场景。用户可以取消待处理的赎回。</w:t>
      </w:r>
    </w:p>
    <w:p>
      <w:pPr>
        <w:pStyle w:val="Heading2"/>
      </w:pPr>
      <w:r>
        <w:rPr>
          <w:rFonts w:ascii="Arial" w:cs="Arial" w:eastAsia="Arial" w:hAnsi="Arial"/>
        </w:rPr>
        <w:t xml:space="preserve">5.6 ssUSD收益流程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商户（KYC/KYB已验证）将USDC存入TreasuryVault（链上）。TreasuryVault铸造ssUSD份额并将USD发送给托管人（链下）。托管人购买美国国债（约5% APY）。每日收益通过NAVOracle（证明者）反馈回ssUSD，余额每日上行变基。协议费用：约0.20%的收益差（国债5.20%→ssUSD 5.00%）。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锚定服务：链下到链上的桥梁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一个Rust守护进程，将StateSet序列器（链下）桥接到SetRegistry（链上）。每60秒：获取来自序列器的待处理承诺；按最小事件数过滤（默认：每批100个事件）；使用指数退避重试将commitBatch()提交到SetRegistry；用链交易哈希通知序列器锚定成功。</w:t>
      </w:r>
    </w:p>
    <w:p>
      <w:pPr>
        <w:pStyle w:val="Heading2"/>
      </w:pPr>
      <w:r>
        <w:rPr>
          <w:rFonts w:ascii="Arial" w:cs="Arial" w:eastAsia="Arial" w:hAnsi="Arial"/>
        </w:rPr>
        <w:t xml:space="preserve">6.1 弹性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断路器状态机：关闭（正常）→打开（5次失败）→半开（60秒超时，需3次成功测试）。包括Gas价格限制、Prometheus指标和启动时的授权验证。</w:t>
      </w:r>
    </w:p>
    <w:p>
      <w:pPr>
        <w:pStyle w:val="Heading1"/>
      </w:pPr>
      <w:r>
        <w:rPr>
          <w:rFonts w:ascii="Arial" w:cs="Arial" w:eastAsia="Arial" w:hAnsi="Arial"/>
        </w:rPr>
        <w:t xml:space="preserve">7. 桥接与资产转移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SET Chain使用OP Stack标准桥进行L1↔L2资产转移。</w:t>
      </w:r>
    </w:p>
    <w:p>
      <w:pPr>
        <w:pStyle w:val="Heading2"/>
      </w:pPr>
      <w:r>
        <w:rPr>
          <w:rFonts w:ascii="Arial" w:cs="Arial" w:eastAsia="Arial" w:hAnsi="Arial"/>
        </w:rPr>
        <w:t xml:space="preserve">7.1 存款流程（L1→L2）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L1交易确认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约15秒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标准以太坊确认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L2存款中继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2-5分钟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资金出现在SET Chain上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7.2 提款流程（L2→L1）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在L2上发起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约2秒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一个L2区块确认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状态根发布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约1小时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L2状态发布到L1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证明提款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约15秒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向L1提交Merkle证明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挑战期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7天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争议安全窗口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约15秒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在以太坊上领取资金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MEV保护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商务交易特别容易受到MEV攻击。SET Chain实施分阶段策略：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2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机制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阶段1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私有序列器（隐式排序控制）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阶段2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阈值加密内存池（DKG密钥持有者）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已实现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阶段3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L1强制包含（绕过序列器）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计划中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阶段4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共享排序（Espresso、Astria）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未来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9. 安全模型</w:t>
      </w:r>
    </w:p>
    <w:p>
      <w:pPr>
        <w:pStyle w:val="Heading2"/>
      </w:pPr>
      <w:r>
        <w:rPr>
          <w:rFonts w:ascii="Arial" w:cs="Arial" w:eastAsia="Arial" w:hAnsi="Arial"/>
        </w:rPr>
        <w:t xml:space="preserve">9.1 信任边界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信任假设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缓解措施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序列器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排序可信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收据、监控、多序列器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L1结算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以太坊安全性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 Stack故障证明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SetRegistry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合约正确性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UUPS可升级、已审计、时间锁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SetPaymaster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消费限制执行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链上限制、运营商把关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ssUSD NAV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证明者诚实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每日证明、24小时过期检查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锚定服务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活性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断路器、健康监控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9.2 治理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多重签名（Safe）：M-of-N签名者用于治理提案。时间锁（48小时+）：执行前的审查窗口。暂停守护者：用于紧急暂停操作的单独密钥。序列器密钥轮换：通过时间锁在SetRegistry中进行。</w:t>
      </w:r>
    </w:p>
    <w:p>
      <w:pPr>
        <w:pStyle w:val="Heading1"/>
      </w:pPr>
      <w:r>
        <w:rPr>
          <w:rFonts w:ascii="Arial" w:cs="Arial" w:eastAsia="Arial" w:hAnsi="Arial"/>
        </w:rPr>
        <w:t xml:space="preserve">10. 监控与SLO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告警阈值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区块生产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每2秒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10秒间隙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L1批次提交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每几分钟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30分钟间隙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锚定延迟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5分钟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15分钟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L2安全头延迟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10个区块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100个区块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锚定服务健康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健康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断路器打开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11. 使用案例</w:t>
      </w:r>
    </w:p>
    <w:p>
      <w:pPr>
        <w:pStyle w:val="Heading2"/>
      </w:pPr>
      <w:r>
        <w:rPr>
          <w:rFonts w:ascii="Arial" w:cs="Arial" w:eastAsia="Arial" w:hAnsi="Arial"/>
        </w:rPr>
        <w:t xml:space="preserve">11.1 可验证订单履行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一个AI代理处理订单。事件被签名、排序、承诺到Merkle批次中，并锚定到SET Chain。物流合作伙伴通过链上Merkle证明验证订单的存在——无需访问商户数据库。</w:t>
      </w:r>
    </w:p>
    <w:p>
      <w:pPr>
        <w:pStyle w:val="Heading2"/>
      </w:pPr>
      <w:r>
        <w:rPr>
          <w:rFonts w:ascii="Arial" w:cs="Arial" w:eastAsia="Arial" w:hAnsi="Arial"/>
        </w:rPr>
        <w:t xml:space="preserve">11.2 贸易融资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一个借贷协议基于采购订单提供信贷。在放款前验证订单已在SetRegistry中锚定。STARK合规证明在不揭示订单详情的情况下确认税务合规。结算以ssUSD进行，在融资期间赚取收益。</w:t>
      </w:r>
    </w:p>
    <w:p>
      <w:pPr>
        <w:pStyle w:val="Heading2"/>
      </w:pPr>
      <w:r>
        <w:rPr>
          <w:rFonts w:ascii="Arial" w:cs="Arial" w:eastAsia="Arial" w:hAnsi="Arial"/>
        </w:rPr>
        <w:t xml:space="preserve">11.3 跨境海关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海关当局通过Merkle包含证明验证出口申报已提交并与货运匹配。零知识合规证明在不揭示商业条款的情况下确认监管合规。</w:t>
      </w:r>
    </w:p>
    <w:p>
      <w:pPr>
        <w:pStyle w:val="Heading2"/>
      </w:pPr>
      <w:r>
        <w:rPr>
          <w:rFonts w:ascii="Arial" w:cs="Arial" w:eastAsia="Arial" w:hAnsi="Arial"/>
        </w:rPr>
        <w:t xml:space="preserve">11.4 Gas赞助的代理商务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一个AI购物代理代表消费者操作。商户通过SetPaymaster赞助所有Gas。代理下单、处理支付、处理退货——消费者无需持有ETH。</w:t>
      </w:r>
    </w:p>
    <w:p>
      <w:pPr>
        <w:pStyle w:val="Heading1"/>
      </w:pPr>
      <w:r>
        <w:rPr>
          <w:rFonts w:ascii="Arial" w:cs="Arial" w:eastAsia="Arial" w:hAnsi="Arial"/>
        </w:rPr>
        <w:t xml:space="preserve">12. 去中心化路线图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00"/>
        <w:gridCol w:w="2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阶段0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单一序列器——具有显式授权的中心化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阶段1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备份序列器——在SetRegistry中授权辅助密钥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近期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阶段2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共享序列器集——启用P2P，需L1确认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中期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阶段3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无许可——链上治理、质押、惩罚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长期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13. 部署架构</w:t>
      </w:r>
    </w:p>
    <w:p>
      <w:pPr>
        <w:pStyle w:val="Heading2"/>
      </w:pPr>
      <w:r>
        <w:rPr>
          <w:rFonts w:ascii="Arial" w:cs="Arial" w:eastAsia="Arial" w:hAnsi="Arial"/>
        </w:rPr>
        <w:t xml:space="preserve">13.1 必需账户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账户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Admin（管理员）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合约所有权（应为时间锁）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Batcher（批处理器）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将L2交易批次提交到L1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Proposer（提议者）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将L2状态根发布到L1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Challenger（挑战者）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争议无效状态（故障证明）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Sequencer（序列器）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L2区块生产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14. 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智能合约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Solidity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0.8.20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合约框架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Foundry (Forge)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锚定服务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2021 Edition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异步运行时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完整特性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以太坊客户端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5.4+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L2执行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op-geth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 Stack v1.8.0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L2共识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op-node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 Stack v1.8.0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合约依赖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OpenZeppelin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最新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15. 商业模式与价值积累</w:t>
      </w:r>
    </w:p>
    <w:p>
      <w:pPr>
        <w:pStyle w:val="Heading2"/>
      </w:pPr>
      <w:r>
        <w:rPr>
          <w:rFonts w:ascii="Arial" w:cs="Arial" w:eastAsia="Arial" w:hAnsi="Arial"/>
        </w:rPr>
        <w:t xml:space="preserve">15.1 ssUSD收益差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组成部分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利率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示例（$10M TVL）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国债总收益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约5.20% APY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$520,000/年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ssUSD持有者净收益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约5.00% APY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$500,000/年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协议收入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约0.20%差价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$20,000/年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在$100M TVL时，仅收益差的协议收入就达到约$200,000/年。</w:t>
      </w:r>
    </w:p>
    <w:p>
      <w:pPr>
        <w:pStyle w:val="Heading2"/>
      </w:pPr>
      <w:r>
        <w:rPr>
          <w:rFonts w:ascii="Arial" w:cs="Arial" w:eastAsia="Arial" w:hAnsi="Arial"/>
        </w:rPr>
        <w:t xml:space="preserve">15.2 Paymaster溢价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基础Gas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商户收费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平台利润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约$0.001/笔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约$0.003/笔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约$0.002/笔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约$0.001/笔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约$0.002/笔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约$0.001/笔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约$0.001/笔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自定义SLA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协商确定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15.3 收入汇总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收入来源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机制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随之扩展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收益差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国债APY减去ssUSD APY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ssUSD TVL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Paymaster溢价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商户Gas加价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交易量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锚定费（未来）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按批次锚定收费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事件量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桥接费（未来）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跨链转账费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资产流量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价值随商务活动积累，而非代币投机。随着更多商户使用ssUSD结算、更多代理通过Paymaster交易，协议收入按比例增长。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16. 路线图</w:t>
      </w:r>
    </w:p>
    <w:p>
      <w:pPr>
        <w:pStyle w:val="Heading2"/>
      </w:pPr>
      <w:r>
        <w:rPr>
          <w:rFonts w:ascii="Arial" w:cs="Arial" w:eastAsia="Arial" w:hAnsi="Arial"/>
        </w:rPr>
        <w:t xml:space="preserve">近期（2026年Q1-Q2）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ssUSD主网上线：国债支持的稳定币实时收益。Paymaster生产层级：具有自定义限额的企业层级。桥接UI：Superbridge部署实现无缝L1↔L2转账。法币入金：MoonPay/Transak集成用于直接法币存款。</w:t>
      </w:r>
    </w:p>
    <w:p>
      <w:pPr>
        <w:pStyle w:val="Heading2"/>
      </w:pPr>
      <w:r>
        <w:rPr>
          <w:rFonts w:ascii="Arial" w:cs="Arial" w:eastAsia="Arial" w:hAnsi="Arial"/>
        </w:rPr>
        <w:t xml:space="preserve">中期（2026年Q3-Q4）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共享序列器集：阶段2去中心化，支持P2P。阈值加密内存池：MEV保护的商务交易。跨链桥扩展：到Base、Arbitrum、Solana的直接桥接。合规证明自动化：链上STARK验证。</w:t>
      </w:r>
    </w:p>
    <w:p>
      <w:pPr>
        <w:pStyle w:val="Heading2"/>
      </w:pPr>
      <w:r>
        <w:rPr>
          <w:rFonts w:ascii="Arial" w:cs="Arial" w:eastAsia="Arial" w:hAnsi="Arial"/>
        </w:rPr>
        <w:t xml:space="preserve">长期（2027+）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无许可排序：具有质押和惩罚的开放参与。形式化验证：SetRegistry和SetPaymaster的机器检查证明。ZK Rollup迁移：评估从乐观到ZK证明的过渡。多链ssUSD：在额外L2上的原生ssUSD部署。</w:t>
      </w:r>
    </w:p>
    <w:p>
      <w:pPr>
        <w:pStyle w:val="Heading1"/>
      </w:pPr>
      <w:r>
        <w:rPr>
          <w:rFonts w:ascii="Arial" w:cs="Arial" w:eastAsia="Arial" w:hAnsi="Arial"/>
        </w:rPr>
        <w:t xml:space="preserve">17. 结论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SET Chain是自主商务时代的基础设施。它不是一个通用区块链——它是一个商务专用结算层，在这里AI代理以加密保证进行交易，商户无Gas摩擦地运营，每笔交易都以稳定、合规的货币赚取收益。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论点很简单：商务正从人类操作的数据库转向代理操作的可验证账本。SET Chain提供了这一转变所需的三个原语——可验证承诺、Gas抽象和稳定结算——在具有2秒最终性的以太坊安全L2上。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d2d4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d3d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2026-03-02T20:53:03.026Z</dcterms:created>
  <dcterms:modified xsi:type="dcterms:W3CDTF">2026-03-02T20:53:03.027Z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