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56"/>
          <w:szCs w:val="56"/>
        </w:rPr>
        <w:t xml:space="preserve">STATESET</w:t>
      </w:r>
    </w:p>
    <w:p>
      <w:pPr>
        <w:spacing w:after="200"/>
        <w:jc w:val="center"/>
      </w:pPr>
      <w:r>
        <w:rPr>
          <w:rFonts w:ascii="Arial" w:cs="Arial" w:eastAsia="Arial" w:hAnsi="Arial"/>
          <w:b/>
          <w:bCs/>
          <w:color w:val="2d2d44"/>
          <w:sz w:val="48"/>
          <w:szCs w:val="48"/>
        </w:rPr>
        <w:t xml:space="preserve">SET Chain</w:t>
      </w:r>
    </w:p>
    <w:p>
      <w:pPr>
        <w:spacing w:after="100"/>
        <w:jc w:val="center"/>
      </w:pPr>
      <w:r>
        <w:rPr>
          <w:rFonts w:ascii="Arial" w:cs="Arial" w:eastAsia="Arial" w:hAnsi="Arial"/>
          <w:color w:val="555555"/>
          <w:sz w:val="32"/>
          <w:szCs w:val="32"/>
        </w:rPr>
        <w:t xml:space="preserve">検証可能なエージェントトランザクションのための
コマース最適化Layer 2</w:t>
      </w:r>
    </w:p>
    <w:p>
      <w:pPr>
        <w:spacing w:after="100"/>
        <w:jc w:val="center"/>
      </w:pPr>
      <w:r>
        <w:rPr>
          <w:rFonts w:ascii="Arial" w:cs="Arial" w:eastAsia="Arial" w:hAnsi="Arial"/>
          <w:color w:val="777777"/>
          <w:sz w:val="22"/>
          <w:szCs w:val="22"/>
        </w:rPr>
        <w:t xml:space="preserve">Chain ID 84532001 · OP Stack v1.8.0 · 2026年3月</w:t>
      </w:r>
    </w:p>
    <w:p>
      <w:pPr>
        <w:spacing w:after="400"/>
        <w:jc w:val="center"/>
      </w:pPr>
      <w:r>
        <w:rPr>
          <w:rFonts w:ascii="Arial" w:cs="Arial" w:eastAsia="Arial" w:hAnsi="Arial"/>
          <w:i/>
          <w:iCs/>
          <w:color w:val="666666"/>
          <w:sz w:val="22"/>
          <w:szCs w:val="22"/>
        </w:rPr>
        <w:t xml:space="preserve">「コマースは人間が操作するデータベースからエージェントが操作する検証可能な台帳へ移行している。
SET Chainはこの移行に必要な3つのプリミティブを提供する。」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パラメータ</w:t>
            </w:r>
          </w:p>
        </w:tc>
        <w:tc>
          <w:tcPr>
            <w:tcW w:type="dxa" w:w="6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値</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コンセンサス</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 Stack v1.8.0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ブロック時間</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2秒</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ステーブルコイン</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ssUSD（国債裏付け、約5% APY）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決済</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Ethereum（L1）</w:t>
            </w:r>
          </w:p>
        </w:tc>
      </w:tr>
    </w:tbl>
    <w:p>
      <w:r>
        <w:br w:type="page"/>
      </w:r>
    </w:p>
    <w:p>
      <w:pPr>
        <w:pStyle w:val="Heading1"/>
      </w:pPr>
      <w:r>
        <w:rPr>
          <w:rFonts w:ascii="Arial" w:cs="Arial" w:eastAsia="Arial" w:hAnsi="Arial"/>
        </w:rPr>
        <w:t xml:space="preserve">概要</w:t>
      </w:r>
    </w:p>
    <w:p>
      <w:pPr>
        <w:spacing w:after="120"/>
      </w:pPr>
      <w:r>
        <w:rPr>
          <w:rFonts w:ascii="Arial" w:cs="Arial" w:eastAsia="Arial" w:hAnsi="Arial"/>
          <w:sz w:val="22"/>
          <w:szCs w:val="22"/>
        </w:rPr>
        <w:t xml:space="preserve">SET Chainはコマース専用に構築されたEthereum Layer 2ネットワークです。OP Stack上に構築され、Ethereumのセキュリティ保証を継承しながら、2秒のブロック時間、サブセントのトランザクション手数料、および自律型コマースが必要とする3つのプリミティブのネイティブインフラストラクチャを提供します：検証可能なイベントコミットメント（SetRegistry）、Gas抽象化された商人トランザクション（SetPaymaster）、米国財務省証券に裏付けられた利回り付きステーブルコイン（ssUSD）。</w:t>
      </w:r>
    </w:p>
    <w:p>
      <w:pPr>
        <w:pStyle w:val="Heading2"/>
      </w:pPr>
      <w:r>
        <w:rPr>
          <w:rFonts w:ascii="Arial" w:cs="Arial" w:eastAsia="Arial" w:hAnsi="Arial"/>
        </w:rPr>
        <w:t xml:space="preserve">StateSetトリロジー</w:t>
      </w:r>
    </w:p>
    <w:p>
      <w:pPr>
        <w:spacing w:after="120"/>
      </w:pPr>
      <w:r>
        <w:rPr>
          <w:rFonts w:ascii="Arial" w:cs="Arial" w:eastAsia="Arial" w:hAnsi="Arial"/>
          <w:sz w:val="22"/>
          <w:szCs w:val="22"/>
        </w:rPr>
        <w:t xml:space="preserve">SET Chainは垂直統合スタックの第3レイヤーです：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160"/>
      </w:tblGrid>
      <w:tr>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レイヤー</w:t>
            </w:r>
          </w:p>
        </w:tc>
        <w:tc>
          <w:tcPr>
            <w:tcW w:type="dxa" w:w="27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名称</w:t>
            </w:r>
          </w:p>
        </w:tc>
        <w:tc>
          <w:tcPr>
            <w:tcW w:type="dxa" w:w="41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機能</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第3層 - アプリケーション</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StateSet iCommerce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AIエージェント、MCPツール、A2Aプロトコル</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第2層 - 順序付け</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StateSet Sequencer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確定的順序付け、Merkle木、STARKコンプライアンス証明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第1層 - 決済</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Chain L2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SetRegistry、SetPaymaster、ssUSD、オンチェーンアンカリング</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基盤レイヤー</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Ethereum（L1 DA）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状態ルート、フォルトプルーフ</w:t>
            </w:r>
          </w:p>
        </w:tc>
      </w:tr>
    </w:tbl>
    <w:p>
      <w:pPr>
        <w:spacing w:after="120"/>
      </w:pPr>
      <w:r>
        <w:rPr>
          <w:rFonts w:ascii="Arial" w:cs="Arial" w:eastAsia="Arial" w:hAnsi="Arial"/>
          <w:b/>
          <w:bCs/>
          <w:sz w:val="22"/>
          <w:szCs w:val="22"/>
        </w:rPr>
        <w:t xml:space="preserve">すべてのレイヤーが独立して検証可能です。いかなるレイヤーも上位レイヤーを信頼しません。</w:t>
      </w:r>
    </w:p>
    <w:p>
      <w:r>
        <w:br w:type="page"/>
      </w:r>
    </w:p>
    <w:p>
      <w:pPr>
        <w:pStyle w:val="Heading1"/>
      </w:pPr>
      <w:r>
        <w:rPr>
          <w:rFonts w:ascii="Arial" w:cs="Arial" w:eastAsia="Arial" w:hAnsi="Arial"/>
        </w:rPr>
        <w:t xml:space="preserve">1. なぜコマース専用L2が必要か？</w:t>
      </w:r>
    </w:p>
    <w:p>
      <w:pPr>
        <w:spacing w:after="120"/>
      </w:pPr>
      <w:r>
        <w:rPr>
          <w:rFonts w:ascii="Arial" w:cs="Arial" w:eastAsia="Arial" w:hAnsi="Arial"/>
          <w:sz w:val="22"/>
          <w:szCs w:val="22"/>
        </w:rPr>
        <w:t xml:space="preserve">汎用ブロックチェーンは3つの理由でコマースインフラストラクチャとして不適切です：</w:t>
      </w:r>
    </w:p>
    <w:p>
      <w:pPr>
        <w:spacing w:after="120"/>
      </w:pPr>
      <w:r>
        <w:rPr>
          <w:rFonts w:ascii="Arial" w:cs="Arial" w:eastAsia="Arial" w:hAnsi="Arial"/>
          <w:sz w:val="22"/>
          <w:szCs w:val="22"/>
        </w:rPr>
        <w:t xml:space="preserve">Gasの摩擦：顧客はGasについて考えるべきではありません。Ethereumメインネットでは単一のcommitBatch呼び出しに$5-50かかります。SET Chainではサブセントで、SetPaymasterが完全にスポンサーできます。</w:t>
      </w:r>
    </w:p>
    <w:p>
      <w:pPr>
        <w:spacing w:after="120"/>
      </w:pPr>
      <w:r>
        <w:rPr>
          <w:rFonts w:ascii="Arial" w:cs="Arial" w:eastAsia="Arial" w:hAnsi="Arial"/>
          <w:sz w:val="22"/>
          <w:szCs w:val="22"/>
        </w:rPr>
        <w:t xml:space="preserve">検証のギャップ：従来のコマースはサードパーティ検証メカニズムのないデータベースアサーションに依存しています。SET ChainはMerkleコミットメントのアンカリングでこのギャップを埋めます。</w:t>
      </w:r>
    </w:p>
    <w:p>
      <w:pPr>
        <w:spacing w:after="120"/>
      </w:pPr>
      <w:r>
        <w:rPr>
          <w:rFonts w:ascii="Arial" w:cs="Arial" w:eastAsia="Arial" w:hAnsi="Arial"/>
          <w:sz w:val="22"/>
          <w:szCs w:val="22"/>
        </w:rPr>
        <w:t xml:space="preserve">決済のミスマッチ：コマースはドルで運用されます。DeFiはボラティリティの高いトークンで運用されます。SET ChainはssUSDでこれを橋渡しします——国債から約5% APYを獲得するリベーシングステーブルコイン。</w:t>
      </w:r>
    </w:p>
    <w:p>
      <w:pPr>
        <w:pStyle w:val="Heading2"/>
      </w:pPr>
      <w:r>
        <w:rPr>
          <w:rFonts w:ascii="Arial" w:cs="Arial" w:eastAsia="Arial" w:hAnsi="Arial"/>
        </w:rPr>
        <w:t xml:space="preserve">1.1 なぜBaseにデプロイしないのか？</w:t>
      </w:r>
    </w:p>
    <w:p>
      <w:pPr>
        <w:spacing w:after="120"/>
      </w:pPr>
      <w:r>
        <w:rPr>
          <w:rFonts w:ascii="Arial" w:cs="Arial" w:eastAsia="Arial" w:hAnsi="Arial"/>
          <w:sz w:val="22"/>
          <w:szCs w:val="22"/>
        </w:rPr>
        <w:t xml:space="preserve">答えはエンシュラインドプリミティブです。ソブリンL2では、SetRegistry、SetPaymaster、ssUSDはネットワークレベルのプリミティブであり、ブロックスペースを競合しません。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機能</w:t>
            </w:r>
          </w:p>
        </w:tc>
        <w:tc>
          <w:tcPr>
            <w:tcW w:type="dxa" w:w="3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Base/Arbitrum上</w:t>
            </w:r>
          </w:p>
        </w:tc>
        <w:tc>
          <w:tcPr>
            <w:tcW w:type="dxa" w:w="36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SET Chain上</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Gas価格設定</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外部市場</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コマース向けに調整（EIP-1559 denom=50）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Paymaster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インクルージョンの入札が必要</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エンシュラインド、優先Gasレーン（ロードマップ）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ブロック時間</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全dAppと共有</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2秒、注文レイテンシに最適化</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MEV保護</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保証なし</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閾値暗号化メモリプール（フェーズ2）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コミットメントスループット</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Gasを競合</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保証された容量</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STARK証明ストレージ</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任意のcalldata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ファーストクラスcommitStarkProof()</w:t>
            </w:r>
          </w:p>
        </w:tc>
      </w:tr>
    </w:tbl>
    <w:p>
      <w:r>
        <w:br w:type="page"/>
      </w:r>
    </w:p>
    <w:p>
      <w:pPr>
        <w:pStyle w:val="Heading1"/>
      </w:pPr>
      <w:r>
        <w:rPr>
          <w:rFonts w:ascii="Arial" w:cs="Arial" w:eastAsia="Arial" w:hAnsi="Arial"/>
        </w:rPr>
        <w:t xml:space="preserve">2. アーキテクチャ</w:t>
      </w:r>
    </w:p>
    <w:p>
      <w:pPr>
        <w:pStyle w:val="Heading2"/>
      </w:pPr>
      <w:r>
        <w:rPr>
          <w:rFonts w:ascii="Arial" w:cs="Arial" w:eastAsia="Arial" w:hAnsi="Arial"/>
        </w:rPr>
        <w:t xml:space="preserve">2.1 OP Stackコンポーネント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コンポーネント</w:t>
            </w:r>
          </w:p>
        </w:tc>
        <w:tc>
          <w:tcPr>
            <w:tcW w:type="dxa" w:w="6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役割</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op-geth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EVM実行エンジン（Cancun互換）</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op-node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L1データからの導出によるコンセンサス</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op-batcher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L2トランザクションバッチをL1に送信</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op-proposer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L2状態ルートをL1に公開</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op-challenger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フォルトプルーフによる無効な状態ルートへの異議</w:t>
            </w:r>
          </w:p>
        </w:tc>
      </w:tr>
    </w:tbl>
    <w:p>
      <w:pPr>
        <w:pStyle w:val="Heading2"/>
      </w:pPr>
      <w:r>
        <w:rPr>
          <w:rFonts w:ascii="Arial" w:cs="Arial" w:eastAsia="Arial" w:hAnsi="Arial"/>
        </w:rPr>
        <w:t xml:space="preserve">2.2 チェーンパラメータ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パラメータ</w:t>
            </w:r>
          </w:p>
        </w:tc>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値</w:t>
            </w:r>
          </w:p>
        </w:tc>
        <w:tc>
          <w:tcPr>
            <w:tcW w:type="dxa" w:w="4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理由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 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84532001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一意、Base Sepolia + 1から導出</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ブロック時間</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2秒</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リアルタイムコマースに十分な速度</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Gas上限</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30M gas/ブロック</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標準OP Stack容量</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EIP-1559デノミネーター</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安定した予測可能な手数料</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L1決済</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 Sepolia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Ethereumのセキュリティを継承</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ネイティブトークン</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標準Gasトークン</w:t>
            </w:r>
          </w:p>
        </w:tc>
      </w:tr>
    </w:tbl>
    <w:p>
      <w:pPr>
        <w:pStyle w:val="Heading2"/>
      </w:pPr>
      <w:r>
        <w:rPr>
          <w:rFonts w:ascii="Arial" w:cs="Arial" w:eastAsia="Arial" w:hAnsi="Arial"/>
        </w:rPr>
        <w:t xml:space="preserve">2.3 データ可用性</w:t>
      </w:r>
    </w:p>
    <w:p>
      <w:pPr>
        <w:spacing w:after="120"/>
      </w:pPr>
      <w:r>
        <w:rPr>
          <w:rFonts w:ascii="Arial" w:cs="Arial" w:eastAsia="Arial" w:hAnsi="Arial"/>
          <w:sz w:val="22"/>
          <w:szCs w:val="22"/>
        </w:rPr>
        <w:t xml:space="preserve">SET Chainはデータ可用性にEthereum EIP-4844 Blobスペースを使用し、Dencun以前のcalldataと比較して10-100倍のコスト削減を実現します。Ethereum同等のセキュリティを維持するため、サードパーティDAレイヤー（Celestia、EigenDA）は意図的に回避しています。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DA戦略</w:t>
            </w:r>
          </w:p>
        </w:tc>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コスト</w:t>
            </w:r>
          </w:p>
        </w:tc>
        <w:tc>
          <w:tcPr>
            <w:tcW w:type="dxa" w:w="3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セキュリティ</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EIP-4844 Blob（現在）</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約$0.001-0.01/バッチ</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Ethereumグレード</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 calldata（フォールバック）</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約$0.10-1.00/バッチ</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Ethereumグレード</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代替DA（未使用）</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サブセント</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外部バリデーターセット</w:t>
            </w:r>
          </w:p>
        </w:tc>
      </w:tr>
    </w:tbl>
    <w:p>
      <w:r>
        <w:br w:type="page"/>
      </w:r>
    </w:p>
    <w:p>
      <w:pPr>
        <w:pStyle w:val="Heading1"/>
      </w:pPr>
      <w:r>
        <w:rPr>
          <w:rFonts w:ascii="Arial" w:cs="Arial" w:eastAsia="Arial" w:hAnsi="Arial"/>
        </w:rPr>
        <w:t xml:space="preserve">3. SetRegistry：オンチェーンコミットメントストレージ</w:t>
      </w:r>
    </w:p>
    <w:p>
      <w:pPr>
        <w:spacing w:after="120"/>
      </w:pPr>
      <w:r>
        <w:rPr>
          <w:rFonts w:ascii="Arial" w:cs="Arial" w:eastAsia="Arial" w:hAnsi="Arial"/>
          <w:sz w:val="22"/>
          <w:szCs w:val="22"/>
        </w:rPr>
        <w:t xml:space="preserve">SetRegistryはStateSetコマースシステム全体の暗号アンカーポイントです。Merkleコミットメントを保存し、任意のサードパーティが特定のコマースイベントがコミットされたバッチに含まれていることを検証できるようにします。</w:t>
      </w:r>
    </w:p>
    <w:p>
      <w:pPr>
        <w:pStyle w:val="Heading2"/>
      </w:pPr>
      <w:r>
        <w:rPr>
          <w:rFonts w:ascii="Arial" w:cs="Arial" w:eastAsia="Arial" w:hAnsi="Arial"/>
        </w:rPr>
        <w:t xml:space="preserve">3.1 コントラクト関数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関数</w:t>
            </w:r>
          </w:p>
        </w:tc>
        <w:tc>
          <w:tcPr>
            <w:tcW w:type="dxa" w:w="5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commitBatch()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Merkleルートを含むバッチコミットメントの送信</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commitStarkProof()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バッチのSTARKコンプライアンス証明の送信</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commitBatchWithStarkProof()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アトミックなバッチ＋証明送信</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verifyInclusion()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イベントがコミットされたバッチに含まれるか検証</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getLatestStateRoot()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テナント/ストアの現在の状態ルートを取得</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setSequencerAuthorization()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シーケンサーアドレスの認可または取消</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setStrictMode()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状態チェーン連続性検証の有効化/無効化</w:t>
            </w:r>
          </w:p>
        </w:tc>
      </w:tr>
    </w:tbl>
    <w:p>
      <w:pPr>
        <w:pStyle w:val="Heading2"/>
      </w:pPr>
      <w:r>
        <w:rPr>
          <w:rFonts w:ascii="Arial" w:cs="Arial" w:eastAsia="Arial" w:hAnsi="Arial"/>
        </w:rPr>
        <w:t xml:space="preserve">3.2 バッチコミットメント構造</w:t>
      </w:r>
    </w:p>
    <w:p>
      <w:pPr>
        <w:spacing w:after="120"/>
      </w:pPr>
      <w:r>
        <w:rPr>
          <w:rFonts w:ascii="Arial" w:cs="Arial" w:eastAsia="Arial" w:hAnsi="Arial"/>
          <w:sz w:val="22"/>
          <w:szCs w:val="22"/>
        </w:rPr>
        <w:t xml:space="preserve">BatchCommitment構造体は以下を含みます：eventsRoot（イベントリーフのMerkleルート）、prevStateRoot（前バッチの状態ルート、チェーン用）、newStateRoot（本バッチの状態ルート）、sequenceStart（最初のシーケンス番号）、sequenceEnd（最後のシーケンス番号）、eventCount（バッチ内イベント数）、timestamp（ブロックタイムスタンプ）、submitter（認可済みシーケンサーアドレス）。</w:t>
      </w:r>
    </w:p>
    <w:p>
      <w:pPr>
        <w:pStyle w:val="Heading2"/>
      </w:pPr>
      <w:r>
        <w:rPr>
          <w:rFonts w:ascii="Arial" w:cs="Arial" w:eastAsia="Arial" w:hAnsi="Arial"/>
        </w:rPr>
        <w:t xml:space="preserve">3.3 状態チェーン連続性</w:t>
      </w:r>
    </w:p>
    <w:p>
      <w:pPr>
        <w:spacing w:after="120"/>
      </w:pPr>
      <w:r>
        <w:rPr>
          <w:rFonts w:ascii="Arial" w:cs="Arial" w:eastAsia="Arial" w:hAnsi="Arial"/>
          <w:sz w:val="22"/>
          <w:szCs w:val="22"/>
        </w:rPr>
        <w:t xml:space="preserve">ストリクトモードが有効な場合、各バッチのprevStateRootは同一の(tenantId, storeId)ペアの前バッチのnewStateRootと一致しなければなりません。これにより履歴のフォークを防止します。</w:t>
      </w:r>
    </w:p>
    <w:p>
      <w:pPr>
        <w:pStyle w:val="Heading2"/>
      </w:pPr>
      <w:r>
        <w:rPr>
          <w:rFonts w:ascii="Arial" w:cs="Arial" w:eastAsia="Arial" w:hAnsi="Arial"/>
        </w:rPr>
        <w:t xml:space="preserve">3.4 なぜオプティミスティックロールアップ + STARK証明か？</w:t>
      </w:r>
    </w:p>
    <w:p>
      <w:pPr>
        <w:spacing w:after="120"/>
      </w:pPr>
      <w:r>
        <w:rPr>
          <w:rFonts w:ascii="Arial" w:cs="Arial" w:eastAsia="Arial" w:hAnsi="Arial"/>
          <w:sz w:val="22"/>
          <w:szCs w:val="22"/>
        </w:rPr>
        <w:t xml:space="preserve">SET Chainはその状態内に有効性証明（STARK）を保存するオプティミスティックロールアップです。オプティミスティックロールアップは状態の有効性を処理し（L2状態は正しいか？）、STARKはコマースコンプライアンスを処理します（イベントはビジネスルールを満たすか？）。これらは直交する関心事です。</w:t>
      </w:r>
    </w:p>
    <w:p>
      <w:pPr>
        <w:pStyle w:val="Heading2"/>
      </w:pPr>
      <w:r>
        <w:rPr>
          <w:rFonts w:ascii="Arial" w:cs="Arial" w:eastAsia="Arial" w:hAnsi="Arial"/>
        </w:rPr>
        <w:t xml:space="preserve">3.5 Gasエコノミクス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860"/>
      </w:tblGrid>
      <w:tr>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オペレーション</w:t>
            </w:r>
          </w:p>
        </w:tc>
        <w:tc>
          <w:tcPr>
            <w:tcW w:type="dxa" w:w="18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Gasコスト</w:t>
            </w:r>
          </w:p>
        </w:tc>
        <w:tc>
          <w:tcPr>
            <w:tcW w:type="dxa" w:w="2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$0.001/gasでの費用</w:t>
            </w:r>
          </w:p>
        </w:tc>
        <w:tc>
          <w:tcPr>
            <w:tcW w:type="dxa" w:w="28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備考</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commitBatch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60-80k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&lt;$0.08</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100+イベントのバッチあたり</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commitStarkProof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40-50k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&lt;$0.05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STARK証明メタデータのみ</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verifyInclusion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約200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&lt;$0.001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Merkle証明検証</w:t>
            </w:r>
          </w:p>
        </w:tc>
      </w:tr>
    </w:tbl>
    <w:p>
      <w:r>
        <w:br w:type="page"/>
      </w:r>
    </w:p>
    <w:p>
      <w:pPr>
        <w:pStyle w:val="Heading1"/>
      </w:pPr>
      <w:r>
        <w:rPr>
          <w:rFonts w:ascii="Arial" w:cs="Arial" w:eastAsia="Arial" w:hAnsi="Arial"/>
        </w:rPr>
        <w:t xml:space="preserve">4. SetPaymaster：コマースのためのGas抽象化</w:t>
      </w:r>
    </w:p>
    <w:p>
      <w:pPr>
        <w:spacing w:after="120"/>
      </w:pPr>
      <w:r>
        <w:rPr>
          <w:rFonts w:ascii="Arial" w:cs="Arial" w:eastAsia="Arial" w:hAnsi="Arial"/>
          <w:sz w:val="22"/>
          <w:szCs w:val="22"/>
        </w:rPr>
        <w:t xml:space="preserve">商人はGasについて考えるべきではありません。顧客はGasについて考えるべきではありません。SetPaymasterはコマース向けに設計された段階的制御を持つERC-4337 Gasスポンサーシップを実装します。</w:t>
      </w:r>
    </w:p>
    <w:p>
      <w:pPr>
        <w:pStyle w:val="Heading2"/>
      </w:pPr>
      <w:r>
        <w:rPr>
          <w:rFonts w:ascii="Arial" w:cs="Arial" w:eastAsia="Arial" w:hAnsi="Arial"/>
        </w:rPr>
        <w:t xml:space="preserve">4.1 スポンサーシップティア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ティア</w:t>
            </w:r>
          </w:p>
        </w:tc>
        <w:tc>
          <w:tcPr>
            <w:tcW w:type="dxa" w:w="2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トランザクションあたり</w:t>
            </w:r>
          </w:p>
        </w:tc>
        <w:tc>
          <w:tcPr>
            <w:tcW w:type="dxa" w:w="2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日次上限</w:t>
            </w:r>
          </w:p>
        </w:tc>
        <w:tc>
          <w:tcPr>
            <w:tcW w:type="dxa" w:w="27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月次上限</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Starter（スターター）</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0.001 ETH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 ETH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ETH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Growth（グロース）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0.005 ETH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 ETH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ETH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Enterprise（エンタープライズ）</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 ETH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ETH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ETH</w:t>
            </w:r>
          </w:p>
        </w:tc>
      </w:tr>
    </w:tbl>
    <w:p>
      <w:pPr>
        <w:pStyle w:val="Heading2"/>
      </w:pPr>
      <w:r>
        <w:rPr>
          <w:rFonts w:ascii="Arial" w:cs="Arial" w:eastAsia="Arial" w:hAnsi="Arial"/>
        </w:rPr>
        <w:t xml:space="preserve">4.2 オペレーションタイプ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オペレーション</w:t>
            </w:r>
          </w:p>
        </w:tc>
        <w:tc>
          <w:tcPr>
            <w:tcW w:type="dxa" w:w="48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ORDER_CREATE（注文作成）</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新規注文の発注</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ORDER_UPDATE（注文更新）</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注文ステータスの遷移</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PAYMENT_PROCESS（決済処理）</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決済の実行</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INVENTORY_UPDATE（在庫更新）</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在庫の調整</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RETURN_PROCESS（返品処理）</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返品の処理</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COMMITMENT_ANCHOR（コミットメントアンカー）</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バッチコミットメントのアンカリング</w:t>
            </w:r>
          </w:p>
        </w:tc>
      </w:tr>
    </w:tbl>
    <w:p>
      <w:pPr>
        <w:spacing w:after="120"/>
      </w:pPr>
      <w:r>
        <w:rPr>
          <w:rFonts w:ascii="Arial" w:cs="Arial" w:eastAsia="Arial" w:hAnsi="Arial"/>
          <w:sz w:val="22"/>
          <w:szCs w:val="22"/>
        </w:rPr>
        <w:t xml:space="preserve">結果：SET Chain上で取引するAIエージェントはコマースロジックに集中できます。Gasはプラットフォームコストであり、ユーザーコストではありません。</w:t>
      </w:r>
    </w:p>
    <w:p>
      <w:r>
        <w:br w:type="page"/>
      </w:r>
    </w:p>
    <w:p>
      <w:pPr>
        <w:pStyle w:val="Heading1"/>
      </w:pPr>
      <w:r>
        <w:rPr>
          <w:rFonts w:ascii="Arial" w:cs="Arial" w:eastAsia="Arial" w:hAnsi="Arial"/>
        </w:rPr>
        <w:t xml:space="preserve">5. ssUSD：利回り付きコマースステーブルコイン</w:t>
      </w:r>
    </w:p>
    <w:p>
      <w:pPr>
        <w:spacing w:after="120"/>
      </w:pPr>
      <w:r>
        <w:rPr>
          <w:rFonts w:ascii="Arial" w:cs="Arial" w:eastAsia="Arial" w:hAnsi="Arial"/>
          <w:sz w:val="22"/>
          <w:szCs w:val="22"/>
        </w:rPr>
        <w:t xml:space="preserve">コマースはドルで運用されます。SET Chainは米国財務省証券から利回りを獲得するネイティブのドル建てステーブルコインを提供します。</w:t>
      </w:r>
    </w:p>
    <w:p>
      <w:pPr>
        <w:pStyle w:val="Heading2"/>
      </w:pPr>
      <w:r>
        <w:rPr>
          <w:rFonts w:ascii="Arial" w:cs="Arial" w:eastAsia="Arial" w:hAnsi="Arial"/>
        </w:rPr>
        <w:t xml:space="preserve">5.1 デュアルトークンアーキテクチャ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トークン</w:t>
            </w:r>
          </w:p>
        </w:tc>
        <w:tc>
          <w:tcPr>
            <w:tcW w:type="dxa" w:w="2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タイプ</w:t>
            </w:r>
          </w:p>
        </w:tc>
        <w:tc>
          <w:tcPr>
            <w:tcW w:type="dxa" w:w="28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利回りメカニズム</w:t>
            </w:r>
          </w:p>
        </w:tc>
        <w:tc>
          <w:tcPr>
            <w:tcW w:type="dxa" w:w="28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最適な用途</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ssUSD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リベーシング型</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残高が毎日自動増加</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決済、保有、送金</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wssUSD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非リベーシング型（ERC-4626）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シェア価格が増加</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DeFi、AMM、レンディング</w:t>
            </w:r>
          </w:p>
        </w:tc>
      </w:tr>
    </w:tbl>
    <w:p>
      <w:pPr>
        <w:pStyle w:val="Heading2"/>
      </w:pPr>
      <w:r>
        <w:rPr>
          <w:rFonts w:ascii="Arial" w:cs="Arial" w:eastAsia="Arial" w:hAnsi="Arial"/>
        </w:rPr>
        <w:t xml:space="preserve">5.2 利回りの仕組み</w:t>
      </w:r>
    </w:p>
    <w:p>
      <w:pPr>
        <w:spacing w:after="120"/>
      </w:pPr>
      <w:r>
        <w:rPr>
          <w:rFonts w:ascii="Arial" w:cs="Arial" w:eastAsia="Arial" w:hAnsi="Arial"/>
          <w:sz w:val="22"/>
          <w:szCs w:val="22"/>
        </w:rPr>
        <w:t xml:space="preserve">ssUSDはシェアベースの会計モデルを使用：残高 = シェア × シェアあたりNAV。会社はオフチェーンで米国財務省証券を保有します。指定されたアテスターがNAVOracleコントラクトに毎日のNAVレポートを送信します。</w:t>
      </w:r>
    </w:p>
    <w:p>
      <w:pPr>
        <w:spacing w:after="120"/>
      </w:pPr>
      <w:r>
        <w:rPr>
          <w:rFonts w:ascii="Arial" w:cs="Arial" w:eastAsia="Arial" w:hAnsi="Arial"/>
          <w:sz w:val="22"/>
          <w:szCs w:val="22"/>
        </w:rPr>
        <w:t xml:space="preserve">0日目：残高 = 1,000.00 ssUSD（1,000シェア × $1.00 NAV）</w:t>
      </w:r>
    </w:p>
    <w:p>
      <w:pPr>
        <w:spacing w:after="120"/>
      </w:pPr>
      <w:r>
        <w:rPr>
          <w:rFonts w:ascii="Arial" w:cs="Arial" w:eastAsia="Arial" w:hAnsi="Arial"/>
          <w:sz w:val="22"/>
          <w:szCs w:val="22"/>
        </w:rPr>
        <w:t xml:space="preserve">30日目：残高 = 1,004.11 ssUSD（1,000シェア × $1.00411 NAV、約5% APY）</w:t>
      </w:r>
    </w:p>
    <w:p>
      <w:pPr>
        <w:pStyle w:val="Heading2"/>
      </w:pPr>
      <w:r>
        <w:rPr>
          <w:rFonts w:ascii="Arial" w:cs="Arial" w:eastAsia="Arial" w:hAnsi="Arial"/>
        </w:rPr>
        <w:t xml:space="preserve">5.3 コントラクトアーキテクチャ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コントラクト</w:t>
            </w:r>
          </w:p>
        </w:tc>
        <w:tc>
          <w:tcPr>
            <w:tcW w:type="dxa" w:w="6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TokenRegistry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検証済みトークンリストと担保ホワイトリスト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NAVOracle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認可されたアテスターからの毎日のNAV証明</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ssUSD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リベーシングステーブルコイン（ミント/バーンはTreasuryVaultで管理）</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wssUSD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DeFi互換性のためのERC-4626ラッパー</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TreasuryVault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担保管理、入出金、手数料制御</w:t>
            </w:r>
          </w:p>
        </w:tc>
      </w:tr>
    </w:tbl>
    <w:p>
      <w:pPr>
        <w:pStyle w:val="Heading2"/>
      </w:pPr>
      <w:r>
        <w:rPr>
          <w:rFonts w:ascii="Arial" w:cs="Arial" w:eastAsia="Arial" w:hAnsi="Arial"/>
        </w:rPr>
        <w:t xml:space="preserve">5.4 コンプライアンスとミントアクセス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オペレーション</w:t>
            </w:r>
          </w:p>
        </w:tc>
        <w:tc>
          <w:tcPr>
            <w:tcW w:type="dxa" w:w="28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アクセス</w:t>
            </w:r>
          </w:p>
        </w:tc>
        <w:tc>
          <w:tcPr>
            <w:tcW w:type="dxa" w:w="30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理由</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ミント（USDC→ssUSD）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KYC/KYB検証済みのみ</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証券コンプライアンス</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償還（ssUSD→USDC）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KYC/KYB検証済みのみ</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AML/CTF義務</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送金（ssUSD→ssUSD）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パーミッションレス</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オンチェーントークン送金</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ラップ/アンラップ</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パーミッションレス</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純粋な会計変換</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DeFi統合（wssUSD）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パーミッションレス</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コンポーザブルERC-4626</w:t>
            </w:r>
          </w:p>
        </w:tc>
      </w:tr>
    </w:tbl>
    <w:p>
      <w:r>
        <w:br w:type="page"/>
      </w:r>
    </w:p>
    <w:p>
      <w:pPr>
        <w:pStyle w:val="Heading2"/>
      </w:pPr>
      <w:r>
        <w:rPr>
          <w:rFonts w:ascii="Arial" w:cs="Arial" w:eastAsia="Arial" w:hAnsi="Arial"/>
        </w:rPr>
        <w:t xml:space="preserve">5.5 安全メカニズム</w:t>
      </w:r>
    </w:p>
    <w:p>
      <w:pPr>
        <w:spacing w:after="120"/>
      </w:pPr>
      <w:r>
        <w:rPr>
          <w:rFonts w:ascii="Arial" w:cs="Arial" w:eastAsia="Arial" w:hAnsi="Arial"/>
          <w:sz w:val="22"/>
          <w:szCs w:val="22"/>
        </w:rPr>
        <w:t xml:space="preserve">NAV陳腐化：NAVが24時間以内に更新されない場合、入金が制限される可能性があります。償還は常に機能します。一時停止制御：入金と償還は緊急対応のために個別に一時停止できます。完全担保化：すべてのssUSDはオンチェーンUSDC/USDT担保またはオフチェーン国債保有で1:1で裏付けられています。償還遅延：T+1遅延がバンクラン（取り付け騒ぎ）シナリオを防止。ユーザーは保留中の償還をキャンセルできます。</w:t>
      </w:r>
    </w:p>
    <w:p>
      <w:pPr>
        <w:pStyle w:val="Heading2"/>
      </w:pPr>
      <w:r>
        <w:rPr>
          <w:rFonts w:ascii="Arial" w:cs="Arial" w:eastAsia="Arial" w:hAnsi="Arial"/>
        </w:rPr>
        <w:t xml:space="preserve">5.6 ssUSD利回りフロー</w:t>
      </w:r>
    </w:p>
    <w:p>
      <w:pPr>
        <w:spacing w:after="120"/>
      </w:pPr>
      <w:r>
        <w:rPr>
          <w:rFonts w:ascii="Arial" w:cs="Arial" w:eastAsia="Arial" w:hAnsi="Arial"/>
          <w:sz w:val="22"/>
          <w:szCs w:val="22"/>
        </w:rPr>
        <w:t xml:space="preserve">商人（KYC/KYB検証済み）がUSDCをTreasuryVault（オンチェーン）に入金。TreasuryVaultがssUSDシェアをミントしUSDをカストディアン（オフチェーン）に送信。カストディアンが米国財務省証券を購入（約5% APY）。毎日の利回りがNAVOracle（アテスター）を通じてssUSDにフィードバックされ、残高が毎日上方にリベースします。プロトコル手数料：利回りの約0.20%のスプレッド（国債5.20%→ssUSD 5.00%）。</w:t>
      </w:r>
    </w:p>
    <w:p>
      <w:r>
        <w:br w:type="page"/>
      </w:r>
    </w:p>
    <w:p>
      <w:pPr>
        <w:pStyle w:val="Heading1"/>
      </w:pPr>
      <w:r>
        <w:rPr>
          <w:rFonts w:ascii="Arial" w:cs="Arial" w:eastAsia="Arial" w:hAnsi="Arial"/>
        </w:rPr>
        <w:t xml:space="preserve">6. アンカーサービス：オフチェーンからオンチェーンへのブリッジ</w:t>
      </w:r>
    </w:p>
    <w:p>
      <w:pPr>
        <w:spacing w:after="120"/>
      </w:pPr>
      <w:r>
        <w:rPr>
          <w:rFonts w:ascii="Arial" w:cs="Arial" w:eastAsia="Arial" w:hAnsi="Arial"/>
          <w:sz w:val="22"/>
          <w:szCs w:val="22"/>
        </w:rPr>
        <w:t xml:space="preserve">StateSetシーケンサー（オフチェーン）をSetRegistry（オンチェーン）にブリッジするRustデーモンです。60秒ごとに：シーケンサーから保留中のコミットメントを取得；最小イベント数でフィルタリング（デフォルト：バッチあたり100イベント）；エクスポネンシャルバックオフリトライでSetRegistryにcommitBatch()を送信；チェーントランザクションハッシュでシーケンサーにアンカリング成功を通知。</w:t>
      </w:r>
    </w:p>
    <w:p>
      <w:pPr>
        <w:pStyle w:val="Heading2"/>
      </w:pPr>
      <w:r>
        <w:rPr>
          <w:rFonts w:ascii="Arial" w:cs="Arial" w:eastAsia="Arial" w:hAnsi="Arial"/>
        </w:rPr>
        <w:t xml:space="preserve">6.1 レジリエンス</w:t>
      </w:r>
    </w:p>
    <w:p>
      <w:pPr>
        <w:spacing w:after="120"/>
      </w:pPr>
      <w:r>
        <w:rPr>
          <w:rFonts w:ascii="Arial" w:cs="Arial" w:eastAsia="Arial" w:hAnsi="Arial"/>
          <w:sz w:val="22"/>
          <w:szCs w:val="22"/>
        </w:rPr>
        <w:t xml:space="preserve">サーキットブレーカーステートマシン：クローズ（正常）→オープン（5回失敗）→ハーフオープン（60秒タイムアウト、3回の成功テスト）。Gas価格上限、Prometheusメトリクス、起動時の認可検証を含みます。</w:t>
      </w:r>
    </w:p>
    <w:p>
      <w:pPr>
        <w:pStyle w:val="Heading1"/>
      </w:pPr>
      <w:r>
        <w:rPr>
          <w:rFonts w:ascii="Arial" w:cs="Arial" w:eastAsia="Arial" w:hAnsi="Arial"/>
        </w:rPr>
        <w:t xml:space="preserve">7. ブリッジと資産移転</w:t>
      </w:r>
    </w:p>
    <w:p>
      <w:pPr>
        <w:spacing w:after="120"/>
      </w:pPr>
      <w:r>
        <w:rPr>
          <w:rFonts w:ascii="Arial" w:cs="Arial" w:eastAsia="Arial" w:hAnsi="Arial"/>
          <w:sz w:val="22"/>
          <w:szCs w:val="22"/>
        </w:rPr>
        <w:t xml:space="preserve">SET ChainはOP Stack標準ブリッジをL1↔L2資産移転に使用します。</w:t>
      </w:r>
    </w:p>
    <w:p>
      <w:pPr>
        <w:pStyle w:val="Heading2"/>
      </w:pPr>
      <w:r>
        <w:rPr>
          <w:rFonts w:ascii="Arial" w:cs="Arial" w:eastAsia="Arial" w:hAnsi="Arial"/>
        </w:rPr>
        <w:t xml:space="preserve">7.1 入金フロー（L1→L2）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ステップ</w:t>
            </w:r>
          </w:p>
        </w:tc>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時間</w:t>
            </w:r>
          </w:p>
        </w:tc>
        <w:tc>
          <w:tcPr>
            <w:tcW w:type="dxa" w:w="38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L1トランザクション確認</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約15秒</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標準Ethereum確認</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L2デポジットリレー</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2-5分</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Chainに資金が表示</w:t>
            </w:r>
          </w:p>
        </w:tc>
      </w:tr>
    </w:tbl>
    <w:p>
      <w:pPr>
        <w:pStyle w:val="Heading2"/>
      </w:pPr>
      <w:r>
        <w:rPr>
          <w:rFonts w:ascii="Arial" w:cs="Arial" w:eastAsia="Arial" w:hAnsi="Arial"/>
        </w:rPr>
        <w:t xml:space="preserve">7.2 出金フロー（L2→L1）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ステップ</w:t>
            </w:r>
          </w:p>
        </w:tc>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時間</w:t>
            </w:r>
          </w:p>
        </w:tc>
        <w:tc>
          <w:tcPr>
            <w:tcW w:type="dxa" w:w="38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L2で開始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約2秒</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L2ブロック確認</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状態ルート公開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約1時間</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L2状態をL1に公開</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出金証明</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約15秒</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L1にMerkle証明を送信</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チャレンジ期間</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7日</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紛争のためのセキュリティウィンドウ</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ファイナライズ</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約15秒</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Ethereumで資金を請求</w:t>
            </w:r>
          </w:p>
        </w:tc>
      </w:tr>
    </w:tbl>
    <w:p>
      <w:r>
        <w:br w:type="page"/>
      </w:r>
    </w:p>
    <w:p>
      <w:pPr>
        <w:pStyle w:val="Heading1"/>
      </w:pPr>
      <w:r>
        <w:rPr>
          <w:rFonts w:ascii="Arial" w:cs="Arial" w:eastAsia="Arial" w:hAnsi="Arial"/>
        </w:rPr>
        <w:t xml:space="preserve">8. MEV保護</w:t>
      </w:r>
    </w:p>
    <w:p>
      <w:pPr>
        <w:spacing w:after="120"/>
      </w:pPr>
      <w:r>
        <w:rPr>
          <w:rFonts w:ascii="Arial" w:cs="Arial" w:eastAsia="Arial" w:hAnsi="Arial"/>
          <w:sz w:val="22"/>
          <w:szCs w:val="22"/>
        </w:rPr>
        <w:t xml:space="preserve">コマーストランザクションはMEVに対して特に脆弱です。SET Chainはフェーズ別戦略を実施します：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c>
          <w:tcPr>
            <w:tcW w:type="dxa" w:w="1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フェーズ</w:t>
            </w:r>
          </w:p>
        </w:tc>
        <w:tc>
          <w:tcPr>
            <w:tcW w:type="dxa" w:w="5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メカニズム</w:t>
            </w:r>
          </w:p>
        </w:tc>
        <w:tc>
          <w:tcPr>
            <w:tcW w:type="dxa" w:w="28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ステータス</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フェーズ1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プライベートシーケンサー（暗黙的順序制御）</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現在</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フェーズ2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閾値暗号化メモリプール（DKGキーパー）</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実装済み</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フェーズ3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L1強制インクルージョン（シーケンサーバイパス）</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計画中</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フェーズ4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共有シーケンシング（Espresso、Astria）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将来</w:t>
            </w:r>
          </w:p>
        </w:tc>
      </w:tr>
    </w:tbl>
    <w:p>
      <w:pPr>
        <w:pStyle w:val="Heading1"/>
      </w:pPr>
      <w:r>
        <w:rPr>
          <w:rFonts w:ascii="Arial" w:cs="Arial" w:eastAsia="Arial" w:hAnsi="Arial"/>
        </w:rPr>
        <w:t xml:space="preserve">9. セキュリティモデル</w:t>
      </w:r>
    </w:p>
    <w:p>
      <w:pPr>
        <w:pStyle w:val="Heading2"/>
      </w:pPr>
      <w:r>
        <w:rPr>
          <w:rFonts w:ascii="Arial" w:cs="Arial" w:eastAsia="Arial" w:hAnsi="Arial"/>
        </w:rPr>
        <w:t xml:space="preserve">9.1 信頼境界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コンポーネント</w:t>
            </w:r>
          </w:p>
        </w:tc>
        <w:tc>
          <w:tcPr>
            <w:tcW w:type="dxa" w:w="28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信頼の前提</w:t>
            </w:r>
          </w:p>
        </w:tc>
        <w:tc>
          <w:tcPr>
            <w:tcW w:type="dxa" w:w="4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緩和策</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シーケンサー</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順序付けの信頼性</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レシート、モニタリング、マルチシーケンサー</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L1決済</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Ethereumセキュリティ</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 Stackフォルトプルーフ</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SetRegistry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コントラクトの正確性</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UUPSアップグレード可能、監査済み、タイムロック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SetPaymaster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支出制限の執行</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オンチェーン制限、オペレーターゲーティング</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ssUSD NAV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アテスターの誠実性</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毎日のアテステーション、24時間陳腐化チェック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アンカーサービス</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ライブネス</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サーキットブレーカー、ヘルスモニタリング</w:t>
            </w:r>
          </w:p>
        </w:tc>
      </w:tr>
    </w:tbl>
    <w:p>
      <w:pPr>
        <w:pStyle w:val="Heading2"/>
      </w:pPr>
      <w:r>
        <w:rPr>
          <w:rFonts w:ascii="Arial" w:cs="Arial" w:eastAsia="Arial" w:hAnsi="Arial"/>
        </w:rPr>
        <w:t xml:space="preserve">9.2 ガバナンス</w:t>
      </w:r>
    </w:p>
    <w:p>
      <w:pPr>
        <w:spacing w:after="120"/>
      </w:pPr>
      <w:r>
        <w:rPr>
          <w:rFonts w:ascii="Arial" w:cs="Arial" w:eastAsia="Arial" w:hAnsi="Arial"/>
          <w:sz w:val="22"/>
          <w:szCs w:val="22"/>
        </w:rPr>
        <w:t xml:space="preserve">マルチシグ（Safe）：ガバナンス提案にM-of-N署名者。タイムロック（48時間以上）：実行前のレビューウィンドウ。一時停止ガーディアン：緊急一時停止操作用の別個の鍵。シーケンサー鍵ローテーション：タイムロック経由でSetRegistryで実施。</w:t>
      </w:r>
    </w:p>
    <w:p>
      <w:pPr>
        <w:pStyle w:val="Heading1"/>
      </w:pPr>
      <w:r>
        <w:rPr>
          <w:rFonts w:ascii="Arial" w:cs="Arial" w:eastAsia="Arial" w:hAnsi="Arial"/>
        </w:rPr>
        <w:t xml:space="preserve">10. モニタリングとSLO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メトリクス</w:t>
            </w:r>
          </w:p>
        </w:tc>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期待値</w:t>
            </w:r>
          </w:p>
        </w:tc>
        <w:tc>
          <w:tcPr>
            <w:tcW w:type="dxa" w:w="3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アラート閾値</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ブロック生成</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2秒ごと</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10秒ギャップ</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L1バッチ送信</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数分ごと</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30分ギャップ</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アンカーラグ</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5分</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15分</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L2セーフヘッドラグ</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10ブロック</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100ブロック</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アンカーサービスヘルス</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健全</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サーキットブレーカーオープン</w:t>
            </w:r>
          </w:p>
        </w:tc>
      </w:tr>
    </w:tbl>
    <w:p>
      <w:r>
        <w:br w:type="page"/>
      </w:r>
    </w:p>
    <w:p>
      <w:pPr>
        <w:pStyle w:val="Heading1"/>
      </w:pPr>
      <w:r>
        <w:rPr>
          <w:rFonts w:ascii="Arial" w:cs="Arial" w:eastAsia="Arial" w:hAnsi="Arial"/>
        </w:rPr>
        <w:t xml:space="preserve">11. ユースケース</w:t>
      </w:r>
    </w:p>
    <w:p>
      <w:pPr>
        <w:pStyle w:val="Heading2"/>
      </w:pPr>
      <w:r>
        <w:rPr>
          <w:rFonts w:ascii="Arial" w:cs="Arial" w:eastAsia="Arial" w:hAnsi="Arial"/>
        </w:rPr>
        <w:t xml:space="preserve">11.1 検証可能な注文履行</w:t>
      </w:r>
    </w:p>
    <w:p>
      <w:pPr>
        <w:spacing w:after="120"/>
      </w:pPr>
      <w:r>
        <w:rPr>
          <w:rFonts w:ascii="Arial" w:cs="Arial" w:eastAsia="Arial" w:hAnsi="Arial"/>
          <w:sz w:val="22"/>
          <w:szCs w:val="22"/>
        </w:rPr>
        <w:t xml:space="preserve">AIエージェントが注文を処理します。イベントは署名され、順序付けされ、Merkleバッチにコミットされ、SET Chainにアンカリングされます。物流パートナーはオンチェーンMerkle証明で注文の存在を検証できます——商人のデータベースにアクセスする必要なく。</w:t>
      </w:r>
    </w:p>
    <w:p>
      <w:pPr>
        <w:pStyle w:val="Heading2"/>
      </w:pPr>
      <w:r>
        <w:rPr>
          <w:rFonts w:ascii="Arial" w:cs="Arial" w:eastAsia="Arial" w:hAnsi="Arial"/>
        </w:rPr>
        <w:t xml:space="preserve">11.2 トレードファイナンス</w:t>
      </w:r>
    </w:p>
    <w:p>
      <w:pPr>
        <w:spacing w:after="120"/>
      </w:pPr>
      <w:r>
        <w:rPr>
          <w:rFonts w:ascii="Arial" w:cs="Arial" w:eastAsia="Arial" w:hAnsi="Arial"/>
          <w:sz w:val="22"/>
          <w:szCs w:val="22"/>
        </w:rPr>
        <w:t xml:space="preserve">レンディングプロトコルが発注書に対して信用を供与します。資金を払い出す前に注文がSetRegistryにアンカリングされていることを検証。STARKコンプライアンス証明が注文詳細を開示せずに税務コンプライアンスを確認。決済はssUSDで行われ、融資期間中に利回りを獲得。</w:t>
      </w:r>
    </w:p>
    <w:p>
      <w:pPr>
        <w:pStyle w:val="Heading2"/>
      </w:pPr>
      <w:r>
        <w:rPr>
          <w:rFonts w:ascii="Arial" w:cs="Arial" w:eastAsia="Arial" w:hAnsi="Arial"/>
        </w:rPr>
        <w:t xml:space="preserve">11.3 クロスボーダー税関</w:t>
      </w:r>
    </w:p>
    <w:p>
      <w:pPr>
        <w:spacing w:after="120"/>
      </w:pPr>
      <w:r>
        <w:rPr>
          <w:rFonts w:ascii="Arial" w:cs="Arial" w:eastAsia="Arial" w:hAnsi="Arial"/>
          <w:sz w:val="22"/>
          <w:szCs w:val="22"/>
        </w:rPr>
        <w:t xml:space="preserve">税関当局がMerkle包含証明で輸出申告が提出され出荷と一致することを検証。ゼロ知識コンプライアンス証明が商業条件を開示せずに規制遵守を確認。</w:t>
      </w:r>
    </w:p>
    <w:p>
      <w:pPr>
        <w:pStyle w:val="Heading2"/>
      </w:pPr>
      <w:r>
        <w:rPr>
          <w:rFonts w:ascii="Arial" w:cs="Arial" w:eastAsia="Arial" w:hAnsi="Arial"/>
        </w:rPr>
        <w:t xml:space="preserve">11.4 Gasスポンサー付きエージェントコマース</w:t>
      </w:r>
    </w:p>
    <w:p>
      <w:pPr>
        <w:spacing w:after="120"/>
      </w:pPr>
      <w:r>
        <w:rPr>
          <w:rFonts w:ascii="Arial" w:cs="Arial" w:eastAsia="Arial" w:hAnsi="Arial"/>
          <w:sz w:val="22"/>
          <w:szCs w:val="22"/>
        </w:rPr>
        <w:t xml:space="preserve">AIショッピングエージェントが消費者の代わりに操作します。商人がSetPaymaster経由ですべてのGasをスポンサー。エージェントは注文、決済処理、返品処理を行います——消費者はETHを保持する必要がありません。</w:t>
      </w:r>
    </w:p>
    <w:p>
      <w:pPr>
        <w:pStyle w:val="Heading1"/>
      </w:pPr>
      <w:r>
        <w:rPr>
          <w:rFonts w:ascii="Arial" w:cs="Arial" w:eastAsia="Arial" w:hAnsi="Arial"/>
        </w:rPr>
        <w:t xml:space="preserve">12. 分散化ロードマップ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c>
          <w:tcPr>
            <w:tcW w:type="dxa" w:w="1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フェーズ</w:t>
            </w:r>
          </w:p>
        </w:tc>
        <w:tc>
          <w:tcPr>
            <w:tcW w:type="dxa" w:w="5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説明</w:t>
            </w:r>
          </w:p>
        </w:tc>
        <w:tc>
          <w:tcPr>
            <w:tcW w:type="dxa" w:w="2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ステータス</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フェーズ0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単一シーケンサー——明示的認可による中央集権型</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現在</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フェーズ1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バックアップシーケンサー——SetRegistryで補助鍵を認可</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近期</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フェーズ2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共有シーケンサーセット——P2P有効化、L1確認が必要</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中期</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フェーズ3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パーミッションレス——オンチェーンガバナンス、ステーキング、スラッシング</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長期</w:t>
            </w:r>
          </w:p>
        </w:tc>
      </w:tr>
    </w:tbl>
    <w:p>
      <w:r>
        <w:br w:type="page"/>
      </w:r>
    </w:p>
    <w:p>
      <w:pPr>
        <w:pStyle w:val="Heading1"/>
      </w:pPr>
      <w:r>
        <w:rPr>
          <w:rFonts w:ascii="Arial" w:cs="Arial" w:eastAsia="Arial" w:hAnsi="Arial"/>
        </w:rPr>
        <w:t xml:space="preserve">13. デプロイメントアーキテクチャ</w:t>
      </w:r>
    </w:p>
    <w:p>
      <w:pPr>
        <w:pStyle w:val="Heading2"/>
      </w:pPr>
      <w:r>
        <w:rPr>
          <w:rFonts w:ascii="Arial" w:cs="Arial" w:eastAsia="Arial" w:hAnsi="Arial"/>
        </w:rPr>
        <w:t xml:space="preserve">13.1 必要なアカウント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アカウント</w:t>
            </w:r>
          </w:p>
        </w:tc>
        <w:tc>
          <w:tcPr>
            <w:tcW w:type="dxa" w:w="6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役割</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Admin（管理者）</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コントラクトオーナーシップ（タイムロックであるべき）</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Batcher（バッチャー）</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L2トランザクションバッチをL1に送信</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Proposer（プロポーザー）</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L2状態ルートをL1に公開</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Challenger（チャレンジャー）</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無効な状態への異議（フォルトプルーフ）</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Sequencer（シーケンサー）</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L2ブロック生成</w:t>
            </w:r>
          </w:p>
        </w:tc>
      </w:tr>
    </w:tbl>
    <w:p>
      <w:pPr>
        <w:pStyle w:val="Heading1"/>
      </w:pPr>
      <w:r>
        <w:rPr>
          <w:rFonts w:ascii="Arial" w:cs="Arial" w:eastAsia="Arial" w:hAnsi="Arial"/>
        </w:rPr>
        <w:t xml:space="preserve">14. 技術スタック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コンポーネント</w:t>
            </w:r>
          </w:p>
        </w:tc>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技術</w:t>
            </w:r>
          </w:p>
        </w:tc>
        <w:tc>
          <w:tcPr>
            <w:tcW w:type="dxa" w:w="3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バージョン</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スマートコントラクト</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コントラクトフレームワーク</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Foundry (Forge)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最新</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アンカーサービス</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2021 Edition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非同期ランタイム</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Tokio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フル機能</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Ethereumクライアント</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L2実行</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op-geth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 Stack v1.8.0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L2コンセンサス</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op-node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 Stack v1.8.0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コントラクト依存</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OpenZeppelin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最新</w:t>
            </w:r>
          </w:p>
        </w:tc>
      </w:tr>
    </w:tbl>
    <w:p>
      <w:r>
        <w:br w:type="page"/>
      </w:r>
    </w:p>
    <w:p>
      <w:pPr>
        <w:pStyle w:val="Heading1"/>
      </w:pPr>
      <w:r>
        <w:rPr>
          <w:rFonts w:ascii="Arial" w:cs="Arial" w:eastAsia="Arial" w:hAnsi="Arial"/>
        </w:rPr>
        <w:t xml:space="preserve">15. ビジネスモデルと価値集積</w:t>
      </w:r>
    </w:p>
    <w:p>
      <w:pPr>
        <w:pStyle w:val="Heading2"/>
      </w:pPr>
      <w:r>
        <w:rPr>
          <w:rFonts w:ascii="Arial" w:cs="Arial" w:eastAsia="Arial" w:hAnsi="Arial"/>
        </w:rPr>
        <w:t xml:space="preserve">15.1 ssUSD利回りスプレッド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構成要素</w:t>
            </w:r>
          </w:p>
        </w:tc>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レート</w:t>
            </w:r>
          </w:p>
        </w:tc>
        <w:tc>
          <w:tcPr>
            <w:tcW w:type="dxa" w:w="3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例（$10M TVL）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国債総利回り</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約5.20% APY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$520,000/年</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ssUSD保有者への純利回り</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約5.00% APY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$500,000/年</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プロトコル収益</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約0.20%スプレッド</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$20,000/年</w:t>
            </w:r>
          </w:p>
        </w:tc>
      </w:tr>
    </w:tbl>
    <w:p>
      <w:pPr>
        <w:spacing w:after="120"/>
      </w:pPr>
      <w:r>
        <w:rPr>
          <w:rFonts w:ascii="Arial" w:cs="Arial" w:eastAsia="Arial" w:hAnsi="Arial"/>
          <w:sz w:val="22"/>
          <w:szCs w:val="22"/>
        </w:rPr>
        <w:t xml:space="preserve">$100M TVLで、利回りスプレッドだけでプロトコル収益は約$200,000/年に達します。</w:t>
      </w:r>
    </w:p>
    <w:p>
      <w:pPr>
        <w:pStyle w:val="Heading2"/>
      </w:pPr>
      <w:r>
        <w:rPr>
          <w:rFonts w:ascii="Arial" w:cs="Arial" w:eastAsia="Arial" w:hAnsi="Arial"/>
        </w:rPr>
        <w:t xml:space="preserve">15.2 Paymasterプレミアム</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40"/>
      </w:tblGrid>
      <w:tr>
        <w:tc>
          <w:tcPr>
            <w:tcW w:type="dxa" w:w="2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ティア</w:t>
            </w:r>
          </w:p>
        </w:tc>
        <w:tc>
          <w:tcPr>
            <w:tcW w:type="dxa" w:w="2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ベースGas</w:t>
            </w:r>
          </w:p>
        </w:tc>
        <w:tc>
          <w:tcPr>
            <w:tcW w:type="dxa" w:w="2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商人課金</w:t>
            </w:r>
          </w:p>
        </w:tc>
        <w:tc>
          <w:tcPr>
            <w:tcW w:type="dxa" w:w="274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プラットフォームマージン</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約$0.001/tx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約$0.003/tx</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約$0.002/tx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約$0.001/tx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約$0.002/tx</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約$0.001/tx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約$0.001/tx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カスタムSLA</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交渉</w:t>
            </w:r>
          </w:p>
        </w:tc>
      </w:tr>
    </w:tbl>
    <w:p>
      <w:pPr>
        <w:pStyle w:val="Heading2"/>
      </w:pPr>
      <w:r>
        <w:rPr>
          <w:rFonts w:ascii="Arial" w:cs="Arial" w:eastAsia="Arial" w:hAnsi="Arial"/>
        </w:rPr>
        <w:t xml:space="preserve">15.3 収益サマリー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収益源</w:t>
            </w:r>
          </w:p>
        </w:tc>
        <w:tc>
          <w:tcPr>
            <w:tcW w:type="dxa" w:w="3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メカニズム</w:t>
            </w:r>
          </w:p>
        </w:tc>
        <w:tc>
          <w:tcPr>
            <w:tcW w:type="dxa" w:w="3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スケールファクター</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利回りスプレッド</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国債APY - ssUSD APY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ssUSD TVL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Paymasterプレミアム</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商人Gasマークアップ</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トランザクションボリューム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アンカーフィー（将来）</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バッチごとのアンカリング課金</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イベントボリューム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ブリッジフィー（将来）</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クロスチェーン送金手数料</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アセットフロー</w:t>
            </w:r>
          </w:p>
        </w:tc>
      </w:tr>
    </w:tbl>
    <w:p>
      <w:pPr>
        <w:spacing w:after="120"/>
      </w:pPr>
      <w:r>
        <w:rPr>
          <w:rFonts w:ascii="Arial" w:cs="Arial" w:eastAsia="Arial" w:hAnsi="Arial"/>
          <w:b/>
          <w:bCs/>
          <w:sz w:val="22"/>
          <w:szCs w:val="22"/>
        </w:rPr>
        <w:t xml:space="preserve">価値はトークン投機ではなくコマース活動に伴って集積します。より多くの商人がssUSDで決済し、より多くのエージェントがPaymaster経由で取引するにつれ、プロトコル収益は比例して成長します。</w:t>
      </w:r>
    </w:p>
    <w:p>
      <w:r>
        <w:br w:type="page"/>
      </w:r>
    </w:p>
    <w:p>
      <w:pPr>
        <w:pStyle w:val="Heading1"/>
      </w:pPr>
      <w:r>
        <w:rPr>
          <w:rFonts w:ascii="Arial" w:cs="Arial" w:eastAsia="Arial" w:hAnsi="Arial"/>
        </w:rPr>
        <w:t xml:space="preserve">16. ロードマップ</w:t>
      </w:r>
    </w:p>
    <w:p>
      <w:pPr>
        <w:pStyle w:val="Heading2"/>
      </w:pPr>
      <w:r>
        <w:rPr>
          <w:rFonts w:ascii="Arial" w:cs="Arial" w:eastAsia="Arial" w:hAnsi="Arial"/>
        </w:rPr>
        <w:t xml:space="preserve">近期（2026年Q1-Q2）</w:t>
      </w:r>
    </w:p>
    <w:p>
      <w:pPr>
        <w:spacing w:after="120"/>
      </w:pPr>
      <w:r>
        <w:rPr>
          <w:rFonts w:ascii="Arial" w:cs="Arial" w:eastAsia="Arial" w:hAnsi="Arial"/>
          <w:sz w:val="22"/>
          <w:szCs w:val="22"/>
        </w:rPr>
        <w:t xml:space="preserve">ssUSDメインネットローンチ：国債裏付けステーブルコインのライブ利回り。Paymaster本番ティア：カスタム上限付きエンタープライズティア。ブリッジUI：シームレスなL1↔L2送金のためのSuperbridgeデプロイ。法定通貨オンランプ：直接法定通貨入金のためのMoonPay/Transak統合。</w:t>
      </w:r>
    </w:p>
    <w:p>
      <w:pPr>
        <w:pStyle w:val="Heading2"/>
      </w:pPr>
      <w:r>
        <w:rPr>
          <w:rFonts w:ascii="Arial" w:cs="Arial" w:eastAsia="Arial" w:hAnsi="Arial"/>
        </w:rPr>
        <w:t xml:space="preserve">中期（2026年Q3-Q4）</w:t>
      </w:r>
    </w:p>
    <w:p>
      <w:pPr>
        <w:spacing w:after="120"/>
      </w:pPr>
      <w:r>
        <w:rPr>
          <w:rFonts w:ascii="Arial" w:cs="Arial" w:eastAsia="Arial" w:hAnsi="Arial"/>
          <w:sz w:val="22"/>
          <w:szCs w:val="22"/>
        </w:rPr>
        <w:t xml:space="preserve">共有シーケンサーセット：P2P対応のフェーズ2分散化。閾値暗号化メモリプール：MEV保護されたコマーストランザクション。クロスチェーンブリッジ拡張：Base、Arbitrum、Solanaへの直接ブリッジ。コンプライアンス証明自動化：オンチェーンSTARK検証。</w:t>
      </w:r>
    </w:p>
    <w:p>
      <w:pPr>
        <w:pStyle w:val="Heading2"/>
      </w:pPr>
      <w:r>
        <w:rPr>
          <w:rFonts w:ascii="Arial" w:cs="Arial" w:eastAsia="Arial" w:hAnsi="Arial"/>
        </w:rPr>
        <w:t xml:space="preserve">長期（2027+）</w:t>
      </w:r>
    </w:p>
    <w:p>
      <w:pPr>
        <w:spacing w:after="120"/>
      </w:pPr>
      <w:r>
        <w:rPr>
          <w:rFonts w:ascii="Arial" w:cs="Arial" w:eastAsia="Arial" w:hAnsi="Arial"/>
          <w:sz w:val="22"/>
          <w:szCs w:val="22"/>
        </w:rPr>
        <w:t xml:space="preserve">パーミッションレスシーケンシング：ステーキングとスラッシングによるオープン参加。形式検証：SetRegistryとSetPaymasterの機械検査された証明。ZKロールアップ移行：オプティミスティックからZK証明への移行を評価。マルチチェーンssUSD：追加L2でのネイティブssUSDデプロイ。</w:t>
      </w:r>
    </w:p>
    <w:p>
      <w:pPr>
        <w:pStyle w:val="Heading1"/>
      </w:pPr>
      <w:r>
        <w:rPr>
          <w:rFonts w:ascii="Arial" w:cs="Arial" w:eastAsia="Arial" w:hAnsi="Arial"/>
        </w:rPr>
        <w:t xml:space="preserve">17. 結論</w:t>
      </w:r>
    </w:p>
    <w:p>
      <w:pPr>
        <w:spacing w:after="120"/>
      </w:pPr>
      <w:r>
        <w:rPr>
          <w:rFonts w:ascii="Arial" w:cs="Arial" w:eastAsia="Arial" w:hAnsi="Arial"/>
          <w:sz w:val="22"/>
          <w:szCs w:val="22"/>
        </w:rPr>
        <w:t xml:space="preserve">SET Chainは自律型コマース時代のインフラストラクチャです。汎用ブロックチェーンではなく、AIエージェントが暗号保証で取引し、商人がGasの摩擦なく運営し、すべてのトランザクションが安定的でコンプライアントな通貨で利回りを獲得するコマース専用決済レイヤーです。</w:t>
      </w:r>
    </w:p>
    <w:p>
      <w:pPr>
        <w:spacing w:after="120"/>
      </w:pPr>
      <w:r>
        <w:rPr>
          <w:rFonts w:ascii="Arial" w:cs="Arial" w:eastAsia="Arial" w:hAnsi="Arial"/>
          <w:b/>
          <w:bCs/>
          <w:sz w:val="22"/>
          <w:szCs w:val="22"/>
        </w:rPr>
        <w:t xml:space="preserve">テーゼはシンプルです：コマースは人間が操作するデータベースからエージェントが操作する検証可能な台帳へ移行しています。SET Chainはこの移行に必要な3つのプリミティブ——検証可能なコミットメント、Gas抽象化、安定した決済——を2秒のファイナリティを持つEthereumセキュアなL2上で提供します。</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2026-03-02T21:13:04.941Z</dcterms:created>
  <dcterms:modified xsi:type="dcterms:W3CDTF">2026-03-02T21:13:04.942Z</dcterms:modified>
</cp:coreProperties>
</file>

<file path=docProps/custom.xml><?xml version="1.0" encoding="utf-8"?>
<Properties xmlns="http://schemas.openxmlformats.org/officeDocument/2006/custom-properties" xmlns:vt="http://schemas.openxmlformats.org/officeDocument/2006/docPropsVTypes"/>
</file>