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spacing w:before="480" w:after="240"/>
        <w:jc w:val="left"/>
        <w:rPr/>
      </w:pPr>
      <w:r>
        <w:rPr/>
        <w:t>SH_innerProduct</w:t>
      </w:r>
    </w:p>
    <w:p>
      <w:pPr>
        <w:pStyle w:val="Author"/>
        <w:jc w:val="left"/>
        <w:rPr/>
      </w:pPr>
      <w:r>
        <w:rPr/>
        <w:t>Takuya Okada</w:t>
      </w:r>
    </w:p>
    <w:p>
      <w:pPr>
        <w:pStyle w:val="Date"/>
        <w:jc w:val="left"/>
        <w:rPr/>
      </w:pPr>
      <w:r>
        <w:rPr/>
        <w:t>2016</w:t>
      </w:r>
      <w:r>
        <w:rPr/>
        <w:t>年</w:t>
      </w:r>
      <w:r>
        <w:rPr/>
        <w:t>8</w:t>
      </w:r>
      <w:r>
        <w:rPr/>
        <w:t>月</w:t>
      </w:r>
      <w:r>
        <w:rPr/>
        <w:t>29</w:t>
      </w:r>
      <w:r>
        <w:rPr/>
        <w:t>日</w:t>
      </w:r>
    </w:p>
    <w:p>
      <w:pPr>
        <w:pStyle w:val="2"/>
        <w:jc w:val="left"/>
        <w:rPr/>
      </w:pPr>
      <w:bookmarkStart w:id="0" w:name="概要"/>
      <w:bookmarkEnd w:id="0"/>
      <w:r>
        <w:rPr/>
        <w:t>概要</w:t>
      </w:r>
    </w:p>
    <w:p>
      <w:pPr>
        <w:pStyle w:val="FirstParagraph"/>
        <w:jc w:val="left"/>
        <w:rPr/>
      </w:pPr>
      <w:r>
        <mc:AlternateContent>
          <mc:Choice Requires="wps">
            <w:drawing>
              <wp:anchor behindDoc="0" distT="0" distB="0" distL="0" distR="0" simplePos="0" locked="0" layoutInCell="1" allowOverlap="1" relativeHeight="15">
                <wp:simplePos x="0" y="0"/>
                <wp:positionH relativeFrom="column">
                  <wp:posOffset>1366520</wp:posOffset>
                </wp:positionH>
                <wp:positionV relativeFrom="paragraph">
                  <wp:posOffset>710565</wp:posOffset>
                </wp:positionV>
                <wp:extent cx="593725" cy="127635"/>
                <wp:effectExtent l="0" t="0" r="0" b="0"/>
                <wp:wrapNone/>
                <wp:docPr id="1" name=""/>
                <a:graphic xmlns:a="http://schemas.openxmlformats.org/drawingml/2006/main">
                  <a:graphicData uri="http://schemas.microsoft.com/office/word/2010/wordprocessingShape">
                    <wps:wsp>
                      <wps:cNvSpPr/>
                      <wps:spPr>
                        <a:xfrm>
                          <a:off x="0" y="0"/>
                          <a:ext cx="592920" cy="127080"/>
                        </a:xfrm>
                        <a:custGeom>
                          <a:avLst/>
                          <a:gdLst/>
                          <a:ahLst/>
                          <a:rect l="0" t="0" r="r" b="b"/>
                          <a:pathLst>
                            <a:path w="935" h="201">
                              <a:moveTo>
                                <a:pt x="0" y="50"/>
                              </a:moveTo>
                              <a:lnTo>
                                <a:pt x="701" y="50"/>
                              </a:lnTo>
                              <a:lnTo>
                                <a:pt x="701" y="0"/>
                              </a:lnTo>
                              <a:lnTo>
                                <a:pt x="934" y="100"/>
                              </a:lnTo>
                              <a:lnTo>
                                <a:pt x="701" y="200"/>
                              </a:lnTo>
                              <a:lnTo>
                                <a:pt x="701" y="150"/>
                              </a:lnTo>
                              <a:lnTo>
                                <a:pt x="0" y="150"/>
                              </a:lnTo>
                              <a:lnTo>
                                <a:pt x="0" y="5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729fcf" stroked="t" style="position:absolute;margin-left:107.6pt;margin-top:55.95pt;width:46.65pt;height:9.95pt" type="shapetype_13">
                <w10:wrap type="none"/>
                <v:fill o:detectmouseclick="t" color2="#8d6030"/>
                <v:stroke color="#3465a4" joinstyle="round" endcap="flat"/>
              </v:shape>
            </w:pict>
          </mc:Fallback>
        </mc:AlternateContent>
      </w:r>
      <w:r>
        <w:rPr/>
        <w:drawing>
          <wp:inline distT="0" distB="0" distL="0" distR="0">
            <wp:extent cx="1092200" cy="1125220"/>
            <wp:effectExtent l="0" t="0" r="0" b="0"/>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2"/>
                    <a:stretch>
                      <a:fillRect/>
                    </a:stretch>
                  </pic:blipFill>
                  <pic:spPr bwMode="auto">
                    <a:xfrm>
                      <a:off x="0" y="0"/>
                      <a:ext cx="1092200" cy="1125220"/>
                    </a:xfrm>
                    <a:prstGeom prst="rect">
                      <a:avLst/>
                    </a:prstGeom>
                  </pic:spPr>
                </pic:pic>
              </a:graphicData>
            </a:graphic>
          </wp:inline>
        </w:drawing>
      </w:r>
      <w:r>
        <w:rPr/>
        <w:t xml:space="preserve">                               </w:t>
      </w:r>
      <w:r>
        <w:rPr/>
        <w:drawing>
          <wp:inline distT="0" distB="0" distL="0" distR="0">
            <wp:extent cx="1132205" cy="1132205"/>
            <wp:effectExtent l="0" t="0" r="0" b="0"/>
            <wp:docPr id="3"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2" descr=""/>
                    <pic:cNvPicPr>
                      <a:picLocks noChangeAspect="1" noChangeArrowheads="1"/>
                    </pic:cNvPicPr>
                  </pic:nvPicPr>
                  <pic:blipFill>
                    <a:blip r:embed="rId3"/>
                    <a:stretch>
                      <a:fillRect/>
                    </a:stretch>
                  </pic:blipFill>
                  <pic:spPr bwMode="auto">
                    <a:xfrm>
                      <a:off x="0" y="0"/>
                      <a:ext cx="1132205" cy="1132205"/>
                    </a:xfrm>
                    <a:prstGeom prst="rect">
                      <a:avLst/>
                    </a:prstGeom>
                  </pic:spPr>
                </pic:pic>
              </a:graphicData>
            </a:graphic>
          </wp:inline>
        </w:drawing>
      </w:r>
    </w:p>
    <w:p>
      <w:pPr>
        <w:pStyle w:val="FirstParagraph"/>
        <w:jc w:val="left"/>
        <w:rPr/>
      </w:pPr>
      <w:r>
        <w:rPr/>
        <w:t>実験で得られたデータからメッシュを取り出すと、各頂点に</w:t>
      </w:r>
      <w:r>
        <w:rPr/>
        <w:t>R</w:t>
      </w:r>
      <w:r>
        <w:rPr/>
        <w:t>、</w:t>
      </w:r>
      <w:r>
        <w:rPr/>
        <w:t>G</w:t>
      </w:r>
      <w:r>
        <w:rPr/>
        <w:t>、</w:t>
      </w:r>
      <w:r>
        <w:rPr/>
        <w:t>B</w:t>
      </w:r>
      <w:r>
        <w:rPr/>
        <w:t>、平均曲率、ガウス曲率などのスカラーが対応付けられる。このメッシュに対して</w:t>
      </w:r>
      <w:r>
        <w:rPr/>
        <w:t>spintransformation</w:t>
      </w:r>
      <w:r>
        <w:rPr/>
        <w:t>、</w:t>
      </w:r>
      <w:r>
        <w:rPr/>
        <w:t>willmore flow</w:t>
      </w:r>
      <w:r>
        <w:rPr/>
        <w:t>で球化を行うが、変形後でも各頂点は変形前のものと対応付けを維持される。そのため、球への変換前にメッシュ上に観測されたスカラー値は、変換後は球面上のスカラー場として観測される。球面調和関数は一般にポテンシャルのようなスカラー場を記述するのに用いられていて、球面上の正規直交系になっている。</w:t>
      </w:r>
      <w:r>
        <w:rPr/>
        <w:t>SH_innerProject</w:t>
      </w:r>
      <w:r>
        <w:rPr/>
        <w:t>は球面調和関数展開を、離散構造であるメッシュで与えられた時に数値計算的に行う関数である。</w:t>
      </w:r>
    </w:p>
    <w:p>
      <w:pPr>
        <w:pStyle w:val="2"/>
        <w:jc w:val="left"/>
        <w:rPr/>
      </w:pPr>
      <w:bookmarkStart w:id="1" w:name="内積の離散化"/>
      <w:bookmarkEnd w:id="1"/>
      <w:r>
        <w:rPr/>
        <w:t>内積の離散化</w:t>
      </w:r>
    </w:p>
    <w:p>
      <w:pPr>
        <w:pStyle w:val="FirstParagraph"/>
        <w:jc w:val="left"/>
        <w:rPr/>
      </w:pPr>
      <w:r>
        <w:rPr/>
        <w:t>スカラー場</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ϕ</m:t>
            </m:r>
          </m:e>
        </m:d>
      </m:oMath>
      <w:r>
        <w:rPr/>
        <w:t>と球面調和関数</w:t>
      </w:r>
      <w:r>
        <w:rPr/>
      </w:r>
      <m:oMath xmlns:m="http://schemas.openxmlformats.org/officeDocument/2006/math">
        <m:sSubSup>
          <m:e>
            <m:r>
              <w:rPr>
                <w:rFonts w:ascii="Cambria Math" w:hAnsi="Cambria Math"/>
              </w:rPr>
              <m:t xml:space="preserve">Y</m:t>
            </m:r>
          </m:e>
          <m:sub>
            <m:r>
              <w:rPr>
                <w:rFonts w:ascii="Cambria Math" w:hAnsi="Cambria Math"/>
              </w:rPr>
              <m:t xml:space="preserve">m</m:t>
            </m:r>
          </m:sub>
          <m:sup>
            <m:r>
              <w:rPr>
                <w:rFonts w:ascii="Cambria Math" w:hAnsi="Cambria Math"/>
              </w:rPr>
              <m:t xml:space="preserve">l</m:t>
            </m:r>
          </m:sup>
        </m:sSubSup>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ϕ</m:t>
            </m:r>
          </m:e>
        </m:d>
      </m:oMath>
      <w:r>
        <w:rPr/>
        <w:t>との内積は</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ϕ</m:t>
            </m:r>
          </m:e>
        </m:d>
        <m:sSubSup>
          <m:e>
            <m:r>
              <w:rPr>
                <w:rFonts w:ascii="Cambria Math" w:hAnsi="Cambria Math"/>
              </w:rPr>
              <m:t xml:space="preserve">Y</m:t>
            </m:r>
          </m:e>
          <m:sub>
            <m:r>
              <w:rPr>
                <w:rFonts w:ascii="Cambria Math" w:hAnsi="Cambria Math"/>
              </w:rPr>
              <m:t xml:space="preserve">m</m:t>
            </m:r>
          </m:sub>
          <m:sup>
            <m:r>
              <w:rPr>
                <w:rFonts w:ascii="Cambria Math" w:hAnsi="Cambria Math"/>
              </w:rPr>
              <m:t xml:space="preserve">l</m:t>
            </m:r>
          </m:sup>
        </m:sSubSup>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ϕ</m:t>
            </m:r>
          </m:e>
        </m:d>
        <m:r>
          <w:rPr>
            <w:rFonts w:ascii="Cambria Math" w:hAnsi="Cambria Math"/>
          </w:rPr>
          <m:t xml:space="preserve">sin</m:t>
        </m:r>
        <m:r>
          <w:rPr>
            <w:rFonts w:ascii="Cambria Math" w:hAnsi="Cambria Math"/>
          </w:rPr>
          <m:t xml:space="preserve">θ</m:t>
        </m:r>
        <m:r>
          <w:rPr>
            <w:rFonts w:ascii="Cambria Math" w:hAnsi="Cambria Math"/>
          </w:rPr>
          <m:t xml:space="preserve">d</m:t>
        </m:r>
        <m:r>
          <w:rPr>
            <w:rFonts w:ascii="Cambria Math" w:hAnsi="Cambria Math"/>
          </w:rPr>
          <m:t xml:space="preserve">θ</m:t>
        </m:r>
        <m:r>
          <w:rPr>
            <w:rFonts w:ascii="Cambria Math" w:hAnsi="Cambria Math"/>
          </w:rPr>
          <m:t xml:space="preserve">d</m:t>
        </m:r>
        <m:r>
          <w:rPr>
            <w:rFonts w:ascii="Cambria Math" w:hAnsi="Cambria Math"/>
          </w:rPr>
          <m:t xml:space="preserve">ϕ</m:t>
        </m:r>
      </m:oMath>
      <w:r>
        <w:rPr/>
        <w:t>で表される。微小面積要素</w:t>
      </w:r>
      <w:r>
        <w:rPr/>
      </w:r>
      <m:oMath xmlns:m="http://schemas.openxmlformats.org/officeDocument/2006/math">
        <m:r>
          <w:rPr>
            <w:rFonts w:ascii="Cambria Math" w:hAnsi="Cambria Math"/>
          </w:rPr>
          <m:t xml:space="preserve">d</m:t>
        </m:r>
        <m:r>
          <w:rPr>
            <w:rFonts w:ascii="Cambria Math" w:hAnsi="Cambria Math"/>
          </w:rPr>
          <m:t xml:space="preserve">S</m:t>
        </m:r>
      </m:oMath>
      <w:r>
        <w:rPr/>
        <w:t>を計算すると、</w:t>
      </w:r>
      <w:r>
        <w:rPr/>
      </w:r>
      <m:oMath xmlns:m="http://schemas.openxmlformats.org/officeDocument/2006/math">
        <m:r>
          <w:rPr>
            <w:rFonts w:ascii="Cambria Math" w:hAnsi="Cambria Math"/>
          </w:rPr>
          <m:t xml:space="preserve">d</m:t>
        </m:r>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m:t>
                </m:r>
                <m:acc>
                  <m:accPr>
                    <m:chr m:val="⃗"/>
                  </m:accPr>
                  <m:e>
                    <m:r>
                      <w:rPr>
                        <w:rFonts w:ascii="Cambria Math" w:hAnsi="Cambria Math"/>
                      </w:rPr>
                      <m:t xml:space="preserve">p</m:t>
                    </m:r>
                  </m:e>
                </m:acc>
              </m:num>
              <m:den>
                <m:r>
                  <w:rPr>
                    <w:rFonts w:ascii="Cambria Math" w:hAnsi="Cambria Math"/>
                  </w:rPr>
                  <m:t xml:space="preserve">∂</m:t>
                </m:r>
                <m:r>
                  <w:rPr>
                    <w:rFonts w:ascii="Cambria Math" w:hAnsi="Cambria Math"/>
                  </w:rPr>
                  <m:t xml:space="preserve">x</m:t>
                </m:r>
              </m:den>
            </m:f>
            <m:r>
              <w:rPr>
                <w:rFonts w:ascii="Cambria Math" w:hAnsi="Cambria Math"/>
              </w:rPr>
              <m:t xml:space="preserve">d</m:t>
            </m:r>
            <m:r>
              <w:rPr>
                <w:rFonts w:ascii="Cambria Math" w:hAnsi="Cambria Math"/>
              </w:rPr>
              <m:t xml:space="preserve">x</m:t>
            </m:r>
            <m:r>
              <w:rPr>
                <w:rFonts w:ascii="Cambria Math" w:hAnsi="Cambria Math"/>
              </w:rPr>
              <m:t xml:space="preserve">×</m:t>
            </m:r>
            <m:f>
              <m:num>
                <m:r>
                  <w:rPr>
                    <w:rFonts w:ascii="Cambria Math" w:hAnsi="Cambria Math"/>
                  </w:rPr>
                  <m:t xml:space="preserve">∂</m:t>
                </m:r>
                <m:acc>
                  <m:accPr>
                    <m:chr m:val="⃗"/>
                  </m:accPr>
                  <m:e>
                    <m:r>
                      <w:rPr>
                        <w:rFonts w:ascii="Cambria Math" w:hAnsi="Cambria Math"/>
                      </w:rPr>
                      <m:t xml:space="preserve">p</m:t>
                    </m:r>
                  </m:e>
                </m:acc>
              </m:num>
              <m:den>
                <m:r>
                  <w:rPr>
                    <w:rFonts w:ascii="Cambria Math" w:hAnsi="Cambria Math"/>
                  </w:rPr>
                  <m:t xml:space="preserve">∂</m:t>
                </m:r>
                <m:r>
                  <w:rPr>
                    <w:rFonts w:ascii="Cambria Math" w:hAnsi="Cambria Math"/>
                  </w:rPr>
                  <m:t xml:space="preserve">y</m:t>
                </m:r>
              </m:den>
            </m:f>
            <m:r>
              <w:rPr>
                <w:rFonts w:ascii="Cambria Math" w:hAnsi="Cambria Math"/>
              </w:rPr>
              <m:t xml:space="preserve">d</m:t>
            </m:r>
            <m:r>
              <w:rPr>
                <w:rFonts w:ascii="Cambria Math" w:hAnsi="Cambria Math"/>
              </w:rPr>
              <m:t xml:space="preserve">y</m:t>
            </m:r>
          </m:e>
        </m:d>
      </m:oMath>
      <w:r>
        <w:rPr/>
        <w:t>であり、さらに計算すると</w:t>
      </w:r>
      <w:r>
        <w:rPr/>
      </w:r>
      <m:oMath xmlns:m="http://schemas.openxmlformats.org/officeDocument/2006/math">
        <m:rad>
          <m:radPr>
            <m:degHide m:val="1"/>
          </m:radPr>
          <m:deg/>
          <m:e>
            <m:sSup>
              <m:e>
                <m:d>
                  <m:dPr>
                    <m:begChr m:val="("/>
                    <m:endChr m:val=")"/>
                  </m:dPr>
                  <m:e>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x</m:t>
                        </m:r>
                      </m:den>
                    </m:f>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y</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1</m:t>
            </m:r>
          </m:e>
        </m:rad>
        <m:r>
          <w:rPr>
            <w:rFonts w:ascii="Cambria Math" w:hAnsi="Cambria Math"/>
          </w:rPr>
          <m:t xml:space="preserve">d</m:t>
        </m:r>
        <m:r>
          <w:rPr>
            <w:rFonts w:ascii="Cambria Math" w:hAnsi="Cambria Math"/>
          </w:rPr>
          <m:t xml:space="preserve">x</m:t>
        </m:r>
        <m:r>
          <w:rPr>
            <w:rFonts w:ascii="Cambria Math" w:hAnsi="Cambria Math"/>
          </w:rPr>
          <m:t xml:space="preserve">d</m:t>
        </m:r>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r>
          <w:rPr>
            <w:rFonts w:ascii="Cambria Math" w:hAnsi="Cambria Math"/>
          </w:rPr>
          <m:t xml:space="preserve">d</m:t>
        </m:r>
        <m:r>
          <w:rPr>
            <w:rFonts w:ascii="Cambria Math" w:hAnsi="Cambria Math"/>
          </w:rPr>
          <m:t xml:space="preserve">x</m:t>
        </m:r>
        <m:r>
          <w:rPr>
            <w:rFonts w:ascii="Cambria Math" w:hAnsi="Cambria Math"/>
          </w:rPr>
          <m:t xml:space="preserve">d</m:t>
        </m:r>
        <m:r>
          <w:rPr>
            <w:rFonts w:ascii="Cambria Math" w:hAnsi="Cambria Math"/>
          </w:rPr>
          <m:t xml:space="preserve">y</m:t>
        </m:r>
      </m:oMath>
      <w:r>
        <w:rPr/>
        <w:t>が得られる。一方</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ϕ</m:t>
            </m:r>
            <m:r>
              <w:rPr>
                <w:rFonts w:ascii="Cambria Math" w:hAnsi="Cambria Math"/>
              </w:rPr>
              <m:t xml:space="preserve">,</m:t>
            </m:r>
            <m:r>
              <w:rPr>
                <w:rFonts w:ascii="Cambria Math" w:hAnsi="Cambria Math"/>
              </w:rPr>
              <m:t xml:space="preserve">sin</m:t>
            </m:r>
            <m:r>
              <w:rPr>
                <w:rFonts w:ascii="Cambria Math" w:hAnsi="Cambria Math"/>
              </w:rPr>
              <m:t xml:space="preserve">θ</m:t>
            </m:r>
            <m:r>
              <w:rPr>
                <w:rFonts w:ascii="Cambria Math" w:hAnsi="Cambria Math"/>
              </w:rPr>
              <m:t xml:space="preserve">sin</m:t>
            </m:r>
            <m:r>
              <w:rPr>
                <w:rFonts w:ascii="Cambria Math" w:hAnsi="Cambria Math"/>
              </w:rPr>
              <m:t xml:space="preserve">ϕ</m:t>
            </m:r>
            <m:r>
              <w:rPr>
                <w:rFonts w:ascii="Cambria Math" w:hAnsi="Cambria Math"/>
              </w:rPr>
              <m:t xml:space="preserve">,</m:t>
            </m:r>
            <m:r>
              <w:rPr>
                <w:rFonts w:ascii="Cambria Math" w:hAnsi="Cambria Math"/>
              </w:rPr>
              <m:t xml:space="preserve">cos</m:t>
            </m:r>
            <m:r>
              <w:rPr>
                <w:rFonts w:ascii="Cambria Math" w:hAnsi="Cambria Math"/>
              </w:rPr>
              <m:t xml:space="preserve">θ</m:t>
            </m:r>
          </m:e>
        </m:d>
      </m:oMath>
      <w:r>
        <w:rPr/>
        <w:t>より</w:t>
      </w:r>
      <w:r>
        <w:rPr/>
      </w:r>
      <m:oMath xmlns:m="http://schemas.openxmlformats.org/officeDocument/2006/math">
        <m:r>
          <w:rPr>
            <w:rFonts w:ascii="Cambria Math" w:hAnsi="Cambria Math"/>
          </w:rPr>
          <m:t xml:space="preserve">d</m:t>
        </m:r>
        <m:r>
          <w:rPr>
            <w:rFonts w:ascii="Cambria Math" w:hAnsi="Cambria Math"/>
          </w:rPr>
          <m:t xml:space="preserve">x</m:t>
        </m:r>
        <m:r>
          <w:rPr>
            <w:rFonts w:ascii="Cambria Math" w:hAnsi="Cambria Math"/>
          </w:rPr>
          <m:t xml:space="preserve">∧</m:t>
        </m:r>
        <m:r>
          <w:rPr>
            <w:rFonts w:ascii="Cambria Math" w:hAnsi="Cambria Math"/>
          </w:rPr>
          <m:t xml:space="preserve">d</m:t>
        </m:r>
        <m:r>
          <w:rPr>
            <w:rFonts w:ascii="Cambria Math" w:hAnsi="Cambria Math"/>
          </w:rPr>
          <m:t xml:space="preserve">y</m:t>
        </m:r>
        <m:r>
          <w:rPr>
            <w:rFonts w:ascii="Cambria Math" w:hAnsi="Cambria Math"/>
          </w:rPr>
          <m:t xml:space="preserve">=</m:t>
        </m:r>
        <m:r>
          <w:rPr>
            <w:rFonts w:ascii="Cambria Math" w:hAnsi="Cambria Math"/>
          </w:rPr>
          <m:t xml:space="preserve">sin</m:t>
        </m:r>
        <m:r>
          <w:rPr>
            <w:rFonts w:ascii="Cambria Math" w:hAnsi="Cambria Math"/>
          </w:rPr>
          <m:t xml:space="preserve">θ</m:t>
        </m:r>
        <m:r>
          <w:rPr>
            <w:rFonts w:ascii="Cambria Math" w:hAnsi="Cambria Math"/>
          </w:rPr>
          <m:t xml:space="preserve">d</m:t>
        </m:r>
        <m:r>
          <w:rPr>
            <w:rFonts w:ascii="Cambria Math" w:hAnsi="Cambria Math"/>
          </w:rPr>
          <m:t xml:space="preserve">θ</m:t>
        </m:r>
        <m:r>
          <w:rPr>
            <w:rFonts w:ascii="Cambria Math" w:hAnsi="Cambria Math"/>
          </w:rPr>
          <m:t xml:space="preserve">∧</m:t>
        </m:r>
        <m:r>
          <w:rPr>
            <w:rFonts w:ascii="Cambria Math" w:hAnsi="Cambria Math"/>
          </w:rPr>
          <m:t xml:space="preserve">d</m:t>
        </m:r>
        <m:r>
          <w:rPr>
            <w:rFonts w:ascii="Cambria Math" w:hAnsi="Cambria Math"/>
          </w:rPr>
          <m:t xml:space="preserve">ϕ</m:t>
        </m:r>
      </m:oMath>
      <w:r>
        <w:rPr/>
        <w:t>なので、結局</w:t>
      </w:r>
      <w:r>
        <w:rPr/>
      </w:r>
      <m:oMath xmlns:m="http://schemas.openxmlformats.org/officeDocument/2006/math">
        <m:r>
          <w:rPr>
            <w:rFonts w:ascii="Cambria Math" w:hAnsi="Cambria Math"/>
          </w:rPr>
          <m:t xml:space="preserve">d</m:t>
        </m:r>
        <m:r>
          <w:rPr>
            <w:rFonts w:ascii="Cambria Math" w:hAnsi="Cambria Math"/>
          </w:rPr>
          <m:t xml:space="preserve">S</m:t>
        </m:r>
        <m:r>
          <w:rPr>
            <w:rFonts w:ascii="Cambria Math" w:hAnsi="Cambria Math"/>
          </w:rPr>
          <m:t xml:space="preserve">=</m:t>
        </m:r>
        <m:r>
          <w:rPr>
            <w:rFonts w:ascii="Cambria Math" w:hAnsi="Cambria Math"/>
          </w:rPr>
          <m:t xml:space="preserve">sin</m:t>
        </m:r>
        <m:r>
          <w:rPr>
            <w:rFonts w:ascii="Cambria Math" w:hAnsi="Cambria Math"/>
          </w:rPr>
          <m:t xml:space="preserve">θ</m:t>
        </m:r>
        <m:r>
          <w:rPr>
            <w:rFonts w:ascii="Cambria Math" w:hAnsi="Cambria Math"/>
          </w:rPr>
          <m:t xml:space="preserve">d</m:t>
        </m:r>
        <m:r>
          <w:rPr>
            <w:rFonts w:ascii="Cambria Math" w:hAnsi="Cambria Math"/>
          </w:rPr>
          <m:t xml:space="preserve">θ</m:t>
        </m:r>
        <m:r>
          <w:rPr>
            <w:rFonts w:ascii="Cambria Math" w:hAnsi="Cambria Math"/>
          </w:rPr>
          <m:t xml:space="preserve">d</m:t>
        </m:r>
        <m:r>
          <w:rPr>
            <w:rFonts w:ascii="Cambria Math" w:hAnsi="Cambria Math"/>
          </w:rPr>
          <m:t xml:space="preserve">ϕ</m:t>
        </m:r>
      </m:oMath>
      <w:r>
        <w:rPr/>
        <w:t>。よって</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ϕ</m:t>
            </m:r>
          </m:e>
        </m:d>
        <m:sSubSup>
          <m:e>
            <m:r>
              <w:rPr>
                <w:rFonts w:ascii="Cambria Math" w:hAnsi="Cambria Math"/>
              </w:rPr>
              <m:t xml:space="preserve">Y</m:t>
            </m:r>
          </m:e>
          <m:sub>
            <m:r>
              <w:rPr>
                <w:rFonts w:ascii="Cambria Math" w:hAnsi="Cambria Math"/>
              </w:rPr>
              <m:t xml:space="preserve">m</m:t>
            </m:r>
          </m:sub>
          <m:sup>
            <m:r>
              <w:rPr>
                <w:rFonts w:ascii="Cambria Math" w:hAnsi="Cambria Math"/>
              </w:rPr>
              <m:t xml:space="preserve">l</m:t>
            </m:r>
          </m:sup>
        </m:sSubSup>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ϕ</m:t>
            </m:r>
          </m:e>
        </m:d>
        <m:r>
          <w:rPr>
            <w:rFonts w:ascii="Cambria Math" w:hAnsi="Cambria Math"/>
          </w:rPr>
          <m:t xml:space="preserve">sin</m:t>
        </m:r>
        <m:r>
          <w:rPr>
            <w:rFonts w:ascii="Cambria Math" w:hAnsi="Cambria Math"/>
          </w:rPr>
          <m:t xml:space="preserve">θ</m:t>
        </m:r>
        <m:r>
          <w:rPr>
            <w:rFonts w:ascii="Cambria Math" w:hAnsi="Cambria Math"/>
          </w:rPr>
          <m:t xml:space="preserve">d</m:t>
        </m:r>
        <m:r>
          <w:rPr>
            <w:rFonts w:ascii="Cambria Math" w:hAnsi="Cambria Math"/>
          </w:rPr>
          <m:t xml:space="preserve">θ</m:t>
        </m:r>
        <m:r>
          <w:rPr>
            <w:rFonts w:ascii="Cambria Math" w:hAnsi="Cambria Math"/>
          </w:rPr>
          <m:t xml:space="preserve">d</m:t>
        </m:r>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ϕ</m:t>
            </m:r>
          </m:e>
        </m:d>
        <m:sSubSup>
          <m:e>
            <m:r>
              <w:rPr>
                <w:rFonts w:ascii="Cambria Math" w:hAnsi="Cambria Math"/>
              </w:rPr>
              <m:t xml:space="preserve">Y</m:t>
            </m:r>
          </m:e>
          <m:sub>
            <m:r>
              <w:rPr>
                <w:rFonts w:ascii="Cambria Math" w:hAnsi="Cambria Math"/>
              </w:rPr>
              <m:t xml:space="preserve">m</m:t>
            </m:r>
          </m:sub>
          <m:sup>
            <m:r>
              <w:rPr>
                <w:rFonts w:ascii="Cambria Math" w:hAnsi="Cambria Math"/>
              </w:rPr>
              <m:t xml:space="preserve">l</m:t>
            </m:r>
          </m:sup>
        </m:sSubSup>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ϕ</m:t>
            </m:r>
          </m:e>
        </m:d>
        <m:r>
          <w:rPr>
            <w:rFonts w:ascii="Cambria Math" w:hAnsi="Cambria Math"/>
          </w:rPr>
          <m:t xml:space="preserve">Δ</m:t>
        </m:r>
        <m:r>
          <w:rPr>
            <w:rFonts w:ascii="Cambria Math" w:hAnsi="Cambria Math"/>
          </w:rPr>
          <m:t xml:space="preserve">S</m:t>
        </m:r>
      </m:oMath>
      <w:r>
        <w:rPr/>
        <w:t>となる。</w:t>
      </w:r>
    </w:p>
    <w:p>
      <w:pPr>
        <w:pStyle w:val="2"/>
        <w:jc w:val="left"/>
        <w:rPr/>
      </w:pPr>
      <w:bookmarkStart w:id="2" w:name="s"/>
      <w:bookmarkEnd w:id="2"/>
      <w:r>
        <w:rPr/>
        <w:t>微小面積</w:t>
      </w:r>
      <w:r>
        <w:rPr/>
        <w:t>ΔS</w:t>
      </w:r>
    </w:p>
    <w:p>
      <w:pPr>
        <w:pStyle w:val="FirstParagraph"/>
        <w:jc w:val="left"/>
        <w:rPr/>
      </w:pPr>
      <w:r>
        <w:rPr/>
        <w:drawing>
          <wp:anchor behindDoc="0" distT="0" distB="0" distL="0" distR="0" simplePos="0" locked="0" layoutInCell="1" allowOverlap="1" relativeHeight="17">
            <wp:simplePos x="0" y="0"/>
            <wp:positionH relativeFrom="column">
              <wp:posOffset>59055</wp:posOffset>
            </wp:positionH>
            <wp:positionV relativeFrom="paragraph">
              <wp:posOffset>63500</wp:posOffset>
            </wp:positionV>
            <wp:extent cx="1272540" cy="1311275"/>
            <wp:effectExtent l="0" t="0" r="0" b="0"/>
            <wp:wrapSquare wrapText="largest"/>
            <wp:docPr id="4"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3" descr=""/>
                    <pic:cNvPicPr>
                      <a:picLocks noChangeAspect="1" noChangeArrowheads="1"/>
                    </pic:cNvPicPr>
                  </pic:nvPicPr>
                  <pic:blipFill>
                    <a:blip r:embed="rId4"/>
                    <a:stretch>
                      <a:fillRect/>
                    </a:stretch>
                  </pic:blipFill>
                  <pic:spPr bwMode="auto">
                    <a:xfrm>
                      <a:off x="0" y="0"/>
                      <a:ext cx="1272540" cy="1311275"/>
                    </a:xfrm>
                    <a:prstGeom prst="rect">
                      <a:avLst/>
                    </a:prstGeom>
                  </pic:spPr>
                </pic:pic>
              </a:graphicData>
            </a:graphic>
          </wp:anchor>
        </w:drawing>
      </w:r>
    </w:p>
    <w:p>
      <w:pPr>
        <w:pStyle w:val="Style11"/>
        <w:jc w:val="left"/>
        <w:rPr/>
      </w:pPr>
      <w:r>
        <w:rPr/>
        <w:t>球面上の三角形の面積は</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π</m:t>
        </m:r>
      </m:oMath>
      <w:r>
        <w:rPr/>
        <w:t>で表される。各頂点とそれが含まれる三角形を考えると、その頂点に対応付けられる面積は取り囲む面積の</w:t>
      </w:r>
      <w:r>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t>である。</w:t>
      </w:r>
    </w:p>
    <w:p>
      <w:pPr>
        <w:pStyle w:val="2"/>
        <w:jc w:val="left"/>
        <w:rPr/>
      </w:pPr>
      <w:r>
        <w:rPr/>
      </w:r>
    </w:p>
    <w:p>
      <w:pPr>
        <w:pStyle w:val="2"/>
        <w:jc w:val="left"/>
        <w:rPr/>
      </w:pPr>
      <w:bookmarkStart w:id="3" w:name="参考"/>
      <w:bookmarkEnd w:id="3"/>
      <w:r>
        <w:rPr/>
        <w:t>参考</w:t>
      </w:r>
    </w:p>
    <w:p>
      <w:pPr>
        <w:pStyle w:val="Compact"/>
        <w:numPr>
          <w:ilvl w:val="0"/>
          <w:numId w:val="1"/>
        </w:numPr>
        <w:jc w:val="left"/>
        <w:rPr/>
      </w:pPr>
      <w:hyperlink r:id="rId5">
        <w:r>
          <w:rPr>
            <w:rStyle w:val="Style9"/>
          </w:rPr>
          <w:t>http://takuyaokada.hatenablog.com/entry/20160218/1455758454</w:t>
        </w:r>
      </w:hyperlink>
      <w:r>
        <w:rPr/>
        <w:t xml:space="preserve">: </w:t>
      </w:r>
      <w:r>
        <w:rPr/>
        <w:t>球面調和関数についての簡易なまとめ</w:t>
      </w:r>
    </w:p>
    <w:p>
      <w:pPr>
        <w:pStyle w:val="Compact"/>
        <w:numPr>
          <w:ilvl w:val="0"/>
          <w:numId w:val="1"/>
        </w:numPr>
        <w:spacing w:before="36" w:after="36"/>
        <w:jc w:val="left"/>
        <w:rPr/>
      </w:pPr>
      <w:hyperlink r:id="rId6">
        <w:r>
          <w:rPr>
            <w:rStyle w:val="Style9"/>
          </w:rPr>
          <w:t>http://takuyaokada.hatenablog.com/entry/20160218/1455804206</w:t>
        </w:r>
      </w:hyperlink>
      <w:r>
        <w:rPr/>
        <w:t xml:space="preserve">: </w:t>
      </w:r>
      <w:r>
        <w:rPr/>
        <w:t>連続なスカラー場の球面調和関数展開を取り扱った。</w:t>
      </w:r>
    </w:p>
    <w:sectPr>
      <w:type w:val="nextPage"/>
      <w:pgSz w:w="12240" w:h="15840"/>
      <w:pgMar w:left="1134" w:right="850" w:header="0" w:top="1134"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1">
    <w:name w:val="見出し 1"/>
    <w:basedOn w:val="Normal"/>
    <w:next w:val="Style11"/>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2">
    <w:name w:val="見出し 2"/>
    <w:basedOn w:val="Normal"/>
    <w:next w:val="Style11"/>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3">
    <w:name w:val="見出し 3"/>
    <w:basedOn w:val="Normal"/>
    <w:next w:val="Style11"/>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4">
    <w:name w:val="見出し 4"/>
    <w:basedOn w:val="Normal"/>
    <w:next w:val="Style11"/>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5">
    <w:name w:val="見出し 5"/>
    <w:basedOn w:val="Normal"/>
    <w:next w:val="Style11"/>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6">
    <w:name w:val="見出し 6"/>
    <w:basedOn w:val="Normal"/>
    <w:next w:val="Style11"/>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tyle8">
    <w:name w:val="脚注参照番号"/>
    <w:basedOn w:val="BodyTextChar"/>
    <w:rPr>
      <w:vertAlign w:val="superscript"/>
    </w:rPr>
  </w:style>
  <w:style w:type="character" w:styleId="Style9">
    <w:name w:val="インターネットリンク"/>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Style10">
    <w:name w:val="見出し"/>
    <w:basedOn w:val="Normal"/>
    <w:next w:val="Style11"/>
    <w:qFormat/>
    <w:pPr>
      <w:keepNext/>
      <w:spacing w:before="240" w:after="120"/>
    </w:pPr>
    <w:rPr>
      <w:rFonts w:ascii="Liberation Sans" w:hAnsi="Liberation Sans" w:eastAsia="TakaoPGothic" w:cs="TakaoPGothic"/>
      <w:sz w:val="28"/>
      <w:szCs w:val="28"/>
    </w:rPr>
  </w:style>
  <w:style w:type="paragraph" w:styleId="Style11">
    <w:name w:val="本文"/>
    <w:basedOn w:val="Normal"/>
    <w:link w:val="BodyTextChar"/>
    <w:qFormat/>
    <w:pPr>
      <w:spacing w:before="180" w:after="180"/>
    </w:pPr>
    <w:rPr/>
  </w:style>
  <w:style w:type="paragraph" w:styleId="Style12">
    <w:name w:val="リスト"/>
    <w:basedOn w:val="Style11"/>
    <w:pPr/>
    <w:rPr/>
  </w:style>
  <w:style w:type="paragraph" w:styleId="Style13">
    <w:name w:val="キャプション"/>
    <w:basedOn w:val="Normal"/>
    <w:link w:val="BodyTextChar"/>
    <w:pPr>
      <w:spacing w:before="0" w:after="120"/>
    </w:pPr>
    <w:rPr>
      <w:i/>
    </w:rPr>
  </w:style>
  <w:style w:type="paragraph" w:styleId="Style14">
    <w:name w:val="索引"/>
    <w:basedOn w:val="Normal"/>
    <w:qFormat/>
    <w:pPr>
      <w:suppressLineNumbers/>
    </w:pPr>
    <w:rPr/>
  </w:style>
  <w:style w:type="paragraph" w:styleId="FirstParagraph" w:customStyle="1">
    <w:name w:val="First Paragraph"/>
    <w:basedOn w:val="Style11"/>
    <w:next w:val="Style11"/>
    <w:qFormat/>
    <w:pPr/>
    <w:rPr/>
  </w:style>
  <w:style w:type="paragraph" w:styleId="Compact" w:customStyle="1">
    <w:name w:val="Compact"/>
    <w:basedOn w:val="Style11"/>
    <w:qFormat/>
    <w:pPr>
      <w:spacing w:before="36" w:after="36"/>
    </w:pPr>
    <w:rPr/>
  </w:style>
  <w:style w:type="paragraph" w:styleId="Style15">
    <w:name w:val="タイトル"/>
    <w:basedOn w:val="Normal"/>
    <w:next w:val="Style11"/>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6">
    <w:name w:val="副題"/>
    <w:basedOn w:val="Style15"/>
    <w:next w:val="Style11"/>
    <w:qFormat/>
    <w:pPr>
      <w:keepNext/>
      <w:keepLines/>
      <w:spacing w:before="240" w:after="240"/>
      <w:jc w:val="center"/>
    </w:pPr>
    <w:rPr>
      <w:sz w:val="30"/>
      <w:szCs w:val="30"/>
    </w:rPr>
  </w:style>
  <w:style w:type="paragraph" w:styleId="Author" w:customStyle="1">
    <w:name w:val="Author"/>
    <w:next w:val="Style11"/>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Style11"/>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Style11"/>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Style11"/>
    <w:next w:val="Style11"/>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Style17">
    <w:name w:val="脚注"/>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3"/>
    <w:qFormat/>
    <w:pPr>
      <w:keepNext/>
    </w:pPr>
    <w:rPr/>
  </w:style>
  <w:style w:type="paragraph" w:styleId="ImageCaption" w:customStyle="1">
    <w:name w:val="Image Caption"/>
    <w:basedOn w:val="Style13"/>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1"/>
    <w:next w:val="Style1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takuyaokada.hatenablog.com/entry/20160218/1455758454" TargetMode="External"/><Relationship Id="rId6" Type="http://schemas.openxmlformats.org/officeDocument/2006/relationships/hyperlink" Target="http://takuyaokada.hatenablog.com/entry/20160218/1455804206"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LibreOffice/5.0.6.2$Linux_X86_64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Takuya Okada</dc:creator>
  <dc:language>ja-JP</dc:language>
  <cp:lastModifiedBy>tak0kada</cp:lastModifiedBy>
  <dcterms:modified xsi:type="dcterms:W3CDTF">2016-08-29T04:02:34Z</dcterms:modified>
  <cp:revision>1</cp:revision>
  <dc:title>SH_innerProduct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