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pPr>
      <w:r>
        <w:rPr>
          <w:rFonts w:ascii="Calibri" w:cs="Calibri" w:eastAsia="Calibri" w:hAnsi="Calibri"/>
          <w:b/>
          <w:bCs/>
          <w:color w:val="5C656E"/>
          <w:sz w:val="20"/>
          <w:szCs w:val="20"/>
        </w:rPr>
        <w:t xml:space="preserve">Geschäftsmodell</w:t>
      </w:r>
    </w:p>
    <w:p>
      <w:pPr>
        <w:spacing w:after="80" w:before="0"/>
      </w:pPr>
      <w:r>
        <w:rPr>
          <w:rFonts w:ascii="Calibri" w:cs="Calibri" w:eastAsia="Calibri" w:hAnsi="Calibri"/>
          <w:b/>
          <w:bCs/>
          <w:color w:val="1A2A3A"/>
          <w:sz w:val="40"/>
          <w:szCs w:val="40"/>
        </w:rPr>
        <w:t xml:space="preserve">Nachweisakte zum Festpreis</w:t>
      </w:r>
    </w:p>
    <w:p>
      <w:pPr>
        <w:spacing w:after="200" w:before="0" w:line="276"/>
      </w:pPr>
      <w:r>
        <w:rPr>
          <w:rFonts w:ascii="Calibri" w:cs="Calibri" w:eastAsia="Calibri" w:hAnsi="Calibri"/>
          <w:color w:val="5C656E"/>
          <w:sz w:val="22"/>
          <w:szCs w:val="22"/>
        </w:rPr>
        <w:t xml:space="preserve">Realistischer Plan für den Aufbau neben dem Hauptberuf. Kein Plattformmodell, kein zweites Standbein aus Backoffice.</w:t>
      </w:r>
    </w:p>
    <w:p>
      <w:pPr>
        <w:pStyle w:val="Heading1"/>
        <w:pBdr>
          <w:bottom w:val="single" w:color="1A2A3A" w:sz="8" w:space="1"/>
        </w:pBdr>
        <w:spacing w:after="160" w:before="320"/>
      </w:pPr>
      <w:r>
        <w:rPr>
          <w:rFonts w:ascii="Calibri" w:cs="Calibri" w:eastAsia="Calibri" w:hAnsi="Calibri"/>
          <w:b/>
          <w:bCs/>
          <w:color w:val="1A2A3A"/>
          <w:sz w:val="28"/>
          <w:szCs w:val="28"/>
        </w:rPr>
        <w:t xml:space="preserve">1. Entscheidung</w:t>
      </w:r>
    </w:p>
    <w:p>
      <w:pPr>
        <w:spacing w:after="120" w:before="0" w:line="276"/>
      </w:pPr>
      <w:r>
        <w:rPr>
          <w:rFonts w:ascii="Calibri" w:cs="Calibri" w:eastAsia="Calibri" w:hAnsi="Calibri"/>
          <w:color w:val="22262B"/>
          <w:sz w:val="22"/>
          <w:szCs w:val="22"/>
        </w:rPr>
        <w:t xml:space="preserve">Gensingen Consulting verkauft keine Verwaltung und keine Beratungstage. Verkauft wird eine abgenommene Nachweisakte gegen § 30 des Gesetzes über das Bundesamt für Sicherheit in der Informationstechnik, zum Festpreis, remote, an betroffene Mittelständler.</w:t>
      </w:r>
    </w:p>
    <w:p>
      <w:pPr>
        <w:spacing w:after="120" w:before="0" w:line="276"/>
      </w:pPr>
      <w:r>
        <w:rPr>
          <w:rFonts w:ascii="Calibri" w:cs="Calibri" w:eastAsia="Calibri" w:hAnsi="Calibri"/>
          <w:color w:val="22262B"/>
          <w:sz w:val="22"/>
          <w:szCs w:val="22"/>
        </w:rPr>
        <w:t xml:space="preserve">Die vorhandene Domain und die WordPress-Seite bleiben. Die Startseite wird auf dieses eine Angebot gezogen. Backoffice, Buchhaltung und Assistenz bleiben als Unterseite erhalten, sie sind nicht das Geschäftsmodell und nicht der erste Bildschirm.</w:t>
      </w:r>
    </w:p>
    <w:p>
      <w:pPr>
        <w:spacing w:after="120" w:before="0" w:line="276"/>
      </w:pPr>
      <w:r>
        <w:rPr>
          <w:rFonts w:ascii="Calibri" w:cs="Calibri" w:eastAsia="Calibri" w:hAnsi="Calibri"/>
          <w:color w:val="22262B"/>
          <w:sz w:val="22"/>
          <w:szCs w:val="22"/>
        </w:rPr>
        <w:t xml:space="preserve">Der Plan gilt für die ersten zwölf Monate als Nebentätigkeit. Er ist so gerechnet, dass er neben einer Vollzeitstelle tragbar ist. Ein Vollzeitunternehmen ist darin nicht unterstellt.</w:t>
      </w:r>
    </w:p>
    <w:p>
      <w:pPr>
        <w:pStyle w:val="Heading1"/>
        <w:pBdr>
          <w:bottom w:val="single" w:color="1A2A3A" w:sz="8" w:space="1"/>
        </w:pBdr>
        <w:spacing w:after="160" w:before="320"/>
      </w:pPr>
      <w:r>
        <w:rPr>
          <w:rFonts w:ascii="Calibri" w:cs="Calibri" w:eastAsia="Calibri" w:hAnsi="Calibri"/>
          <w:b/>
          <w:bCs/>
          <w:color w:val="1A2A3A"/>
          <w:sz w:val="28"/>
          <w:szCs w:val="28"/>
        </w:rPr>
        <w:t xml:space="preserve">2. Warum dieses Modell</w:t>
      </w:r>
    </w:p>
    <w:p>
      <w:pPr>
        <w:spacing w:after="120" w:before="0" w:line="276"/>
      </w:pPr>
      <w:r>
        <w:rPr>
          <w:rFonts w:ascii="Calibri" w:cs="Calibri" w:eastAsia="Calibri" w:hAnsi="Calibri"/>
          <w:color w:val="22262B"/>
          <w:sz w:val="22"/>
          <w:szCs w:val="22"/>
        </w:rPr>
        <w:t xml:space="preserve">Seit dem 6. Dezember 2025 gilt das NIS2-Umsetzungsgesetz. Betroffene Einrichtungen müssen ein Risikomanagement nachweisen, sich registrieren und die Geschäftsleitung in die Pflicht nehmen. Bis Ende Juni 2026 waren rund 17.700 Einrichtungen registriert, im Anwendungsbereich liegen eher um die 30.000. Knapp die Hälfte der Mittelständler hält die Umsetzung nur mit externer Hilfe für machbar.</w:t>
      </w:r>
    </w:p>
    <w:p>
      <w:pPr>
        <w:spacing w:after="120" w:before="0" w:line="276"/>
      </w:pPr>
      <w:r>
        <w:rPr>
          <w:rFonts w:ascii="Calibri" w:cs="Calibri" w:eastAsia="Calibri" w:hAnsi="Calibri"/>
          <w:color w:val="22262B"/>
          <w:sz w:val="22"/>
          <w:szCs w:val="22"/>
        </w:rPr>
        <w:t xml:space="preserve">Drei Angebote besetzen den Markt, keines davon ist das hier beschriebene:</w:t>
      </w:r>
    </w:p>
    <w:p>
      <w:pPr>
        <w:pStyle w:val="ListParagraph"/>
        <w:numPr>
          <w:ilvl w:val="0"/>
          <w:numId w:val="2"/>
        </w:numPr>
        <w:spacing w:after="40" w:before="20" w:line="276"/>
      </w:pPr>
      <w:r>
        <w:rPr>
          <w:rFonts w:ascii="Calibri" w:cs="Calibri" w:eastAsia="Calibri" w:hAnsi="Calibri"/>
          <w:color w:val="22262B"/>
          <w:sz w:val="22"/>
          <w:szCs w:val="22"/>
        </w:rPr>
        <w:t xml:space="preserve">Beratungshäuser verkaufen Anwesenheit. Typische Projekte dauern Monate und liegen weit über dem Budget eines Betriebs mit einer IT-Kraft.</w:t>
      </w:r>
    </w:p>
    <w:p>
      <w:pPr>
        <w:pStyle w:val="ListParagraph"/>
        <w:numPr>
          <w:ilvl w:val="0"/>
          <w:numId w:val="2"/>
        </w:numPr>
        <w:spacing w:after="40" w:before="20" w:line="276"/>
      </w:pPr>
      <w:r>
        <w:rPr>
          <w:rFonts w:ascii="Calibri" w:cs="Calibri" w:eastAsia="Calibri" w:hAnsi="Calibri"/>
          <w:color w:val="22262B"/>
          <w:sz w:val="22"/>
          <w:szCs w:val="22"/>
        </w:rPr>
        <w:t xml:space="preserve">Software verkauft ein leeres System. Die Inhalte, die eine Prüfung sehen will, schreibt der Kunde selbst.</w:t>
      </w:r>
    </w:p>
    <w:p>
      <w:pPr>
        <w:pStyle w:val="ListParagraph"/>
        <w:numPr>
          <w:ilvl w:val="0"/>
          <w:numId w:val="2"/>
        </w:numPr>
        <w:spacing w:after="40" w:before="20" w:line="276"/>
      </w:pPr>
      <w:r>
        <w:rPr>
          <w:rFonts w:ascii="Calibri" w:cs="Calibri" w:eastAsia="Calibri" w:hAnsi="Calibri"/>
          <w:color w:val="22262B"/>
          <w:sz w:val="22"/>
          <w:szCs w:val="22"/>
        </w:rPr>
        <w:t xml:space="preserve">Freelancer-Portale verkaufen Tage. Es gibt keine Abnahme und keinen Festpreis für ein definiertes Ergebnis.</w:t>
      </w:r>
    </w:p>
    <w:p>
      <w:pPr>
        <w:spacing w:after="120" w:before="0" w:line="276"/>
      </w:pPr>
      <w:r>
        <w:rPr>
          <w:rFonts w:ascii="Calibri" w:cs="Calibri" w:eastAsia="Calibri" w:hAnsi="Calibri"/>
          <w:color w:val="22262B"/>
          <w:sz w:val="22"/>
          <w:szCs w:val="22"/>
        </w:rPr>
        <w:t xml:space="preserve">Die Lücke ist die gefüllte Akte. Fertig ist nur, was einen Nachweis, einen Namen und ein Datum hat. Ein Richtlinien-PDF ohne Asset-Liste gilt nicht als fertig. Das ist der Unterschied, und er ist nur so lange ein Unterschied, wie er in der Abnahme durchgehalten wird.</w:t>
      </w:r>
    </w:p>
    <w:p>
      <w:pPr>
        <w:pStyle w:val="Heading1"/>
        <w:pBdr>
          <w:bottom w:val="single" w:color="1A2A3A" w:sz="8" w:space="1"/>
        </w:pBdr>
        <w:spacing w:after="160" w:before="320"/>
      </w:pPr>
      <w:r>
        <w:rPr>
          <w:rFonts w:ascii="Calibri" w:cs="Calibri" w:eastAsia="Calibri" w:hAnsi="Calibri"/>
          <w:b/>
          <w:bCs/>
          <w:color w:val="1A2A3A"/>
          <w:sz w:val="28"/>
          <w:szCs w:val="28"/>
        </w:rPr>
        <w:t xml:space="preserve">3. Angebot</w:t>
      </w:r>
    </w:p>
    <w:p>
      <w:pPr>
        <w:spacing w:after="120" w:before="0" w:line="276"/>
      </w:pPr>
      <w:r>
        <w:rPr>
          <w:rFonts w:ascii="Calibri" w:cs="Calibri" w:eastAsia="Calibri" w:hAnsi="Calibri"/>
          <w:color w:val="22262B"/>
          <w:sz w:val="22"/>
          <w:szCs w:val="22"/>
        </w:rPr>
        <w:t xml:space="preserve">Drei Pakete. Alles andere wird in den ersten zwölf Monaten nicht verkauft.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238"/>
        <w:gridCol w:w="1600"/>
        <w:gridCol w:w="1600"/>
      </w:tblGrid>
      <w:tr>
        <w:trPr>
          <w:cantSplit/>
        </w:trPr>
        <w:tc>
          <w:tcPr>
            <w:tcW w:type="dxa" w:w="2200"/>
            <w:tcBorders>
              <w:top w:val="single" w:color="D5D8DC" w:sz="4"/>
              <w:left w:val="single" w:color="D5D8DC" w:sz="4"/>
              <w:bottom w:val="single" w:color="D5D8DC" w:sz="4"/>
              <w:right w:val="single" w:color="D5D8DC" w:sz="4"/>
            </w:tcBorders>
            <w:shd w:fill="F4F5F4" w:val="clear"/>
            <w:tcMar>
              <w:top w:type="dxa" w:w="60"/>
              <w:left w:type="dxa" w:w="80"/>
              <w:bottom w:type="dxa" w:w="60"/>
              <w:right w:type="dxa" w:w="80"/>
            </w:tcMar>
            <w:vAlign w:val="top"/>
          </w:tcPr>
          <w:p>
            <w:pPr>
              <w:spacing w:after="0" w:before="0" w:line="240"/>
            </w:pPr>
            <w:r>
              <w:rPr>
                <w:rFonts w:ascii="Calibri" w:cs="Calibri" w:eastAsia="Calibri" w:hAnsi="Calibri"/>
                <w:b/>
                <w:bCs/>
                <w:color w:val="1A2A3A"/>
                <w:sz w:val="18"/>
                <w:szCs w:val="18"/>
              </w:rPr>
              <w:t xml:space="preserve">Paket</w:t>
            </w:r>
          </w:p>
        </w:tc>
        <w:tc>
          <w:tcPr>
            <w:tcW w:type="dxa" w:w="4238"/>
            <w:tcBorders>
              <w:top w:val="single" w:color="D5D8DC" w:sz="4"/>
              <w:left w:val="single" w:color="D5D8DC" w:sz="4"/>
              <w:bottom w:val="single" w:color="D5D8DC" w:sz="4"/>
              <w:right w:val="single" w:color="D5D8DC" w:sz="4"/>
            </w:tcBorders>
            <w:shd w:fill="F4F5F4" w:val="clear"/>
            <w:tcMar>
              <w:top w:type="dxa" w:w="60"/>
              <w:left w:type="dxa" w:w="80"/>
              <w:bottom w:type="dxa" w:w="60"/>
              <w:right w:type="dxa" w:w="80"/>
            </w:tcMar>
            <w:vAlign w:val="top"/>
          </w:tcPr>
          <w:p>
            <w:pPr>
              <w:spacing w:after="0" w:before="0" w:line="240"/>
            </w:pPr>
            <w:r>
              <w:rPr>
                <w:rFonts w:ascii="Calibri" w:cs="Calibri" w:eastAsia="Calibri" w:hAnsi="Calibri"/>
                <w:b/>
                <w:bCs/>
                <w:color w:val="1A2A3A"/>
                <w:sz w:val="18"/>
                <w:szCs w:val="18"/>
              </w:rPr>
              <w:t xml:space="preserve">Ergebnis</w:t>
            </w:r>
          </w:p>
        </w:tc>
        <w:tc>
          <w:tcPr>
            <w:tcW w:type="dxa" w:w="1600"/>
            <w:tcBorders>
              <w:top w:val="single" w:color="D5D8DC" w:sz="4"/>
              <w:left w:val="single" w:color="D5D8DC" w:sz="4"/>
              <w:bottom w:val="single" w:color="D5D8DC" w:sz="4"/>
              <w:right w:val="single" w:color="D5D8DC" w:sz="4"/>
            </w:tcBorders>
            <w:shd w:fill="F4F5F4" w:val="clear"/>
            <w:tcMar>
              <w:top w:type="dxa" w:w="60"/>
              <w:left w:type="dxa" w:w="80"/>
              <w:bottom w:type="dxa" w:w="60"/>
              <w:right w:type="dxa" w:w="80"/>
            </w:tcMar>
            <w:vAlign w:val="top"/>
          </w:tcPr>
          <w:p>
            <w:pPr>
              <w:spacing w:after="0" w:before="0" w:line="240"/>
            </w:pPr>
            <w:r>
              <w:rPr>
                <w:rFonts w:ascii="Calibri" w:cs="Calibri" w:eastAsia="Calibri" w:hAnsi="Calibri"/>
                <w:b/>
                <w:bCs/>
                <w:color w:val="1A2A3A"/>
                <w:sz w:val="18"/>
                <w:szCs w:val="18"/>
              </w:rPr>
              <w:t xml:space="preserve">Preis netto</w:t>
            </w:r>
          </w:p>
        </w:tc>
        <w:tc>
          <w:tcPr>
            <w:tcW w:type="dxa" w:w="1600"/>
            <w:tcBorders>
              <w:top w:val="single" w:color="D5D8DC" w:sz="4"/>
              <w:left w:val="single" w:color="D5D8DC" w:sz="4"/>
              <w:bottom w:val="single" w:color="D5D8DC" w:sz="4"/>
              <w:right w:val="single" w:color="D5D8DC" w:sz="4"/>
            </w:tcBorders>
            <w:shd w:fill="F4F5F4" w:val="clear"/>
            <w:tcMar>
              <w:top w:type="dxa" w:w="60"/>
              <w:left w:type="dxa" w:w="80"/>
              <w:bottom w:type="dxa" w:w="60"/>
              <w:right w:type="dxa" w:w="80"/>
            </w:tcMar>
            <w:vAlign w:val="top"/>
          </w:tcPr>
          <w:p>
            <w:pPr>
              <w:spacing w:after="0" w:before="0" w:line="240"/>
            </w:pPr>
            <w:r>
              <w:rPr>
                <w:rFonts w:ascii="Calibri" w:cs="Calibri" w:eastAsia="Calibri" w:hAnsi="Calibri"/>
                <w:b/>
                <w:bCs/>
                <w:color w:val="1A2A3A"/>
                <w:sz w:val="18"/>
                <w:szCs w:val="18"/>
              </w:rPr>
              <w:t xml:space="preserve">Eigenaufwand</w:t>
            </w:r>
          </w:p>
        </w:tc>
      </w:tr>
      <w:tr>
        <w:trPr>
          <w:cantSplit/>
        </w:trPr>
        <w:tc>
          <w:tcPr>
            <w:tcW w:type="dxa" w:w="22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color w:val="22262B"/>
                <w:sz w:val="18"/>
                <w:szCs w:val="18"/>
              </w:rPr>
              <w:t xml:space="preserve">Betroffenheit und Lücke</w:t>
            </w:r>
          </w:p>
        </w:tc>
        <w:tc>
          <w:tcPr>
            <w:tcW w:type="dxa" w:w="4238"/>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color w:val="22262B"/>
                <w:sz w:val="18"/>
                <w:szCs w:val="18"/>
              </w:rPr>
              <w:t xml:space="preserve">Eine Seite: betroffen ja oder nein, Registrierung, zehn Lücken, Haftungsbild</w:t>
            </w:r>
          </w:p>
        </w:tc>
        <w:tc>
          <w:tcPr>
            <w:tcW w:type="dxa" w:w="16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color w:val="22262B"/>
                <w:sz w:val="18"/>
                <w:szCs w:val="18"/>
              </w:rPr>
              <w:t xml:space="preserve">2.900 €</w:t>
            </w:r>
          </w:p>
        </w:tc>
        <w:tc>
          <w:tcPr>
            <w:tcW w:type="dxa" w:w="16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color w:val="22262B"/>
                <w:sz w:val="18"/>
                <w:szCs w:val="18"/>
              </w:rPr>
              <w:t xml:space="preserve">ca. 12 Stunden</w:t>
            </w:r>
          </w:p>
        </w:tc>
      </w:tr>
      <w:tr>
        <w:trPr>
          <w:cantSplit/>
        </w:trPr>
        <w:tc>
          <w:tcPr>
            <w:tcW w:type="dxa" w:w="22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color w:val="22262B"/>
                <w:sz w:val="18"/>
                <w:szCs w:val="18"/>
              </w:rPr>
              <w:t xml:space="preserve">Nachweis-Sprint</w:t>
            </w:r>
          </w:p>
        </w:tc>
        <w:tc>
          <w:tcPr>
            <w:tcW w:type="dxa" w:w="4238"/>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color w:val="22262B"/>
                <w:sz w:val="18"/>
                <w:szCs w:val="18"/>
              </w:rPr>
              <w:t xml:space="preserve">Zwölf Artefakte, Nachweis verlinkt, Register zur Abnahme</w:t>
            </w:r>
          </w:p>
        </w:tc>
        <w:tc>
          <w:tcPr>
            <w:tcW w:type="dxa" w:w="16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color w:val="22262B"/>
                <w:sz w:val="18"/>
                <w:szCs w:val="18"/>
              </w:rPr>
              <w:t xml:space="preserve">9.500 €</w:t>
            </w:r>
          </w:p>
        </w:tc>
        <w:tc>
          <w:tcPr>
            <w:tcW w:type="dxa" w:w="16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color w:val="22262B"/>
                <w:sz w:val="18"/>
                <w:szCs w:val="18"/>
              </w:rPr>
              <w:t xml:space="preserve">35 bis 45 Stunden</w:t>
            </w:r>
          </w:p>
        </w:tc>
      </w:tr>
      <w:tr>
        <w:trPr>
          <w:cantSplit/>
        </w:trPr>
        <w:tc>
          <w:tcPr>
            <w:tcW w:type="dxa" w:w="22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color w:val="22262B"/>
                <w:sz w:val="18"/>
                <w:szCs w:val="18"/>
              </w:rPr>
              <w:t xml:space="preserve">Readiness-Audit</w:t>
            </w:r>
          </w:p>
        </w:tc>
        <w:tc>
          <w:tcPr>
            <w:tcW w:type="dxa" w:w="4238"/>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color w:val="22262B"/>
                <w:sz w:val="18"/>
                <w:szCs w:val="18"/>
              </w:rPr>
              <w:t xml:space="preserve">Befundliste schwer, mittel, Hinweis gegen die vorhandene Akte</w:t>
            </w:r>
          </w:p>
        </w:tc>
        <w:tc>
          <w:tcPr>
            <w:tcW w:type="dxa" w:w="16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color w:val="22262B"/>
                <w:sz w:val="18"/>
                <w:szCs w:val="18"/>
              </w:rPr>
              <w:t xml:space="preserve">4.500 €</w:t>
            </w:r>
          </w:p>
        </w:tc>
        <w:tc>
          <w:tcPr>
            <w:tcW w:type="dxa" w:w="16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color w:val="22262B"/>
                <w:sz w:val="18"/>
                <w:szCs w:val="18"/>
              </w:rPr>
              <w:t xml:space="preserve">ca. 16 Stunden</w:t>
            </w:r>
          </w:p>
        </w:tc>
      </w:tr>
    </w:tbl>
    <w:p>
      <w:pPr>
        <w:spacing w:after="120" w:before="140" w:line="276"/>
      </w:pPr>
      <w:r>
        <w:rPr>
          <w:rFonts w:ascii="Calibri" w:cs="Calibri" w:eastAsia="Calibri" w:hAnsi="Calibri"/>
          <w:color w:val="22262B"/>
          <w:sz w:val="22"/>
          <w:szCs w:val="22"/>
        </w:rPr>
        <w:t xml:space="preserve">Zahlung: 40 Prozent bei Auftrag, 60 Prozent bei Abnahme des Registers. Die letzte Datei geht erst nach Geldeingang heraus. Kein Tagessatz, keine offene Nachkalkulation, maximal zwei Feedbackrunden.</w:t>
      </w:r>
    </w:p>
    <w:p>
      <w:pPr>
        <w:spacing w:after="120" w:before="0" w:line="276"/>
      </w:pPr>
      <w:r>
        <w:rPr>
          <w:rFonts w:ascii="Calibri" w:cs="Calibri" w:eastAsia="Calibri" w:hAnsi="Calibri"/>
          <w:color w:val="22262B"/>
          <w:sz w:val="22"/>
          <w:szCs w:val="22"/>
        </w:rPr>
        <w:t xml:space="preserve">Die zwölf Artefakte des Sprints sind fest: Geltungsbereich, Asset-Liste, Risikomethode, Maßnahmenplan, Vorfallprozess mit Fristen, Lieferantenliste, Zugriffskonzept, Backup-Nachweis, Schulungsprotokoll der Geschäftsleitung, Rollen, Meldeweg, Managementbewertung.</w:t>
      </w:r>
    </w:p>
    <w:p>
      <w:pPr>
        <w:spacing w:after="120" w:before="0" w:line="276"/>
      </w:pPr>
      <w:r>
        <w:rPr>
          <w:rFonts w:ascii="Calibri" w:cs="Calibri" w:eastAsia="Calibri" w:hAnsi="Calibri"/>
          <w:color w:val="22262B"/>
          <w:sz w:val="22"/>
          <w:szCs w:val="22"/>
        </w:rPr>
        <w:t xml:space="preserve">Nicht im Angebot: Rechtsberatung, Steuerberatung, Konzernzertifizierung, KRITIS-Großprojekt, Betrieb eines Security Operations Center, Penetrationstests als eigene Leistung.</w:t>
      </w:r>
    </w:p>
    <w:p>
      <w:pPr>
        <w:pStyle w:val="Heading1"/>
        <w:pBdr>
          <w:bottom w:val="single" w:color="1A2A3A" w:sz="8" w:space="1"/>
        </w:pBdr>
        <w:spacing w:after="160" w:before="320"/>
      </w:pPr>
      <w:r>
        <w:rPr>
          <w:rFonts w:ascii="Calibri" w:cs="Calibri" w:eastAsia="Calibri" w:hAnsi="Calibri"/>
          <w:b/>
          <w:bCs/>
          <w:color w:val="1A2A3A"/>
          <w:sz w:val="28"/>
          <w:szCs w:val="28"/>
        </w:rPr>
        <w:t xml:space="preserve">4. Kunde und Kanal</w:t>
      </w:r>
    </w:p>
    <w:p>
      <w:pPr>
        <w:spacing w:after="120" w:before="0" w:line="276"/>
      </w:pPr>
      <w:r>
        <w:rPr>
          <w:rFonts w:ascii="Calibri" w:cs="Calibri" w:eastAsia="Calibri" w:hAnsi="Calibri"/>
          <w:color w:val="22262B"/>
          <w:sz w:val="22"/>
          <w:szCs w:val="22"/>
        </w:rPr>
        <w:t xml:space="preserve">Der direkte Kunde ist ein Betrieb mit etwa 50 bis 400 Beschäftigten, einer IT-Kraft und einer Geschäftsleitung, die nach der Registrierung gefragt wird. Produktion, Gesundheit, Entsorgung, Lebensmittel, digitale Dienste. Nicht der Konzern, nicht die Praxis, nicht der Handwerksbetrieb mit vier Leuten.</w:t>
      </w:r>
    </w:p>
    <w:p>
      <w:pPr>
        <w:spacing w:after="120" w:before="0" w:line="276"/>
      </w:pPr>
      <w:r>
        <w:rPr>
          <w:rFonts w:ascii="Calibri" w:cs="Calibri" w:eastAsia="Calibri" w:hAnsi="Calibri"/>
          <w:color w:val="22262B"/>
          <w:sz w:val="22"/>
          <w:szCs w:val="22"/>
        </w:rPr>
        <w:t xml:space="preserve">Der Kanal ist nicht die Website. Die Website filtert. Der Kanal ist das IT-Systemhaus, das diesen Betrieb schon betreut und die Akte nicht selbst bauen will.</w:t>
      </w:r>
    </w:p>
    <w:p>
      <w:pPr>
        <w:pStyle w:val="ListParagraph"/>
        <w:numPr>
          <w:ilvl w:val="0"/>
          <w:numId w:val="3"/>
        </w:numPr>
        <w:spacing w:after="40" w:before="20" w:line="276"/>
      </w:pPr>
      <w:r>
        <w:rPr>
          <w:rFonts w:ascii="Calibri" w:cs="Calibri" w:eastAsia="Calibri" w:hAnsi="Calibri"/>
          <w:color w:val="22262B"/>
          <w:sz w:val="22"/>
          <w:szCs w:val="22"/>
        </w:rPr>
        <w:t xml:space="preserve">Systemhaus bleibt Ansprechpartner für Technik und Betrieb.</w:t>
      </w:r>
    </w:p>
    <w:p>
      <w:pPr>
        <w:pStyle w:val="ListParagraph"/>
        <w:numPr>
          <w:ilvl w:val="0"/>
          <w:numId w:val="3"/>
        </w:numPr>
        <w:spacing w:after="40" w:before="20" w:line="276"/>
      </w:pPr>
      <w:r>
        <w:rPr>
          <w:rFonts w:ascii="Calibri" w:cs="Calibri" w:eastAsia="Calibri" w:hAnsi="Calibri"/>
          <w:color w:val="22262B"/>
          <w:sz w:val="22"/>
          <w:szCs w:val="22"/>
        </w:rPr>
        <w:t xml:space="preserve">Gensingen Consulting führt das Gespräch zur Betroffenheit und stellt das Festpreisangebot.</w:t>
      </w:r>
    </w:p>
    <w:p>
      <w:pPr>
        <w:pStyle w:val="ListParagraph"/>
        <w:numPr>
          <w:ilvl w:val="0"/>
          <w:numId w:val="3"/>
        </w:numPr>
        <w:spacing w:after="40" w:before="20" w:line="276"/>
      </w:pPr>
      <w:r>
        <w:rPr>
          <w:rFonts w:ascii="Calibri" w:cs="Calibri" w:eastAsia="Calibri" w:hAnsi="Calibri"/>
          <w:color w:val="22262B"/>
          <w:sz w:val="22"/>
          <w:szCs w:val="22"/>
        </w:rPr>
        <w:t xml:space="preserve">Keine Lead-Gebühr. Wenn das Systemhaus die Einführung begleitet, 15 Prozent vom Paketpreis nach Zahlungseingang.</w:t>
      </w:r>
    </w:p>
    <w:p>
      <w:pPr>
        <w:pStyle w:val="ListParagraph"/>
        <w:numPr>
          <w:ilvl w:val="0"/>
          <w:numId w:val="3"/>
        </w:numPr>
        <w:spacing w:after="40" w:before="20" w:line="276"/>
      </w:pPr>
      <w:r>
        <w:rPr>
          <w:rFonts w:ascii="Calibri" w:cs="Calibri" w:eastAsia="Calibri" w:hAnsi="Calibri"/>
          <w:color w:val="22262B"/>
          <w:sz w:val="22"/>
          <w:szCs w:val="22"/>
        </w:rPr>
        <w:t xml:space="preserve">Vertrag und Haftung für die Lieferleistung bleiben bei Gensingen Consulting.</w:t>
      </w:r>
    </w:p>
    <w:p>
      <w:pPr>
        <w:spacing w:after="120" w:before="0" w:line="276"/>
      </w:pPr>
      <w:r>
        <w:rPr>
          <w:rFonts w:ascii="Calibri" w:cs="Calibri" w:eastAsia="Calibri" w:hAnsi="Calibri"/>
          <w:color w:val="22262B"/>
          <w:sz w:val="22"/>
          <w:szCs w:val="22"/>
        </w:rPr>
        <w:t xml:space="preserve">Zweiter Kanal, erst nach dem ersten bezahlten Check: Steuerberater, die von Mandanten nach der Registrierung gefragt werden. Keine Anzeigen, keine Messe, kein Portal in den ersten zwölf Monaten.</w:t>
      </w:r>
    </w:p>
    <w:p>
      <w:pPr>
        <w:pStyle w:val="Heading1"/>
        <w:pBdr>
          <w:bottom w:val="single" w:color="1A2A3A" w:sz="8" w:space="1"/>
        </w:pBdr>
        <w:spacing w:after="160" w:before="320"/>
      </w:pPr>
      <w:r>
        <w:rPr>
          <w:rFonts w:ascii="Calibri" w:cs="Calibri" w:eastAsia="Calibri" w:hAnsi="Calibri"/>
          <w:b/>
          <w:bCs/>
          <w:color w:val="1A2A3A"/>
          <w:sz w:val="28"/>
          <w:szCs w:val="28"/>
        </w:rPr>
        <w:t xml:space="preserve">5. Wirtschaftlichkeit</w:t>
      </w:r>
    </w:p>
    <w:p>
      <w:pPr>
        <w:spacing w:after="120" w:before="0" w:line="276"/>
      </w:pPr>
      <w:r>
        <w:rPr>
          <w:rFonts w:ascii="Calibri" w:cs="Calibri" w:eastAsia="Calibri" w:hAnsi="Calibri"/>
          <w:color w:val="22262B"/>
          <w:sz w:val="22"/>
          <w:szCs w:val="22"/>
        </w:rPr>
        <w:t xml:space="preserve">Gerechnet als Nebentätigkeit mit höchstens einem laufenden Sprint. Kapazität realistisch sechs bis zehn Stunden pro Woche neben der Vollzeitstelle. Ein Sprint über sechs Wochen liegt damit an der Obergrenze. Ein zweiter Sprint parallel ist im ersten Jahr nicht eingeplant.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638"/>
      </w:tblGrid>
      <w:tr>
        <w:trPr>
          <w:cantSplit/>
        </w:trPr>
        <w:tc>
          <w:tcPr>
            <w:tcW w:type="dxa" w:w="1800"/>
            <w:tcBorders>
              <w:top w:val="single" w:color="D5D8DC" w:sz="4"/>
              <w:left w:val="single" w:color="D5D8DC" w:sz="4"/>
              <w:bottom w:val="single" w:color="D5D8DC" w:sz="4"/>
              <w:right w:val="single" w:color="D5D8DC" w:sz="4"/>
            </w:tcBorders>
            <w:shd w:fill="F4F5F4" w:val="clear"/>
            <w:tcMar>
              <w:top w:type="dxa" w:w="60"/>
              <w:left w:type="dxa" w:w="80"/>
              <w:bottom w:type="dxa" w:w="60"/>
              <w:right w:type="dxa" w:w="80"/>
            </w:tcMar>
            <w:vAlign w:val="top"/>
          </w:tcPr>
          <w:p>
            <w:pPr>
              <w:spacing w:after="0" w:before="0" w:line="240"/>
            </w:pPr>
            <w:r>
              <w:rPr>
                <w:rFonts w:ascii="Calibri" w:cs="Calibri" w:eastAsia="Calibri" w:hAnsi="Calibri"/>
                <w:b/>
                <w:bCs/>
                <w:color w:val="1A2A3A"/>
                <w:sz w:val="18"/>
                <w:szCs w:val="18"/>
              </w:rPr>
              <w:t xml:space="preserve">Szenario, 12 Monate</w:t>
            </w:r>
          </w:p>
        </w:tc>
        <w:tc>
          <w:tcPr>
            <w:tcW w:type="dxa" w:w="2400"/>
            <w:tcBorders>
              <w:top w:val="single" w:color="D5D8DC" w:sz="4"/>
              <w:left w:val="single" w:color="D5D8DC" w:sz="4"/>
              <w:bottom w:val="single" w:color="D5D8DC" w:sz="4"/>
              <w:right w:val="single" w:color="D5D8DC" w:sz="4"/>
            </w:tcBorders>
            <w:shd w:fill="F4F5F4" w:val="clear"/>
            <w:tcMar>
              <w:top w:type="dxa" w:w="60"/>
              <w:left w:type="dxa" w:w="80"/>
              <w:bottom w:type="dxa" w:w="60"/>
              <w:right w:type="dxa" w:w="80"/>
            </w:tcMar>
            <w:vAlign w:val="top"/>
          </w:tcPr>
          <w:p>
            <w:pPr>
              <w:spacing w:after="0" w:before="0" w:line="240"/>
            </w:pPr>
            <w:r>
              <w:rPr>
                <w:rFonts w:ascii="Calibri" w:cs="Calibri" w:eastAsia="Calibri" w:hAnsi="Calibri"/>
                <w:b/>
                <w:bCs/>
                <w:color w:val="1A2A3A"/>
                <w:sz w:val="18"/>
                <w:szCs w:val="18"/>
              </w:rPr>
              <w:t xml:space="preserve">Mandate</w:t>
            </w:r>
          </w:p>
        </w:tc>
        <w:tc>
          <w:tcPr>
            <w:tcW w:type="dxa" w:w="1800"/>
            <w:tcBorders>
              <w:top w:val="single" w:color="D5D8DC" w:sz="4"/>
              <w:left w:val="single" w:color="D5D8DC" w:sz="4"/>
              <w:bottom w:val="single" w:color="D5D8DC" w:sz="4"/>
              <w:right w:val="single" w:color="D5D8DC" w:sz="4"/>
            </w:tcBorders>
            <w:shd w:fill="F4F5F4" w:val="clear"/>
            <w:tcMar>
              <w:top w:type="dxa" w:w="60"/>
              <w:left w:type="dxa" w:w="80"/>
              <w:bottom w:type="dxa" w:w="60"/>
              <w:right w:type="dxa" w:w="80"/>
            </w:tcMar>
            <w:vAlign w:val="top"/>
          </w:tcPr>
          <w:p>
            <w:pPr>
              <w:spacing w:after="0" w:before="0" w:line="240"/>
            </w:pPr>
            <w:r>
              <w:rPr>
                <w:rFonts w:ascii="Calibri" w:cs="Calibri" w:eastAsia="Calibri" w:hAnsi="Calibri"/>
                <w:b/>
                <w:bCs/>
                <w:color w:val="1A2A3A"/>
                <w:sz w:val="18"/>
                <w:szCs w:val="18"/>
              </w:rPr>
              <w:t xml:space="preserve">Umsatz netto</w:t>
            </w:r>
          </w:p>
        </w:tc>
        <w:tc>
          <w:tcPr>
            <w:tcW w:type="dxa" w:w="3638"/>
            <w:tcBorders>
              <w:top w:val="single" w:color="D5D8DC" w:sz="4"/>
              <w:left w:val="single" w:color="D5D8DC" w:sz="4"/>
              <w:bottom w:val="single" w:color="D5D8DC" w:sz="4"/>
              <w:right w:val="single" w:color="D5D8DC" w:sz="4"/>
            </w:tcBorders>
            <w:shd w:fill="F4F5F4" w:val="clear"/>
            <w:tcMar>
              <w:top w:type="dxa" w:w="60"/>
              <w:left w:type="dxa" w:w="80"/>
              <w:bottom w:type="dxa" w:w="60"/>
              <w:right w:type="dxa" w:w="80"/>
            </w:tcMar>
            <w:vAlign w:val="top"/>
          </w:tcPr>
          <w:p>
            <w:pPr>
              <w:spacing w:after="0" w:before="0" w:line="240"/>
            </w:pPr>
            <w:r>
              <w:rPr>
                <w:rFonts w:ascii="Calibri" w:cs="Calibri" w:eastAsia="Calibri" w:hAnsi="Calibri"/>
                <w:b/>
                <w:bCs/>
                <w:color w:val="1A2A3A"/>
                <w:sz w:val="18"/>
                <w:szCs w:val="18"/>
              </w:rPr>
              <w:t xml:space="preserve">Was dafür wahr sein muss</w:t>
            </w:r>
          </w:p>
        </w:tc>
      </w:tr>
      <w:tr>
        <w:trPr>
          <w:cantSplit/>
        </w:trPr>
        <w:tc>
          <w:tcPr>
            <w:tcW w:type="dxa" w:w="1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color w:val="22262B"/>
                <w:sz w:val="18"/>
                <w:szCs w:val="18"/>
              </w:rPr>
              <w:t xml:space="preserve">Zurückhaltend</w:t>
            </w:r>
          </w:p>
        </w:tc>
        <w:tc>
          <w:tcPr>
            <w:tcW w:type="dxa" w:w="24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color w:val="22262B"/>
                <w:sz w:val="18"/>
                <w:szCs w:val="18"/>
              </w:rPr>
              <w:t xml:space="preserve">2 Checks</w:t>
            </w:r>
          </w:p>
        </w:tc>
        <w:tc>
          <w:tcPr>
            <w:tcW w:type="dxa" w:w="1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color w:val="22262B"/>
                <w:sz w:val="18"/>
                <w:szCs w:val="18"/>
              </w:rPr>
              <w:t xml:space="preserve">5.800 €</w:t>
            </w:r>
          </w:p>
        </w:tc>
        <w:tc>
          <w:tcPr>
            <w:tcW w:type="dxa" w:w="3638"/>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color w:val="22262B"/>
                <w:sz w:val="18"/>
                <w:szCs w:val="18"/>
              </w:rPr>
              <w:t xml:space="preserve">Zwei Gespräche werden zu Aufträgen</w:t>
            </w:r>
          </w:p>
        </w:tc>
      </w:tr>
      <w:tr>
        <w:trPr>
          <w:cantSplit/>
        </w:trPr>
        <w:tc>
          <w:tcPr>
            <w:tcW w:type="dxa" w:w="1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color w:val="22262B"/>
                <w:sz w:val="18"/>
                <w:szCs w:val="18"/>
              </w:rPr>
              <w:t xml:space="preserve">Basis</w:t>
            </w:r>
          </w:p>
        </w:tc>
        <w:tc>
          <w:tcPr>
            <w:tcW w:type="dxa" w:w="24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color w:val="22262B"/>
                <w:sz w:val="18"/>
                <w:szCs w:val="18"/>
              </w:rPr>
              <w:t xml:space="preserve">3 Checks, 1 Sprint</w:t>
            </w:r>
          </w:p>
        </w:tc>
        <w:tc>
          <w:tcPr>
            <w:tcW w:type="dxa" w:w="1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color w:val="22262B"/>
                <w:sz w:val="18"/>
                <w:szCs w:val="18"/>
              </w:rPr>
              <w:t xml:space="preserve">18.200 €</w:t>
            </w:r>
          </w:p>
        </w:tc>
        <w:tc>
          <w:tcPr>
            <w:tcW w:type="dxa" w:w="3638"/>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color w:val="22262B"/>
                <w:sz w:val="18"/>
                <w:szCs w:val="18"/>
              </w:rPr>
              <w:t xml:space="preserve">Ein Systemhaus empfiehlt ernsthaft</w:t>
            </w:r>
          </w:p>
        </w:tc>
      </w:tr>
      <w:tr>
        <w:trPr>
          <w:cantSplit/>
        </w:trPr>
        <w:tc>
          <w:tcPr>
            <w:tcW w:type="dxa" w:w="1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color w:val="22262B"/>
                <w:sz w:val="18"/>
                <w:szCs w:val="18"/>
              </w:rPr>
              <w:t xml:space="preserve">Tragfähig</w:t>
            </w:r>
          </w:p>
        </w:tc>
        <w:tc>
          <w:tcPr>
            <w:tcW w:type="dxa" w:w="24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color w:val="22262B"/>
                <w:sz w:val="18"/>
                <w:szCs w:val="18"/>
              </w:rPr>
              <w:t xml:space="preserve">4 Checks, 2 Sprints</w:t>
            </w:r>
          </w:p>
        </w:tc>
        <w:tc>
          <w:tcPr>
            <w:tcW w:type="dxa" w:w="1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color w:val="22262B"/>
                <w:sz w:val="18"/>
                <w:szCs w:val="18"/>
              </w:rPr>
              <w:t xml:space="preserve">30.600 €</w:t>
            </w:r>
          </w:p>
        </w:tc>
        <w:tc>
          <w:tcPr>
            <w:tcW w:type="dxa" w:w="3638"/>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color w:val="22262B"/>
                <w:sz w:val="18"/>
                <w:szCs w:val="18"/>
              </w:rPr>
              <w:t xml:space="preserve">Folgeauftrag und ein zweites Haus</w:t>
            </w:r>
          </w:p>
        </w:tc>
      </w:tr>
    </w:tbl>
    <w:p>
      <w:pPr>
        <w:spacing w:after="120" w:before="140" w:line="276"/>
      </w:pPr>
      <w:r>
        <w:rPr>
          <w:rFonts w:ascii="Calibri" w:cs="Calibri" w:eastAsia="Calibri" w:hAnsi="Calibri"/>
          <w:color w:val="22262B"/>
          <w:sz w:val="22"/>
          <w:szCs w:val="22"/>
        </w:rPr>
        <w:t xml:space="preserve">Der Basispfad ist der Planwert, nicht der Tragfähig-Pfad. 18.200 € netto im ersten Jahr sind ein funktionierendes Nebengeschäft. 30.000 € sind der Deckel, ab dem die Wochenstunden mit der Hauptstelle kollidieren.</w:t>
      </w:r>
    </w:p>
    <w:p>
      <w:pPr>
        <w:spacing w:after="120" w:before="0" w:line="276"/>
      </w:pPr>
      <w:r>
        <w:rPr>
          <w:rFonts w:ascii="Calibri" w:cs="Calibri" w:eastAsia="Calibri" w:hAnsi="Calibri"/>
          <w:color w:val="22262B"/>
          <w:sz w:val="22"/>
          <w:szCs w:val="22"/>
        </w:rPr>
        <w:t xml:space="preserve">Im Gründungsjahr gilt für die Kleinunternehmerregelung nach § 19 UStG ein tatsächlicher Umsatz von höchstens 25.000 €. Der Tragfähig-Pfad reißt diese Grenze. Deshalb wird ab dem ersten Auftrag entschieden: entweder Kleinunternehmer und den Umsatz im Gründungsjahr unter 25.000 € halten, oder von Beginn an regelbesteuert. Nicht erst im November rechnen.</w:t>
      </w:r>
    </w:p>
    <w:p>
      <w:pPr>
        <w:spacing w:after="120" w:before="0" w:line="276"/>
      </w:pPr>
      <w:r>
        <w:rPr>
          <w:rFonts w:ascii="Calibri" w:cs="Calibri" w:eastAsia="Calibri" w:hAnsi="Calibri"/>
          <w:color w:val="22262B"/>
          <w:sz w:val="22"/>
          <w:szCs w:val="22"/>
        </w:rPr>
        <w:t xml:space="preserve">Fixkosten im ersten Jahr: Domain ist vorhanden, WordPress ist vorhanden, Gewerbeanmeldung einmalig, Berufshaftpflicht vor dem ersten Mandat. Kein Tool-Abo, kein Ads-Budget, keine Agentur. Variable Kosten sind im Wesentlichen die eigene Zeit und die 15 Prozent Empfehlungsanteil, wenn ein Partner den Kunden bringt.</w:t>
      </w:r>
    </w:p>
    <w:p>
      <w:pPr>
        <w:spacing w:after="120" w:before="0" w:line="276"/>
      </w:pPr>
      <w:r>
        <w:rPr>
          <w:rFonts w:ascii="Calibri" w:cs="Calibri" w:eastAsia="Calibri" w:hAnsi="Calibri"/>
          <w:color w:val="22262B"/>
          <w:sz w:val="22"/>
          <w:szCs w:val="22"/>
        </w:rPr>
        <w:t xml:space="preserve">Stundensatz implizit: der Check liegt bei etwa 240 € pro Stunde, der Sprint bei etwa 210 bis 270 €, das Audit bei etwa 280 €. Das ist nur haltbar, weil der Umfang fest ist. Sobald der Sprint zum offenen Projekt wird, fällt der Satz unter ein angemessenes Nebentätigkeitshonorar.</w:t>
      </w:r>
    </w:p>
    <w:p>
      <w:pPr>
        <w:pStyle w:val="Heading1"/>
        <w:pBdr>
          <w:bottom w:val="single" w:color="1A2A3A" w:sz="8" w:space="1"/>
        </w:pBdr>
        <w:spacing w:after="160" w:before="320"/>
      </w:pPr>
      <w:r>
        <w:rPr>
          <w:rFonts w:ascii="Calibri" w:cs="Calibri" w:eastAsia="Calibri" w:hAnsi="Calibri"/>
          <w:b/>
          <w:bCs/>
          <w:color w:val="1A2A3A"/>
          <w:sz w:val="28"/>
          <w:szCs w:val="28"/>
        </w:rPr>
        <w:t xml:space="preserve">6. Betrieb</w:t>
      </w:r>
    </w:p>
    <w:p>
      <w:pPr>
        <w:spacing w:after="120" w:before="0" w:line="276"/>
      </w:pPr>
      <w:r>
        <w:rPr>
          <w:rFonts w:ascii="Calibri" w:cs="Calibri" w:eastAsia="Calibri" w:hAnsi="Calibri"/>
          <w:color w:val="22262B"/>
          <w:sz w:val="22"/>
          <w:szCs w:val="22"/>
        </w:rPr>
        <w:t xml:space="preserve">Rechtsform im ersten Jahr: Einzelunternehmen. GmbH erst, wenn der Umsatz einen zweiten Liefernden braucht oder die Haftung aus den Mandaten das privat nicht mehr trägt. Vor dem ersten Euro: Gewerbe anmelden, Nebentätigkeit beim Arbeitgeber anzeigen, Berufshaftpflicht einholen.</w:t>
      </w:r>
    </w:p>
    <w:p>
      <w:pPr>
        <w:spacing w:after="120" w:before="0" w:line="276"/>
      </w:pPr>
      <w:r>
        <w:rPr>
          <w:rFonts w:ascii="Calibri" w:cs="Calibri" w:eastAsia="Calibri" w:hAnsi="Calibri"/>
          <w:color w:val="22262B"/>
          <w:sz w:val="22"/>
          <w:szCs w:val="22"/>
        </w:rPr>
        <w:t xml:space="preserve">Interessenkonflikt ist eine harte Grenze, keine Formalie. Keine Mandanten, die Lieferant, Tochter oder Prüffeld des Arbeitgebers sind. Kein internes Material, keine Beispiele aus dem Bestand des Arbeitgebers, keine dienstliche E-Mail-Adresse. Thema und Methode dürfen genutzt werden. Der Bestand nicht.</w:t>
      </w:r>
    </w:p>
    <w:p>
      <w:pPr>
        <w:spacing w:after="120" w:before="0" w:line="276"/>
      </w:pPr>
      <w:r>
        <w:rPr>
          <w:rFonts w:ascii="Calibri" w:cs="Calibri" w:eastAsia="Calibri" w:hAnsi="Calibri"/>
          <w:color w:val="22262B"/>
          <w:sz w:val="22"/>
          <w:szCs w:val="22"/>
        </w:rPr>
        <w:t xml:space="preserve">Lieferung in einer Drive-Ablage pro Mandant: Auftrag, Kundendokumente, Artefakte, Nachweise, Abnahme. Ein Register mit den Zuständen fehlt, Entwurf, Nachweis da, abgenommen, Befund offen. Das Register ist die Abnahme.</w:t>
      </w:r>
    </w:p>
    <w:p>
      <w:pPr>
        <w:spacing w:after="120" w:before="0" w:line="276"/>
      </w:pPr>
      <w:r>
        <w:rPr>
          <w:rFonts w:ascii="Calibri" w:cs="Calibri" w:eastAsia="Calibri" w:hAnsi="Calibri"/>
          <w:color w:val="22262B"/>
          <w:sz w:val="22"/>
          <w:szCs w:val="22"/>
        </w:rPr>
        <w:t xml:space="preserve">ISB-light für 1.400 € im Monat wird nicht im ersten Halbjahr verkauft. Es ist das Folgeprodukt, wenn ein Sprintkunde bleiben will. Fünf solche Mandate wären 7.000 € im Monat und der Punkt, an dem aus der Nebentätigkeit ein Kapazitätsproblem wird.</w:t>
      </w:r>
    </w:p>
    <w:p>
      <w:pPr>
        <w:pStyle w:val="Heading1"/>
        <w:pBdr>
          <w:bottom w:val="single" w:color="1A2A3A" w:sz="8" w:space="1"/>
        </w:pBdr>
        <w:spacing w:after="160" w:before="320"/>
      </w:pPr>
      <w:r>
        <w:rPr>
          <w:rFonts w:ascii="Calibri" w:cs="Calibri" w:eastAsia="Calibri" w:hAnsi="Calibri"/>
          <w:b/>
          <w:bCs/>
          <w:color w:val="1A2A3A"/>
          <w:sz w:val="28"/>
          <w:szCs w:val="28"/>
        </w:rPr>
        <w:t xml:space="preserve">7. Zwölf Monate</w:t>
      </w:r>
    </w:p>
    <w:p>
      <w:pPr>
        <w:pStyle w:val="Heading2"/>
        <w:spacing w:after="80" w:before="240"/>
      </w:pPr>
      <w:r>
        <w:rPr>
          <w:rFonts w:ascii="Calibri" w:cs="Calibri" w:eastAsia="Calibri" w:hAnsi="Calibri"/>
          <w:b/>
          <w:bCs/>
          <w:color w:val="1A2A3A"/>
          <w:sz w:val="24"/>
          <w:szCs w:val="24"/>
        </w:rPr>
        <w:t xml:space="preserve">Monat 1</w:t>
      </w:r>
    </w:p>
    <w:p>
      <w:pPr>
        <w:pStyle w:val="ListParagraph"/>
        <w:numPr>
          <w:ilvl w:val="0"/>
          <w:numId w:val="4"/>
        </w:numPr>
        <w:spacing w:after="40" w:before="20" w:line="276"/>
      </w:pPr>
      <w:r>
        <w:rPr>
          <w:rFonts w:ascii="Calibri" w:cs="Calibri" w:eastAsia="Calibri" w:hAnsi="Calibri"/>
          <w:color w:val="22262B"/>
          <w:sz w:val="22"/>
          <w:szCs w:val="22"/>
        </w:rPr>
        <w:t xml:space="preserve">Gewerbe, Nebentätigkeitsanzeige, Haftpflicht, Entscheidung zur Umsatzsteuer.</w:t>
      </w:r>
    </w:p>
    <w:p>
      <w:pPr>
        <w:pStyle w:val="ListParagraph"/>
        <w:numPr>
          <w:ilvl w:val="0"/>
          <w:numId w:val="4"/>
        </w:numPr>
        <w:spacing w:after="40" w:before="20" w:line="276"/>
      </w:pPr>
      <w:r>
        <w:rPr>
          <w:rFonts w:ascii="Calibri" w:cs="Calibri" w:eastAsia="Calibri" w:hAnsi="Calibri"/>
          <w:color w:val="22262B"/>
          <w:sz w:val="22"/>
          <w:szCs w:val="22"/>
        </w:rPr>
        <w:t xml:space="preserve">Startseite auf das eine Angebot ziehen. Formular auf der Anfrageseite anschließen.</w:t>
      </w:r>
    </w:p>
    <w:p>
      <w:pPr>
        <w:pStyle w:val="ListParagraph"/>
        <w:numPr>
          <w:ilvl w:val="0"/>
          <w:numId w:val="4"/>
        </w:numPr>
        <w:spacing w:after="40" w:before="20" w:line="276"/>
      </w:pPr>
      <w:r>
        <w:rPr>
          <w:rFonts w:ascii="Calibri" w:cs="Calibri" w:eastAsia="Calibri" w:hAnsi="Calibri"/>
          <w:color w:val="22262B"/>
          <w:sz w:val="22"/>
          <w:szCs w:val="22"/>
        </w:rPr>
        <w:t xml:space="preserve">Zwölf Vorlagen und das Abnahmeregister einmal schreiben. Das ist das Betriebskapital.</w:t>
      </w:r>
    </w:p>
    <w:p>
      <w:pPr>
        <w:pStyle w:val="Heading2"/>
        <w:spacing w:after="80" w:before="240"/>
      </w:pPr>
      <w:r>
        <w:rPr>
          <w:rFonts w:ascii="Calibri" w:cs="Calibri" w:eastAsia="Calibri" w:hAnsi="Calibri"/>
          <w:b/>
          <w:bCs/>
          <w:color w:val="1A2A3A"/>
          <w:sz w:val="24"/>
          <w:szCs w:val="24"/>
        </w:rPr>
        <w:t xml:space="preserve">Monat 2 bis 3</w:t>
      </w:r>
    </w:p>
    <w:p>
      <w:pPr>
        <w:pStyle w:val="ListParagraph"/>
        <w:numPr>
          <w:ilvl w:val="0"/>
          <w:numId w:val="5"/>
        </w:numPr>
        <w:spacing w:after="40" w:before="20" w:line="276"/>
      </w:pPr>
      <w:r>
        <w:rPr>
          <w:rFonts w:ascii="Calibri" w:cs="Calibri" w:eastAsia="Calibri" w:hAnsi="Calibri"/>
          <w:color w:val="22262B"/>
          <w:sz w:val="22"/>
          <w:szCs w:val="22"/>
        </w:rPr>
        <w:t xml:space="preserve">Fünf Systemhäuser persönlich, Partnerblatt dabei. Ziel ist ein Haus, nicht fünf Verträge.</w:t>
      </w:r>
    </w:p>
    <w:p>
      <w:pPr>
        <w:pStyle w:val="ListParagraph"/>
        <w:numPr>
          <w:ilvl w:val="0"/>
          <w:numId w:val="5"/>
        </w:numPr>
        <w:spacing w:after="40" w:before="20" w:line="276"/>
      </w:pPr>
      <w:r>
        <w:rPr>
          <w:rFonts w:ascii="Calibri" w:cs="Calibri" w:eastAsia="Calibri" w:hAnsi="Calibri"/>
          <w:color w:val="22262B"/>
          <w:sz w:val="22"/>
          <w:szCs w:val="22"/>
        </w:rPr>
        <w:t xml:space="preserve">Erster Check verkaufen und liefern. Daraus ein anonymes Referenzmuster, nur Branche und Umfang.</w:t>
      </w:r>
    </w:p>
    <w:p>
      <w:pPr>
        <w:pStyle w:val="Heading2"/>
        <w:spacing w:after="80" w:before="240"/>
      </w:pPr>
      <w:r>
        <w:rPr>
          <w:rFonts w:ascii="Calibri" w:cs="Calibri" w:eastAsia="Calibri" w:hAnsi="Calibri"/>
          <w:b/>
          <w:bCs/>
          <w:color w:val="1A2A3A"/>
          <w:sz w:val="24"/>
          <w:szCs w:val="24"/>
        </w:rPr>
        <w:t xml:space="preserve">Monat 4 bis 8</w:t>
      </w:r>
    </w:p>
    <w:p>
      <w:pPr>
        <w:pStyle w:val="ListParagraph"/>
        <w:numPr>
          <w:ilvl w:val="0"/>
          <w:numId w:val="6"/>
        </w:numPr>
        <w:spacing w:after="40" w:before="20" w:line="276"/>
      </w:pPr>
      <w:r>
        <w:rPr>
          <w:rFonts w:ascii="Calibri" w:cs="Calibri" w:eastAsia="Calibri" w:hAnsi="Calibri"/>
          <w:color w:val="22262B"/>
          <w:sz w:val="22"/>
          <w:szCs w:val="22"/>
        </w:rPr>
        <w:t xml:space="preserve">Den Check zum Sprint ausbauen, wenn der Kunde die Lücken schließen will.</w:t>
      </w:r>
    </w:p>
    <w:p>
      <w:pPr>
        <w:pStyle w:val="ListParagraph"/>
        <w:numPr>
          <w:ilvl w:val="0"/>
          <w:numId w:val="6"/>
        </w:numPr>
        <w:spacing w:after="40" w:before="20" w:line="276"/>
      </w:pPr>
      <w:r>
        <w:rPr>
          <w:rFonts w:ascii="Calibri" w:cs="Calibri" w:eastAsia="Calibri" w:hAnsi="Calibri"/>
          <w:color w:val="22262B"/>
          <w:sz w:val="22"/>
          <w:szCs w:val="22"/>
        </w:rPr>
        <w:t xml:space="preserve">Zweites Systemhaus erst ansprechen, wenn der erste Sprint läuft oder abgenommen ist.</w:t>
      </w:r>
    </w:p>
    <w:p>
      <w:pPr>
        <w:pStyle w:val="Heading2"/>
        <w:spacing w:after="80" w:before="240"/>
      </w:pPr>
      <w:r>
        <w:rPr>
          <w:rFonts w:ascii="Calibri" w:cs="Calibri" w:eastAsia="Calibri" w:hAnsi="Calibri"/>
          <w:b/>
          <w:bCs/>
          <w:color w:val="1A2A3A"/>
          <w:sz w:val="24"/>
          <w:szCs w:val="24"/>
        </w:rPr>
        <w:t xml:space="preserve">Monat 9 bis 12</w:t>
      </w:r>
    </w:p>
    <w:p>
      <w:pPr>
        <w:pStyle w:val="ListParagraph"/>
        <w:numPr>
          <w:ilvl w:val="0"/>
          <w:numId w:val="7"/>
        </w:numPr>
        <w:spacing w:after="40" w:before="20" w:line="276"/>
      </w:pPr>
      <w:r>
        <w:rPr>
          <w:rFonts w:ascii="Calibri" w:cs="Calibri" w:eastAsia="Calibri" w:hAnsi="Calibri"/>
          <w:color w:val="22262B"/>
          <w:sz w:val="22"/>
          <w:szCs w:val="22"/>
        </w:rPr>
        <w:t xml:space="preserve">Zweiter Sprint oder zwei weitere Checks. ISB-light nur auf ausdrücklichen Wunsch eines Bestandskunden.</w:t>
      </w:r>
    </w:p>
    <w:p>
      <w:pPr>
        <w:pStyle w:val="ListParagraph"/>
        <w:numPr>
          <w:ilvl w:val="0"/>
          <w:numId w:val="7"/>
        </w:numPr>
        <w:spacing w:after="40" w:before="20" w:line="276"/>
      </w:pPr>
      <w:r>
        <w:rPr>
          <w:rFonts w:ascii="Calibri" w:cs="Calibri" w:eastAsia="Calibri" w:hAnsi="Calibri"/>
          <w:color w:val="22262B"/>
          <w:sz w:val="22"/>
          <w:szCs w:val="22"/>
        </w:rPr>
        <w:t xml:space="preserve">Stop oder Weiter entscheiden anhand der Kriterien in Abschnitt 8.</w:t>
      </w:r>
    </w:p>
    <w:p>
      <w:pPr>
        <w:pStyle w:val="Heading1"/>
        <w:pBdr>
          <w:bottom w:val="single" w:color="1A2A3A" w:sz="8" w:space="1"/>
        </w:pBdr>
        <w:spacing w:after="160" w:before="320"/>
      </w:pPr>
      <w:r>
        <w:rPr>
          <w:rFonts w:ascii="Calibri" w:cs="Calibri" w:eastAsia="Calibri" w:hAnsi="Calibri"/>
          <w:b/>
          <w:bCs/>
          <w:color w:val="1A2A3A"/>
          <w:sz w:val="28"/>
          <w:szCs w:val="28"/>
        </w:rPr>
        <w:t xml:space="preserve">8. Stop-Kriterien</w:t>
      </w:r>
    </w:p>
    <w:p>
      <w:pPr>
        <w:spacing w:after="120" w:before="0" w:line="276"/>
      </w:pPr>
      <w:r>
        <w:rPr>
          <w:rFonts w:ascii="Calibri" w:cs="Calibri" w:eastAsia="Calibri" w:hAnsi="Calibri"/>
          <w:color w:val="22262B"/>
          <w:sz w:val="22"/>
          <w:szCs w:val="22"/>
        </w:rPr>
        <w:t xml:space="preserve">Nach sechs Monaten wird nicht nach Gefühl weitergemacht. Weiter nur, wenn mindestens eines stimmt: ein bezahlter Check ist abgenommen, oder ein Systemhaus hat einen konkreten Kundentermin gelegt. Wenn beides fehlt, wird nicht die Website umgebaut und kein zweites Produkt erfunden. Dann ist der Kanal falsch, nicht der Preis.</w:t>
      </w:r>
    </w:p>
    <w:p>
      <w:pPr>
        <w:spacing w:after="120" w:before="0" w:line="276"/>
      </w:pPr>
      <w:r>
        <w:rPr>
          <w:rFonts w:ascii="Calibri" w:cs="Calibri" w:eastAsia="Calibri" w:hAnsi="Calibri"/>
          <w:color w:val="22262B"/>
          <w:sz w:val="22"/>
          <w:szCs w:val="22"/>
        </w:rPr>
        <w:t xml:space="preserve">Ein Sprint, der die 45 Stunden reißt, wird nicht nachkalkuliert und nicht stillschweigend verlängert. Er wird beim nächsten Angebot im Umfang geschnitten. Offene Sanierungsprojekte werden abgelehnt.</w:t>
      </w:r>
    </w:p>
    <w:p>
      <w:pPr>
        <w:spacing w:after="120" w:before="0" w:line="276"/>
      </w:pPr>
      <w:r>
        <w:rPr>
          <w:rFonts w:ascii="Calibri" w:cs="Calibri" w:eastAsia="Calibri" w:hAnsi="Calibri"/>
          <w:color w:val="22262B"/>
          <w:sz w:val="22"/>
          <w:szCs w:val="22"/>
        </w:rPr>
        <w:t xml:space="preserve">Zwei Absagen mit demselben Grund, der Preis sei für eine Akte zu hoch, sind kein Signal zum Rabatt. Eine Absage, weil unklar ist, was geliefert wird, ist ein Signal, das Partnerblatt zu schärfen.</w:t>
      </w:r>
    </w:p>
    <w:p>
      <w:pPr>
        <w:pStyle w:val="Heading1"/>
        <w:pBdr>
          <w:bottom w:val="single" w:color="1A2A3A" w:sz="8" w:space="1"/>
        </w:pBdr>
        <w:spacing w:after="160" w:before="320"/>
      </w:pPr>
      <w:r>
        <w:rPr>
          <w:rFonts w:ascii="Calibri" w:cs="Calibri" w:eastAsia="Calibri" w:hAnsi="Calibri"/>
          <w:b/>
          <w:bCs/>
          <w:color w:val="1A2A3A"/>
          <w:sz w:val="28"/>
          <w:szCs w:val="28"/>
        </w:rPr>
        <w:t xml:space="preserve">9. Was dieser Plan nicht ist</w:t>
      </w:r>
    </w:p>
    <w:p>
      <w:pPr>
        <w:pStyle w:val="ListParagraph"/>
        <w:numPr>
          <w:ilvl w:val="0"/>
          <w:numId w:val="6"/>
        </w:numPr>
        <w:spacing w:after="40" w:before="20" w:line="276"/>
      </w:pPr>
      <w:r>
        <w:rPr>
          <w:rFonts w:ascii="Calibri" w:cs="Calibri" w:eastAsia="Calibri" w:hAnsi="Calibri"/>
          <w:color w:val="22262B"/>
          <w:sz w:val="22"/>
          <w:szCs w:val="22"/>
        </w:rPr>
        <w:t xml:space="preserve">Keine Handwerker-Vermittlung und kein Baumarktkanal.</w:t>
      </w:r>
    </w:p>
    <w:p>
      <w:pPr>
        <w:pStyle w:val="ListParagraph"/>
        <w:numPr>
          <w:ilvl w:val="0"/>
          <w:numId w:val="6"/>
        </w:numPr>
        <w:spacing w:after="40" w:before="20" w:line="276"/>
      </w:pPr>
      <w:r>
        <w:rPr>
          <w:rFonts w:ascii="Calibri" w:cs="Calibri" w:eastAsia="Calibri" w:hAnsi="Calibri"/>
          <w:color w:val="22262B"/>
          <w:sz w:val="22"/>
          <w:szCs w:val="22"/>
        </w:rPr>
        <w:t xml:space="preserve">Kein Marktplatz und kein Pool aus Implementierern im ersten Jahr.</w:t>
      </w:r>
    </w:p>
    <w:p>
      <w:pPr>
        <w:pStyle w:val="ListParagraph"/>
        <w:numPr>
          <w:ilvl w:val="0"/>
          <w:numId w:val="6"/>
        </w:numPr>
        <w:spacing w:after="40" w:before="20" w:line="276"/>
      </w:pPr>
      <w:r>
        <w:rPr>
          <w:rFonts w:ascii="Calibri" w:cs="Calibri" w:eastAsia="Calibri" w:hAnsi="Calibri"/>
          <w:color w:val="22262B"/>
          <w:sz w:val="22"/>
          <w:szCs w:val="22"/>
        </w:rPr>
        <w:t xml:space="preserve">Keine zweite Marke. Gensingen Consulting bleibt der Name, die Domain bleibt.</w:t>
      </w:r>
    </w:p>
    <w:p>
      <w:pPr>
        <w:pStyle w:val="ListParagraph"/>
        <w:numPr>
          <w:ilvl w:val="0"/>
          <w:numId w:val="6"/>
        </w:numPr>
        <w:spacing w:after="40" w:before="20" w:line="276"/>
      </w:pPr>
      <w:r>
        <w:rPr>
          <w:rFonts w:ascii="Calibri" w:cs="Calibri" w:eastAsia="Calibri" w:hAnsi="Calibri"/>
          <w:color w:val="22262B"/>
          <w:sz w:val="22"/>
          <w:szCs w:val="22"/>
        </w:rPr>
        <w:t xml:space="preserve">Kein Umsatzziel, das eine Vollzeitstelle ersetzt. Das wäre ein anderer Plan mit anderer Haftung und anderer Kapazität.</w:t>
      </w:r>
    </w:p>
    <w:p>
      <w:pPr>
        <w:spacing w:after="120" w:before="160" w:line="276"/>
      </w:pPr>
      <w:r>
        <w:rPr>
          <w:rFonts w:ascii="Calibri" w:cs="Calibri" w:eastAsia="Calibri" w:hAnsi="Calibri"/>
          <w:color w:val="22262B"/>
          <w:sz w:val="22"/>
          <w:szCs w:val="22"/>
        </w:rPr>
        <w:t xml:space="preserve">Der nächste Schritt nach diesem Dokument ist nicht eine neue Website. Es ist die Nebentätigkeitsanzeige und das erste Gespräch mit einem Systemhaus.</w:t>
      </w:r>
    </w:p>
    <w:sectPr>
      <w:headerReference w:type="default" r:id="rId7"/>
      <w:footerReference w:type="default" r:id="rId8"/>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6" w:space="6"/>
      </w:pBdr>
      <w:spacing w:before="60"/>
    </w:pPr>
    <w:r>
      <w:rPr>
        <w:rFonts w:ascii="Calibri" w:cs="Calibri" w:eastAsia="Calibri" w:hAnsi="Calibri"/>
        <w:color w:val="5C656E"/>
        <w:sz w:val="16"/>
        <w:szCs w:val="16"/>
      </w:rPr>
      <w:t xml:space="preserve">Internes Arbeitsdokument  ·  gensingenconsulting.de  ·  Seite </w:t>
    </w:r>
    <w:r>
      <w:rPr>
        <w:rFonts w:ascii="Calibri" w:cs="Calibri" w:eastAsia="Calibri" w:hAnsi="Calibri"/>
        <w:color w:val="5C65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A3A" w:sz="6" w:space="6"/>
      </w:pBdr>
      <w:spacing w:after="80"/>
    </w:pPr>
    <w:r>
      <w:rPr>
        <w:rFonts w:ascii="Calibri" w:cs="Calibri" w:eastAsia="Calibri" w:hAnsi="Calibri"/>
        <w:b/>
        <w:bCs/>
        <w:color w:val="1A2A3A"/>
        <w:sz w:val="18"/>
        <w:szCs w:val="18"/>
      </w:rPr>
      <w:t xml:space="preserve">Gensingen Consulting</w:t>
    </w:r>
    <w:r>
      <w:rPr>
        <w:rFonts w:ascii="Calibri" w:cs="Calibri" w:eastAsia="Calibri" w:hAnsi="Calibri"/>
        <w:color w:val="5C656E"/>
        <w:sz w:val="18"/>
        <w:szCs w:val="18"/>
      </w:rPr>
      <w:t xml:space="preserve">   ·   Geschäftsmodell und Plan   ·   6. Oktober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A2A3A"/>
      <w:sz w:val="28"/>
      <w:szCs w:val="28"/>
    </w:rPr>
  </w:style>
  <w:style w:type="paragraph" w:styleId="Heading2">
    <w:name w:val="Heading 2"/>
    <w:basedOn w:val="Normal"/>
    <w:next w:val="Normal"/>
    <w:qFormat/>
    <w:pPr>
      <w:spacing w:after="80" w:before="240"/>
      <w:outlineLvl w:val="1"/>
    </w:pPr>
    <w:rPr>
      <w:rFonts w:ascii="Calibri" w:cs="Calibri" w:eastAsia="Calibri" w:hAnsi="Calibri"/>
      <w:b/>
      <w:bCs/>
      <w:color w:val="1A2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2026-10-06T11:43:43.103Z</dcterms:created>
  <dcterms:modified xsi:type="dcterms:W3CDTF">2026-10-06T11:43:43.107Z</dcterms:modified>
</cp:coreProperties>
</file>

<file path=docProps/custom.xml><?xml version="1.0" encoding="utf-8"?>
<Properties xmlns="http://schemas.openxmlformats.org/officeDocument/2006/custom-properties" xmlns:vt="http://schemas.openxmlformats.org/officeDocument/2006/docPropsVTypes"/>
</file>