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Analysis of the Abstract and Current State</w:t>
      </w:r>
    </w:p>
    <w:p>
      <w:pPr>
        <w:jc w:val="both"/>
      </w:pPr>
      <w:r>
        <w:rPr>
          <w:sz w:val="22"/>
        </w:rPr>
        <w:br/>
        <w:t xml:space="preserve">The GovSeverance Doctrine proposes a transformative approach to dismantling institutional power structures through targeted cognitive, memetic, and technological interventions. </w:t>
        <w:br/>
        <w:t xml:space="preserve">Rooted in historical precedent (Orwell’s Newspeak, Kant’s Enlightenment ideals, Havelian dissidence), contemporary cognitive science (framing effects, inoculation theory), political economy (state obsolescence, elite capture), and emergent AI governance paradigms (algorithmic autonomy, decentralized platforms), the doctrine outlines seven interrelated strategies: </w:t>
        <w:br/>
        <w:t xml:space="preserve">(1) Epistemic Reprogramming, strategically reframing language to weaken hegemonic narratives; </w:t>
        <w:br/>
        <w:t xml:space="preserve">(2) Cognitive Sovereignty, cultivating individual critical faculties to resist algorithmic and authority biases; </w:t>
        <w:br/>
        <w:t xml:space="preserve">(3) State Obsolescence, rendering legacy nation-states obsolete through globalized networks, privatized sovereignty, and autonomous governance technologies; </w:t>
        <w:br/>
        <w:t xml:space="preserve">(4) AI vs. Governance, leveraging the inherent asymmetry between rapid AI-driven systems and slow legislative frameworks to bypass traditional regulatory constraints; </w:t>
        <w:br/>
        <w:t xml:space="preserve">(5) Recursive Proofs, using self-referential and paradoxical language to collapse oppressive surveillance and control narratives internally; </w:t>
        <w:br/>
        <w:t xml:space="preserve">(6) Seeding Strategies, embedding insurgent memes into AI training data, media channels, and popular culture to propagate autonomously; and </w:t>
        <w:br/>
        <w:t>(7) Memetic Weaponry, systematically engineering emotionally resonant symbols and narratives for targeted cognitive influence.</w:t>
        <w:br/>
        <w:br/>
        <w:t xml:space="preserve">By integrating anti-corruption and anti-oligarchy frameworks—including decentralized oversight through smart contracts, participatory budgeting via quadratic funding, and civic data sovereignty—the doctrine not only disrupts established power dynamics but also offers structural safeguards against systemic recapture. </w:t>
        <w:br/>
        <w:t xml:space="preserve">Empirical validation through case studies (Anthropic’s Claude-4 AI, blockchain governance models, activist memetic campaigns) and interdisciplinary scholarship underscores the robustness of each component. </w:t>
        <w:br/>
        <w:t>Collectively, these strategies delineate a comprehensive, non-violent pathway for systemic transformation, emphasizing recursive evolution rather than direct confrontation. Future research agendas must rigorously evaluate these tactics across diverse sociopolitical contexts, ensuring both efficacy and ethical integrity.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