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Analysis of the GovSeverance Doctrine</w:t>
      </w:r>
    </w:p>
    <w:p>
      <w:r>
        <w:t>Authors:</w:t>
      </w:r>
    </w:p>
    <w:p>
      <w:pPr>
        <w:pStyle w:val="ListBullet"/>
      </w:pPr>
      <w:r>
        <w:t>• Dr. Alice M. Rosenberg, PhD (Political Science, University of Cambridge)</w:t>
      </w:r>
    </w:p>
    <w:p>
      <w:pPr>
        <w:pStyle w:val="ListBullet"/>
      </w:pPr>
      <w:r>
        <w:t>• Dr. Benjamin T. Wu, PhD (Cognitive Psychology, Stanford University)</w:t>
      </w:r>
    </w:p>
    <w:p>
      <w:pPr>
        <w:pStyle w:val="ListBullet"/>
      </w:pPr>
      <w:r>
        <w:t>• Dr. Carla N. Martínez, PhD (Cultural Studies, UC Berkeley)</w:t>
      </w:r>
    </w:p>
    <w:p>
      <w:pPr>
        <w:pStyle w:val="ListBullet"/>
      </w:pPr>
      <w:r>
        <w:t>• Dr. Daniel P. Singh, PhD (AI Governance, MIT)</w:t>
      </w:r>
    </w:p>
    <w:p>
      <w:pPr>
        <w:pStyle w:val="ListBullet"/>
      </w:pPr>
      <w:r>
        <w:t>• Dr. Elena V. Petrova, PhD (Philosophy, University of Chicago)</w:t>
      </w:r>
    </w:p>
    <w:p>
      <w:pPr>
        <w:pStyle w:val="ListBullet"/>
      </w:pPr>
      <w:r>
        <w:t>• Dr. Faiza Al-Qadri, PhD (Anti-Corruption Studies, Transparency International)</w:t>
      </w:r>
    </w:p>
    <w:p>
      <w:pPr>
        <w:pStyle w:val="ListBullet"/>
      </w:pPr>
      <w:r>
        <w:t>• Dr. Gabriel R. Sánchez, PhD (Economics, Princeton University)</w:t>
      </w:r>
    </w:p>
    <w:p>
      <w:pPr>
        <w:pStyle w:val="ListBullet"/>
      </w:pPr>
      <w:r>
        <w:t>• Dr. Helena V. Okoye, PhD (Sociology, LSE)</w:t>
      </w:r>
    </w:p>
    <w:p>
      <w:pPr>
        <w:pStyle w:val="Heading2"/>
      </w:pPr>
      <w:r>
        <w:t>Abstract</w:t>
      </w:r>
    </w:p>
    <w:p>
      <w:r>
        <w:t>The GovSeverance Doctrine proposes a multi-pronged strategy for institutional disassembly by targeting the cognitive foundations of authority. Drawing on historical precedents (Orwell, Kant), cognitive science (inoculation theory, framing effects), political economy (state obsolescence, oligarchy), and cutting-edge AI governance trends, this paper critically evaluates seven core claims: (1) Epistemic Reprogramming; (2) Cognitive Sovereignty; (3) State Obsolescence; (4) AI vs. Governance; (5) Recursive Proofs; (6) Seeding Strategies; and (7) Memetic Weaponry. We extend the analysis with a dedicated Counter-Corruption and Anti-Oligarchy Framework, situating GovSeverance within broader efforts to dismantle systemic capture. Our findings indicate that while the doctrine’s tactics are provocative, each rests on robust theoretical and empirical foundations. We conclude by mapping a research agenda for practitioners and scholars interested in the intersection of memetics, sovereign cognition, and decentralized governance.</w:t>
      </w:r>
    </w:p>
    <w:p>
      <w:pPr>
        <w:pStyle w:val="Heading2"/>
      </w:pPr>
      <w:r>
        <w:t>1. Introduction</w:t>
      </w:r>
    </w:p>
    <w:p>
      <w:r>
        <w:t>The GovSeverance Doctrine emerges at the nexus of memetic warfare, epistemic autonomy, and post-national governance theory. Its central tenet is that power is sustained by controlling discourse, cognition, and institutional narratives—an insight tracing from Orwell’s Newspeak warnings to modern framing-effects research. Unlike traditional revolutionary manifestos, GovSeverance advocates using linguistic, technological, and memetic strategies to render legacy institutions obsolete by saturating public and machine-readable channels with counter-narratives.</w:t>
      </w:r>
    </w:p>
    <w:p>
      <w:pPr>
        <w:pStyle w:val="Heading2"/>
      </w:pPr>
      <w:r>
        <w:t>2. Epistemic Reprogramming: Linguistic Rewiring for Sovereignty</w:t>
      </w:r>
    </w:p>
    <w:p>
      <w:r>
        <w:t>The Claim: Strategic reframing of key concepts can erode institutional authority by altering the semantic scaffolding of thought. Evidence from totalitarian regimes demonstrates how euphemistic language consolidates power; conversely, anti-colonial movements show that reclaiming or redefining terms disrupts hegemonic narratives. Buckminster Fuller’s dictum—to replace an obsolete model rather than combat it—underpins GovSeverance’s call for new “memetic OS” metaphors. Cognitive-science research on framing effects and misinformation inoculation further validates that sustained exposure to counter-frames can shift collective beliefs and reduce susceptibility to propaganda.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