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4497F" w14:paraId="1086AB49" w14:textId="77777777" w:rsidTr="00EC59BF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90B63" w14:textId="1F2FB65C" w:rsidR="0094497F" w:rsidRDefault="0094497F" w:rsidP="00592746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CURSO: </w:t>
            </w:r>
            <w:r w:rsidR="00D259B9" w:rsidRPr="00D259B9">
              <w:rPr>
                <w:rFonts w:ascii="Verdana" w:hAnsi="Verdana"/>
                <w:b/>
              </w:rPr>
              <w:t>APE10</w:t>
            </w:r>
            <w:r w:rsidR="00D259B9">
              <w:rPr>
                <w:rFonts w:ascii="Verdana" w:hAnsi="Verdana"/>
                <w:b/>
              </w:rPr>
              <w:t xml:space="preserve"> - </w:t>
            </w:r>
            <w:r w:rsidR="003F65BF" w:rsidRPr="003F65BF">
              <w:rPr>
                <w:rFonts w:ascii="Verdana" w:hAnsi="Verdana"/>
                <w:bCs/>
              </w:rPr>
              <w:t>PÓS-GRADUAÇÃO EM AVALIAÇÕES E PERÍCIAS DE ENGENHARIA (online)</w:t>
            </w:r>
          </w:p>
        </w:tc>
      </w:tr>
      <w:tr w:rsidR="0094497F" w14:paraId="716671C1" w14:textId="77777777" w:rsidTr="00EC59BF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5CC97" w14:textId="1E64DFD1" w:rsidR="0094497F" w:rsidRDefault="0094497F" w:rsidP="00592746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PROFESSOR: </w:t>
            </w:r>
            <w:r w:rsidR="003F65BF" w:rsidRPr="003F65BF">
              <w:rPr>
                <w:rFonts w:ascii="Verdana" w:hAnsi="Verdana"/>
              </w:rPr>
              <w:t>Luiz Fernando Palin Droubi, Me. Eng.</w:t>
            </w:r>
          </w:p>
        </w:tc>
      </w:tr>
      <w:tr w:rsidR="0094497F" w14:paraId="27D65C9D" w14:textId="77777777" w:rsidTr="00EC59BF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6DC19" w14:textId="41A0330F" w:rsidR="0094497F" w:rsidRDefault="0094497F" w:rsidP="00592746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MÓDULO: </w:t>
            </w:r>
            <w:r w:rsidR="003F65BF" w:rsidRPr="003F65BF">
              <w:rPr>
                <w:rFonts w:ascii="Verdana" w:hAnsi="Verdana"/>
                <w:bCs/>
              </w:rPr>
              <w:t xml:space="preserve">Avaliação </w:t>
            </w:r>
            <w:r w:rsidR="003F65BF">
              <w:rPr>
                <w:rFonts w:ascii="Verdana" w:hAnsi="Verdana"/>
                <w:bCs/>
              </w:rPr>
              <w:t>de Aluguéis</w:t>
            </w:r>
          </w:p>
        </w:tc>
      </w:tr>
    </w:tbl>
    <w:p w14:paraId="65ABA8FC" w14:textId="77777777" w:rsidR="0094497F" w:rsidRDefault="0094497F" w:rsidP="0094497F">
      <w:pPr>
        <w:ind w:left="-142"/>
        <w:rPr>
          <w:rFonts w:ascii="Verdana" w:hAnsi="Verdana"/>
        </w:rPr>
      </w:pPr>
    </w:p>
    <w:p w14:paraId="1CE8E26F" w14:textId="77777777" w:rsidR="00E16F44" w:rsidRDefault="0094497F" w:rsidP="00E16F44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Objetivo:</w:t>
      </w:r>
      <w:r w:rsidR="00E16F44">
        <w:rPr>
          <w:rFonts w:ascii="Verdana" w:hAnsi="Verdana"/>
          <w:b/>
          <w:sz w:val="24"/>
          <w:u w:val="single"/>
        </w:rPr>
        <w:t xml:space="preserve"> </w:t>
      </w:r>
    </w:p>
    <w:p w14:paraId="5E881CBA" w14:textId="77777777" w:rsidR="00BB617A" w:rsidRDefault="00BB617A" w:rsidP="00E16F44">
      <w:pPr>
        <w:ind w:left="-567"/>
        <w:rPr>
          <w:rFonts w:ascii="Verdana" w:hAnsi="Verdana"/>
          <w:b/>
          <w:sz w:val="24"/>
          <w:u w:val="single"/>
        </w:rPr>
      </w:pPr>
    </w:p>
    <w:p w14:paraId="34B1A8FB" w14:textId="77777777" w:rsidR="003F65BF" w:rsidRPr="00034E0E" w:rsidRDefault="003F65BF" w:rsidP="003F65BF">
      <w:pPr>
        <w:ind w:left="-567"/>
        <w:rPr>
          <w:rFonts w:ascii="Verdana" w:hAnsi="Verdana" w:cs="Arial"/>
          <w:sz w:val="24"/>
          <w:szCs w:val="24"/>
        </w:rPr>
      </w:pPr>
      <w:r w:rsidRPr="00034E0E">
        <w:rPr>
          <w:rFonts w:ascii="Verdana" w:hAnsi="Verdana" w:cs="Arial"/>
          <w:sz w:val="24"/>
          <w:szCs w:val="24"/>
        </w:rPr>
        <w:t>Capacitar os estudantes para a utilização dos principais métodos da Engenharia de Avaliações de Aluguéis de Imóveis Urbanos.</w:t>
      </w:r>
    </w:p>
    <w:p w14:paraId="3E170CA2" w14:textId="77777777" w:rsidR="00BB617A" w:rsidRPr="00E16F44" w:rsidRDefault="00BB617A" w:rsidP="00BB617A">
      <w:pPr>
        <w:ind w:left="-567"/>
        <w:rPr>
          <w:rFonts w:ascii="Arial" w:eastAsiaTheme="minorHAnsi" w:hAnsi="Arial" w:cs="Arial"/>
          <w:bCs/>
          <w:color w:val="000000" w:themeColor="text1"/>
          <w:sz w:val="28"/>
          <w:szCs w:val="28"/>
        </w:rPr>
      </w:pPr>
    </w:p>
    <w:p w14:paraId="4CE84B26" w14:textId="09A49DD7" w:rsidR="00E16F44" w:rsidRDefault="0094497F" w:rsidP="00E16F44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Ementa:</w:t>
      </w:r>
      <w:r w:rsidR="00E16F44">
        <w:rPr>
          <w:rFonts w:ascii="Verdana" w:hAnsi="Verdana"/>
          <w:b/>
          <w:sz w:val="24"/>
          <w:u w:val="single"/>
        </w:rPr>
        <w:t xml:space="preserve">  </w:t>
      </w:r>
    </w:p>
    <w:p w14:paraId="661EAEE7" w14:textId="77777777" w:rsidR="003F65BF" w:rsidRDefault="003F65BF" w:rsidP="00E16F44">
      <w:pPr>
        <w:ind w:left="-567"/>
        <w:rPr>
          <w:rFonts w:ascii="Verdana" w:hAnsi="Verdana"/>
          <w:b/>
          <w:sz w:val="24"/>
          <w:u w:val="single"/>
        </w:rPr>
      </w:pPr>
    </w:p>
    <w:p w14:paraId="5265066A" w14:textId="093BF293" w:rsidR="003F65BF" w:rsidRPr="003F65BF" w:rsidRDefault="003F65BF" w:rsidP="003F65BF">
      <w:pPr>
        <w:ind w:left="-567"/>
        <w:jc w:val="both"/>
        <w:rPr>
          <w:rFonts w:ascii="Verdana" w:hAnsi="Verdana"/>
          <w:bCs/>
          <w:sz w:val="24"/>
        </w:rPr>
      </w:pPr>
      <w:r w:rsidRPr="003F65BF">
        <w:rPr>
          <w:rFonts w:ascii="Verdana" w:hAnsi="Verdana"/>
          <w:bCs/>
          <w:sz w:val="24"/>
        </w:rPr>
        <w:t>Considerações preliminares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Metodologia determinística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Método da renda</w:t>
      </w:r>
      <w:r>
        <w:rPr>
          <w:rFonts w:ascii="Verdana" w:hAnsi="Verdana"/>
          <w:bCs/>
          <w:sz w:val="24"/>
        </w:rPr>
        <w:t xml:space="preserve">; </w:t>
      </w:r>
    </w:p>
    <w:p w14:paraId="49C2DD18" w14:textId="02FB2022" w:rsidR="003F65BF" w:rsidRPr="003F65BF" w:rsidRDefault="003F65BF" w:rsidP="003F65BF">
      <w:pPr>
        <w:ind w:left="-567"/>
        <w:jc w:val="both"/>
        <w:rPr>
          <w:rFonts w:ascii="Verdana" w:hAnsi="Verdana"/>
          <w:bCs/>
          <w:sz w:val="24"/>
        </w:rPr>
      </w:pPr>
      <w:r w:rsidRPr="003F65BF">
        <w:rPr>
          <w:rFonts w:ascii="Verdana" w:hAnsi="Verdana"/>
          <w:bCs/>
          <w:sz w:val="24"/>
        </w:rPr>
        <w:t>Método comparativo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Procedimentos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Exemplos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Casos atípicos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Noções sobre metodologia cientifica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Procedimentos</w:t>
      </w:r>
      <w:r>
        <w:rPr>
          <w:rFonts w:ascii="Verdana" w:hAnsi="Verdana"/>
          <w:bCs/>
          <w:sz w:val="24"/>
        </w:rPr>
        <w:t xml:space="preserve">; </w:t>
      </w:r>
      <w:proofErr w:type="gramStart"/>
      <w:r w:rsidRPr="003F65BF">
        <w:rPr>
          <w:rFonts w:ascii="Verdana" w:hAnsi="Verdana"/>
          <w:bCs/>
          <w:sz w:val="24"/>
        </w:rPr>
        <w:t>Escolha</w:t>
      </w:r>
      <w:proofErr w:type="gramEnd"/>
      <w:r w:rsidRPr="003F65BF">
        <w:rPr>
          <w:rFonts w:ascii="Verdana" w:hAnsi="Verdana"/>
          <w:bCs/>
          <w:sz w:val="24"/>
        </w:rPr>
        <w:t xml:space="preserve"> das variações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Análises e testes</w:t>
      </w:r>
      <w:r>
        <w:rPr>
          <w:rFonts w:ascii="Verdana" w:hAnsi="Verdana"/>
          <w:bCs/>
          <w:sz w:val="24"/>
        </w:rPr>
        <w:t>.</w:t>
      </w:r>
    </w:p>
    <w:p w14:paraId="301AAD2D" w14:textId="77777777" w:rsidR="00E16F44" w:rsidRDefault="00E16F44" w:rsidP="00E16F44">
      <w:pPr>
        <w:ind w:left="-567"/>
        <w:rPr>
          <w:rFonts w:ascii="Arial" w:eastAsiaTheme="minorHAnsi" w:hAnsi="Arial" w:cs="Arial"/>
          <w:bCs/>
          <w:color w:val="000000" w:themeColor="text1"/>
          <w:sz w:val="28"/>
          <w:szCs w:val="28"/>
        </w:rPr>
      </w:pPr>
    </w:p>
    <w:p w14:paraId="54C6B789" w14:textId="77777777" w:rsidR="00E16F44" w:rsidRDefault="0094497F" w:rsidP="00E16F44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Metodologia:</w:t>
      </w:r>
      <w:r w:rsidR="00E16F44">
        <w:rPr>
          <w:rFonts w:ascii="Verdana" w:hAnsi="Verdana"/>
          <w:b/>
          <w:sz w:val="24"/>
          <w:u w:val="single"/>
        </w:rPr>
        <w:t xml:space="preserve"> </w:t>
      </w:r>
    </w:p>
    <w:p w14:paraId="3D03EDB8" w14:textId="77777777" w:rsidR="00E16F44" w:rsidRDefault="00E16F44" w:rsidP="00E16F44">
      <w:pPr>
        <w:ind w:left="-567"/>
        <w:rPr>
          <w:rFonts w:ascii="Verdana" w:hAnsi="Verdana"/>
          <w:b/>
          <w:sz w:val="24"/>
          <w:u w:val="single"/>
        </w:rPr>
      </w:pPr>
    </w:p>
    <w:p w14:paraId="41827B47" w14:textId="77777777" w:rsidR="003F65BF" w:rsidRPr="00034E0E" w:rsidRDefault="003F65BF" w:rsidP="003F65BF">
      <w:pPr>
        <w:ind w:left="-567"/>
        <w:rPr>
          <w:rFonts w:ascii="Verdana" w:hAnsi="Verdana" w:cs="Arial"/>
          <w:sz w:val="24"/>
          <w:szCs w:val="24"/>
        </w:rPr>
      </w:pPr>
      <w:r w:rsidRPr="00034E0E">
        <w:rPr>
          <w:rFonts w:ascii="Verdana" w:hAnsi="Verdana" w:cs="Arial"/>
          <w:sz w:val="24"/>
          <w:szCs w:val="24"/>
        </w:rPr>
        <w:t xml:space="preserve">Aula expositiva por meio de projeção de slides com apresentação de casos práticos e realização de </w:t>
      </w:r>
      <w:proofErr w:type="gramStart"/>
      <w:r w:rsidRPr="00034E0E">
        <w:rPr>
          <w:rFonts w:ascii="Verdana" w:hAnsi="Verdana" w:cs="Arial"/>
          <w:sz w:val="24"/>
          <w:szCs w:val="24"/>
        </w:rPr>
        <w:t>algumas trabalhos</w:t>
      </w:r>
      <w:proofErr w:type="gramEnd"/>
      <w:r w:rsidRPr="00034E0E">
        <w:rPr>
          <w:rFonts w:ascii="Verdana" w:hAnsi="Verdana" w:cs="Arial"/>
          <w:sz w:val="24"/>
          <w:szCs w:val="24"/>
        </w:rPr>
        <w:t xml:space="preserve"> em sala de aula.</w:t>
      </w:r>
    </w:p>
    <w:p w14:paraId="42C1A684" w14:textId="77777777" w:rsidR="00E16F44" w:rsidRDefault="00E16F44" w:rsidP="0094497F">
      <w:pPr>
        <w:ind w:left="-567"/>
        <w:rPr>
          <w:bCs/>
          <w:color w:val="000000" w:themeColor="text1"/>
          <w:sz w:val="28"/>
          <w:szCs w:val="28"/>
        </w:rPr>
      </w:pPr>
    </w:p>
    <w:p w14:paraId="67D578D1" w14:textId="77777777" w:rsidR="00E16F44" w:rsidRDefault="0094497F" w:rsidP="00E16F44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Procedimentos:</w:t>
      </w:r>
      <w:r w:rsidR="00E16F44">
        <w:rPr>
          <w:rFonts w:ascii="Verdana" w:hAnsi="Verdana"/>
          <w:b/>
          <w:sz w:val="24"/>
          <w:u w:val="single"/>
        </w:rPr>
        <w:t xml:space="preserve"> </w:t>
      </w:r>
    </w:p>
    <w:p w14:paraId="7A97C86B" w14:textId="77777777" w:rsidR="00E16F44" w:rsidRDefault="00E16F44" w:rsidP="00E16F44">
      <w:pPr>
        <w:ind w:left="-567"/>
        <w:rPr>
          <w:rFonts w:ascii="Verdana" w:hAnsi="Verdana"/>
          <w:b/>
          <w:sz w:val="24"/>
          <w:u w:val="single"/>
        </w:rPr>
      </w:pPr>
    </w:p>
    <w:p w14:paraId="46BBABA4" w14:textId="77777777" w:rsidR="003F65BF" w:rsidRPr="00034E0E" w:rsidRDefault="003F65BF" w:rsidP="003F65BF">
      <w:pPr>
        <w:ind w:left="-567"/>
        <w:jc w:val="both"/>
        <w:rPr>
          <w:rFonts w:ascii="Verdana" w:hAnsi="Verdana"/>
          <w:sz w:val="24"/>
          <w:szCs w:val="24"/>
        </w:rPr>
      </w:pPr>
      <w:r w:rsidRPr="00034E0E">
        <w:rPr>
          <w:rFonts w:ascii="Verdana" w:hAnsi="Verdana"/>
          <w:b/>
          <w:bCs/>
          <w:sz w:val="24"/>
          <w:szCs w:val="24"/>
        </w:rPr>
        <w:t>Aula 01</w:t>
      </w:r>
      <w:r w:rsidRPr="00034E0E">
        <w:rPr>
          <w:rFonts w:ascii="Verdana" w:hAnsi="Verdana"/>
          <w:sz w:val="24"/>
          <w:szCs w:val="24"/>
        </w:rPr>
        <w:t>: Introdução, aspectos legais e econômicos. Conceitos Gerais. Método da Renda e Método da Remuneração do Capital.</w:t>
      </w:r>
    </w:p>
    <w:p w14:paraId="28B47FD5" w14:textId="77777777" w:rsidR="003F65BF" w:rsidRPr="00034E0E" w:rsidRDefault="003F65BF" w:rsidP="003F65BF">
      <w:pPr>
        <w:ind w:left="-567"/>
        <w:jc w:val="both"/>
        <w:rPr>
          <w:rFonts w:ascii="Verdana" w:hAnsi="Verdana"/>
          <w:sz w:val="24"/>
          <w:szCs w:val="24"/>
        </w:rPr>
      </w:pPr>
      <w:r w:rsidRPr="00034E0E">
        <w:rPr>
          <w:rFonts w:ascii="Verdana" w:hAnsi="Verdana"/>
          <w:b/>
          <w:bCs/>
          <w:sz w:val="24"/>
          <w:szCs w:val="24"/>
        </w:rPr>
        <w:t>Aula 02</w:t>
      </w:r>
      <w:r w:rsidRPr="00034E0E">
        <w:rPr>
          <w:rFonts w:ascii="Verdana" w:hAnsi="Verdana"/>
          <w:sz w:val="24"/>
          <w:szCs w:val="24"/>
        </w:rPr>
        <w:t>: Método da Remuneração do Capital vs. Método Comparativo. Fatores vs. Regressão Linear. Aproveitamento do Terreno. Influência da idade e padrão construtivo. Cota Parte. Fórmula de Harper. Atualização de aluguéis. Luvas.</w:t>
      </w:r>
    </w:p>
    <w:p w14:paraId="2F98CC45" w14:textId="77777777" w:rsidR="003F65BF" w:rsidRPr="00034E0E" w:rsidRDefault="003F65BF" w:rsidP="003F65BF">
      <w:pPr>
        <w:ind w:left="-567"/>
        <w:jc w:val="both"/>
        <w:rPr>
          <w:rFonts w:ascii="Verdana" w:hAnsi="Verdana"/>
          <w:sz w:val="24"/>
          <w:szCs w:val="24"/>
        </w:rPr>
      </w:pPr>
      <w:r w:rsidRPr="00034E0E">
        <w:rPr>
          <w:rFonts w:ascii="Verdana" w:hAnsi="Verdana"/>
          <w:b/>
          <w:bCs/>
          <w:sz w:val="24"/>
          <w:szCs w:val="24"/>
        </w:rPr>
        <w:t>Aula 03</w:t>
      </w:r>
      <w:r w:rsidRPr="00034E0E">
        <w:rPr>
          <w:rFonts w:ascii="Verdana" w:hAnsi="Verdana"/>
          <w:sz w:val="24"/>
          <w:szCs w:val="24"/>
        </w:rPr>
        <w:t>: Avaliação de imóveis comerciais. Principais tipologias.</w:t>
      </w:r>
    </w:p>
    <w:p w14:paraId="13E14E42" w14:textId="77777777" w:rsidR="003F65BF" w:rsidRPr="00034E0E" w:rsidRDefault="003F65BF" w:rsidP="003F65BF">
      <w:pPr>
        <w:ind w:left="-567"/>
        <w:jc w:val="both"/>
        <w:rPr>
          <w:rFonts w:ascii="Verdana" w:hAnsi="Verdana"/>
          <w:sz w:val="24"/>
          <w:szCs w:val="24"/>
        </w:rPr>
      </w:pPr>
      <w:r w:rsidRPr="00034E0E">
        <w:rPr>
          <w:rFonts w:ascii="Verdana" w:hAnsi="Verdana"/>
          <w:b/>
          <w:bCs/>
          <w:sz w:val="24"/>
          <w:szCs w:val="24"/>
        </w:rPr>
        <w:t>Aula 04</w:t>
      </w:r>
      <w:r w:rsidRPr="00034E0E">
        <w:rPr>
          <w:rFonts w:ascii="Verdana" w:hAnsi="Verdana"/>
          <w:sz w:val="24"/>
          <w:szCs w:val="24"/>
        </w:rPr>
        <w:t>: Avaliação de imóveis residenciais. Principais tipologias.</w:t>
      </w:r>
    </w:p>
    <w:p w14:paraId="0767BF78" w14:textId="77777777" w:rsidR="003F65BF" w:rsidRPr="00E16F44" w:rsidRDefault="003F65BF" w:rsidP="0094497F">
      <w:pPr>
        <w:ind w:left="-567"/>
        <w:rPr>
          <w:rFonts w:ascii="Verdana" w:hAnsi="Verdana"/>
          <w:color w:val="000000" w:themeColor="text1"/>
          <w:sz w:val="24"/>
          <w:u w:val="single"/>
        </w:rPr>
      </w:pPr>
    </w:p>
    <w:p w14:paraId="57188B4E" w14:textId="77777777" w:rsidR="0094497F" w:rsidRDefault="0094497F" w:rsidP="0094497F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 xml:space="preserve">Recursos didáticos: </w:t>
      </w:r>
    </w:p>
    <w:p w14:paraId="7537588F" w14:textId="77777777" w:rsidR="00E16F44" w:rsidRDefault="00E16F44" w:rsidP="0094497F">
      <w:pPr>
        <w:ind w:left="-567"/>
        <w:rPr>
          <w:rFonts w:ascii="Verdana" w:hAnsi="Verdana"/>
          <w:b/>
          <w:sz w:val="24"/>
          <w:u w:val="single"/>
        </w:rPr>
      </w:pPr>
    </w:p>
    <w:p w14:paraId="31B41FA6" w14:textId="77777777" w:rsidR="003F65BF" w:rsidRDefault="003F65BF" w:rsidP="003F65BF">
      <w:pPr>
        <w:ind w:left="-567"/>
        <w:rPr>
          <w:rFonts w:ascii="Verdana" w:hAnsi="Verdana"/>
          <w:bCs/>
        </w:rPr>
      </w:pPr>
      <w:r>
        <w:rPr>
          <w:rFonts w:ascii="Verdana" w:hAnsi="Verdana"/>
          <w:bCs/>
        </w:rPr>
        <w:t xml:space="preserve">Livros, apostilas didáticas e apresentações em formato </w:t>
      </w:r>
      <w:proofErr w:type="spellStart"/>
      <w:r>
        <w:rPr>
          <w:rFonts w:ascii="Verdana" w:hAnsi="Verdana"/>
          <w:bCs/>
        </w:rPr>
        <w:t>pdf</w:t>
      </w:r>
      <w:proofErr w:type="spellEnd"/>
      <w:r>
        <w:rPr>
          <w:rFonts w:ascii="Verdana" w:hAnsi="Verdana"/>
          <w:bCs/>
        </w:rPr>
        <w:t>.</w:t>
      </w:r>
    </w:p>
    <w:p w14:paraId="53B37A40" w14:textId="77777777" w:rsidR="0094497F" w:rsidRDefault="0094497F" w:rsidP="0094497F">
      <w:pPr>
        <w:ind w:left="-567"/>
        <w:rPr>
          <w:rFonts w:ascii="Verdana" w:hAnsi="Verdana"/>
          <w:b/>
          <w:sz w:val="24"/>
          <w:u w:val="single"/>
        </w:rPr>
      </w:pPr>
    </w:p>
    <w:p w14:paraId="53B7C73B" w14:textId="77777777" w:rsidR="003F65BF" w:rsidRDefault="003F65BF" w:rsidP="003F65BF">
      <w:pPr>
        <w:ind w:left="-567"/>
        <w:rPr>
          <w:rFonts w:ascii="Verdana" w:hAnsi="Verdana"/>
          <w:b/>
          <w:sz w:val="24"/>
          <w:u w:val="single"/>
        </w:rPr>
      </w:pPr>
      <w:r>
        <w:rPr>
          <w:rFonts w:ascii="Verdana" w:hAnsi="Verdana"/>
          <w:b/>
          <w:sz w:val="24"/>
          <w:u w:val="single"/>
        </w:rPr>
        <w:t>Avaliação:</w:t>
      </w:r>
    </w:p>
    <w:p w14:paraId="4C62F381" w14:textId="77777777" w:rsidR="003F65BF" w:rsidRDefault="003F65BF" w:rsidP="003F65BF">
      <w:pPr>
        <w:ind w:left="-567"/>
        <w:rPr>
          <w:rFonts w:ascii="Verdana" w:hAnsi="Verdana"/>
          <w:b/>
          <w:sz w:val="24"/>
          <w:u w:val="single"/>
        </w:rPr>
      </w:pPr>
    </w:p>
    <w:p w14:paraId="0B248A3C" w14:textId="77777777" w:rsidR="003F65BF" w:rsidRDefault="003F65BF" w:rsidP="003F65BF">
      <w:pPr>
        <w:ind w:left="-567"/>
        <w:rPr>
          <w:rFonts w:ascii="Verdana" w:hAnsi="Verdana"/>
          <w:bCs/>
        </w:rPr>
      </w:pPr>
      <w:r>
        <w:rPr>
          <w:rFonts w:ascii="Verdana" w:hAnsi="Verdana"/>
          <w:bCs/>
        </w:rPr>
        <w:t>Um trabalho a ser elaborado no último dia de curso com entrega ao final do dia.</w:t>
      </w:r>
    </w:p>
    <w:p w14:paraId="4218FD3C" w14:textId="77777777" w:rsidR="003F65BF" w:rsidRDefault="003F65BF" w:rsidP="0094497F">
      <w:pPr>
        <w:ind w:left="-567"/>
        <w:rPr>
          <w:rFonts w:ascii="Verdana" w:hAnsi="Verdana"/>
          <w:b/>
          <w:sz w:val="24"/>
          <w:u w:val="single"/>
        </w:rPr>
      </w:pPr>
    </w:p>
    <w:p w14:paraId="3A9D9724" w14:textId="77777777" w:rsidR="00E16F44" w:rsidRDefault="00E16F44" w:rsidP="0094497F">
      <w:pPr>
        <w:ind w:left="-567"/>
        <w:rPr>
          <w:rFonts w:ascii="Verdana" w:hAnsi="Verdana"/>
          <w:b/>
          <w:sz w:val="24"/>
          <w:u w:val="single"/>
        </w:rPr>
      </w:pPr>
    </w:p>
    <w:p w14:paraId="365D2BED" w14:textId="77777777" w:rsidR="00E16F44" w:rsidRDefault="0094497F" w:rsidP="00E16F44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lastRenderedPageBreak/>
        <w:t>Referências/ Bibliografia:</w:t>
      </w:r>
      <w:r w:rsidR="00E16F44">
        <w:rPr>
          <w:rFonts w:ascii="Verdana" w:hAnsi="Verdana"/>
          <w:b/>
          <w:sz w:val="24"/>
          <w:u w:val="single"/>
        </w:rPr>
        <w:t xml:space="preserve"> </w:t>
      </w:r>
    </w:p>
    <w:p w14:paraId="36E66FD1" w14:textId="77777777" w:rsidR="00E16F44" w:rsidRDefault="00E16F44" w:rsidP="00E16F44">
      <w:pPr>
        <w:ind w:left="-567"/>
        <w:rPr>
          <w:rFonts w:ascii="Verdana" w:hAnsi="Verdana"/>
          <w:b/>
          <w:sz w:val="24"/>
          <w:u w:val="single"/>
        </w:rPr>
      </w:pPr>
    </w:p>
    <w:p w14:paraId="223A120B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>ABNT. 2019. NBR 14653-1: Avaliação de Bens – Parte 1: Procedimentos Gerais. Rio de Janeiro: Associação Brasileira de Normas Técnicas.</w:t>
      </w:r>
    </w:p>
    <w:p w14:paraId="28D2F036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</w:p>
    <w:p w14:paraId="3F5614A5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>ABNT. 2011. NBR 14653-2: Avaliação de Bens – Parte 2: Imóveis Urbanos. Rio de Janeiro: Associação Brasileira de Normas Técnicas.</w:t>
      </w:r>
    </w:p>
    <w:p w14:paraId="6462CD4A" w14:textId="77777777" w:rsidR="003F65BF" w:rsidRDefault="003F65BF" w:rsidP="003F65BF">
      <w:pPr>
        <w:ind w:right="-710"/>
        <w:jc w:val="both"/>
        <w:rPr>
          <w:rFonts w:ascii="Tahoma" w:hAnsi="Tahoma"/>
          <w:color w:val="404040" w:themeColor="text1" w:themeTint="BF"/>
        </w:rPr>
      </w:pPr>
    </w:p>
    <w:p w14:paraId="3D6A776F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 xml:space="preserve">ADAMS, Zeno; FÜSS, Roland. </w:t>
      </w:r>
      <w:r w:rsidRPr="009E1F81">
        <w:rPr>
          <w:rFonts w:ascii="Tahoma" w:hAnsi="Tahoma"/>
          <w:color w:val="404040" w:themeColor="text1" w:themeTint="BF"/>
          <w:lang w:val="en-US"/>
        </w:rPr>
        <w:t xml:space="preserve">Macroeconomic determinants of international housing markets. </w:t>
      </w:r>
      <w:proofErr w:type="spellStart"/>
      <w:r>
        <w:rPr>
          <w:rFonts w:ascii="Tahoma" w:hAnsi="Tahoma"/>
          <w:b/>
          <w:bCs/>
          <w:color w:val="404040" w:themeColor="text1" w:themeTint="BF"/>
        </w:rPr>
        <w:t>Journal</w:t>
      </w:r>
      <w:proofErr w:type="spellEnd"/>
      <w:r>
        <w:rPr>
          <w:rFonts w:ascii="Tahoma" w:hAnsi="Tahoma"/>
          <w:b/>
          <w:bCs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b/>
          <w:bCs/>
          <w:color w:val="404040" w:themeColor="text1" w:themeTint="BF"/>
        </w:rPr>
        <w:t>of</w:t>
      </w:r>
      <w:proofErr w:type="spellEnd"/>
      <w:r>
        <w:rPr>
          <w:rFonts w:ascii="Tahoma" w:hAnsi="Tahoma"/>
          <w:b/>
          <w:bCs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b/>
          <w:bCs/>
          <w:color w:val="404040" w:themeColor="text1" w:themeTint="BF"/>
        </w:rPr>
        <w:t>Housing</w:t>
      </w:r>
      <w:proofErr w:type="spellEnd"/>
      <w:r>
        <w:rPr>
          <w:rFonts w:ascii="Tahoma" w:hAnsi="Tahoma"/>
          <w:b/>
          <w:bCs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b/>
          <w:bCs/>
          <w:color w:val="404040" w:themeColor="text1" w:themeTint="BF"/>
        </w:rPr>
        <w:t>Economics</w:t>
      </w:r>
      <w:proofErr w:type="spellEnd"/>
      <w:r>
        <w:rPr>
          <w:rFonts w:ascii="Tahoma" w:hAnsi="Tahoma"/>
          <w:color w:val="404040" w:themeColor="text1" w:themeTint="BF"/>
        </w:rPr>
        <w:t>, v. 19, n. 1, p. 38–50, 2010. ISSN 1051-1377.</w:t>
      </w:r>
    </w:p>
    <w:p w14:paraId="3874B837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</w:p>
    <w:p w14:paraId="70CBD61E" w14:textId="77777777" w:rsidR="003F65BF" w:rsidRPr="00D259B9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 xml:space="preserve">Alonso, Nelson Roberto Pereira e D’Amato, Mônica. 2017. O aproveitamento do terreno a luz das normas técnicas. </w:t>
      </w:r>
      <w:r w:rsidRPr="00D259B9">
        <w:rPr>
          <w:rFonts w:ascii="Tahoma" w:hAnsi="Tahoma"/>
          <w:color w:val="404040" w:themeColor="text1" w:themeTint="BF"/>
        </w:rPr>
        <w:t>9 p.</w:t>
      </w:r>
    </w:p>
    <w:p w14:paraId="56E22952" w14:textId="77777777" w:rsidR="003F65BF" w:rsidRPr="00D259B9" w:rsidRDefault="003F65BF" w:rsidP="003F65BF">
      <w:pPr>
        <w:ind w:right="-710"/>
        <w:jc w:val="both"/>
        <w:rPr>
          <w:rFonts w:ascii="Tahoma" w:hAnsi="Tahoma"/>
          <w:color w:val="404040" w:themeColor="text1" w:themeTint="BF"/>
        </w:rPr>
      </w:pPr>
    </w:p>
    <w:p w14:paraId="64567177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  <w:proofErr w:type="spellStart"/>
      <w:r>
        <w:rPr>
          <w:rFonts w:ascii="Tahoma" w:hAnsi="Tahoma"/>
          <w:color w:val="404040" w:themeColor="text1" w:themeTint="BF"/>
        </w:rPr>
        <w:t>Candeloro</w:t>
      </w:r>
      <w:proofErr w:type="spellEnd"/>
      <w:r>
        <w:rPr>
          <w:rFonts w:ascii="Tahoma" w:hAnsi="Tahoma"/>
          <w:color w:val="404040" w:themeColor="text1" w:themeTint="BF"/>
        </w:rPr>
        <w:t xml:space="preserve">, Milton. </w:t>
      </w:r>
      <w:proofErr w:type="spellStart"/>
      <w:r>
        <w:rPr>
          <w:rFonts w:ascii="Tahoma" w:hAnsi="Tahoma"/>
          <w:color w:val="404040" w:themeColor="text1" w:themeTint="BF"/>
        </w:rPr>
        <w:t>n.d</w:t>
      </w:r>
      <w:proofErr w:type="spellEnd"/>
      <w:r>
        <w:rPr>
          <w:rFonts w:ascii="Tahoma" w:hAnsi="Tahoma"/>
          <w:color w:val="404040" w:themeColor="text1" w:themeTint="BF"/>
        </w:rPr>
        <w:t>. “</w:t>
      </w:r>
      <w:r w:rsidRPr="003F65BF">
        <w:rPr>
          <w:rFonts w:ascii="Tahoma" w:hAnsi="Tahoma"/>
          <w:b/>
          <w:bCs/>
          <w:color w:val="404040" w:themeColor="text1" w:themeTint="BF"/>
        </w:rPr>
        <w:t>Avaliação de Aluguéis.</w:t>
      </w:r>
      <w:r>
        <w:rPr>
          <w:rFonts w:ascii="Tahoma" w:hAnsi="Tahoma"/>
          <w:color w:val="404040" w:themeColor="text1" w:themeTint="BF"/>
        </w:rPr>
        <w:t>” Instituto Brasileiro de Educação Continuada.</w:t>
      </w:r>
    </w:p>
    <w:p w14:paraId="634BDDC9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</w:p>
    <w:p w14:paraId="70885603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 xml:space="preserve">D’Amato, Mônica, </w:t>
      </w:r>
      <w:proofErr w:type="spellStart"/>
      <w:r>
        <w:rPr>
          <w:rFonts w:ascii="Tahoma" w:hAnsi="Tahoma"/>
          <w:color w:val="404040" w:themeColor="text1" w:themeTint="BF"/>
        </w:rPr>
        <w:t>and</w:t>
      </w:r>
      <w:proofErr w:type="spellEnd"/>
      <w:r>
        <w:rPr>
          <w:rFonts w:ascii="Tahoma" w:hAnsi="Tahoma"/>
          <w:color w:val="404040" w:themeColor="text1" w:themeTint="BF"/>
        </w:rPr>
        <w:t xml:space="preserve"> Nelson Roberto Pereira Alonso. 2019. </w:t>
      </w:r>
      <w:r>
        <w:rPr>
          <w:rFonts w:ascii="Tahoma" w:hAnsi="Tahoma"/>
          <w:b/>
          <w:bCs/>
          <w:color w:val="404040" w:themeColor="text1" w:themeTint="BF"/>
        </w:rPr>
        <w:t>Avaliação de Aluguéis.</w:t>
      </w:r>
      <w:r>
        <w:rPr>
          <w:rFonts w:ascii="Tahoma" w:hAnsi="Tahoma"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color w:val="404040" w:themeColor="text1" w:themeTint="BF"/>
        </w:rPr>
        <w:t>Edited</w:t>
      </w:r>
      <w:proofErr w:type="spellEnd"/>
      <w:r>
        <w:rPr>
          <w:rFonts w:ascii="Tahoma" w:hAnsi="Tahoma"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color w:val="404040" w:themeColor="text1" w:themeTint="BF"/>
        </w:rPr>
        <w:t>by</w:t>
      </w:r>
      <w:proofErr w:type="spellEnd"/>
      <w:r>
        <w:rPr>
          <w:rFonts w:ascii="Tahoma" w:hAnsi="Tahoma"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color w:val="404040" w:themeColor="text1" w:themeTint="BF"/>
        </w:rPr>
        <w:t>Leud</w:t>
      </w:r>
      <w:proofErr w:type="spellEnd"/>
      <w:r>
        <w:rPr>
          <w:rFonts w:ascii="Tahoma" w:hAnsi="Tahoma"/>
          <w:color w:val="404040" w:themeColor="text1" w:themeTint="BF"/>
        </w:rPr>
        <w:t>. 4th ed. São Paulo.</w:t>
      </w:r>
    </w:p>
    <w:p w14:paraId="3958A3CE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</w:p>
    <w:p w14:paraId="1890F346" w14:textId="77777777" w:rsidR="003F65BF" w:rsidRPr="00D259B9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 w:rsidRPr="009E1F81">
        <w:rPr>
          <w:rFonts w:ascii="Tahoma" w:hAnsi="Tahoma"/>
          <w:color w:val="404040" w:themeColor="text1" w:themeTint="BF"/>
          <w:lang w:val="en-US"/>
        </w:rPr>
        <w:t xml:space="preserve">DiPasquale, D., and W. C. Wheaton. 1996. </w:t>
      </w:r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>Urban Economics and Real Estate Markets.</w:t>
      </w:r>
      <w:r w:rsidRPr="009E1F81">
        <w:rPr>
          <w:rFonts w:ascii="Tahoma" w:hAnsi="Tahoma"/>
          <w:color w:val="404040" w:themeColor="text1" w:themeTint="BF"/>
          <w:lang w:val="en-US"/>
        </w:rPr>
        <w:t xml:space="preserve"> </w:t>
      </w:r>
      <w:r w:rsidRPr="00D259B9">
        <w:rPr>
          <w:rFonts w:ascii="Tahoma" w:hAnsi="Tahoma"/>
          <w:color w:val="404040" w:themeColor="text1" w:themeTint="BF"/>
        </w:rPr>
        <w:t>New York: Prentice Hall.</w:t>
      </w:r>
    </w:p>
    <w:p w14:paraId="0BD18B51" w14:textId="77777777" w:rsidR="003F65BF" w:rsidRPr="00D259B9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</w:p>
    <w:p w14:paraId="00DA4F76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 w:rsidRPr="00D259B9">
        <w:rPr>
          <w:rFonts w:ascii="Tahoma" w:hAnsi="Tahoma"/>
          <w:color w:val="404040" w:themeColor="text1" w:themeTint="BF"/>
        </w:rPr>
        <w:t xml:space="preserve">Droubi, L. F. P. 2021. </w:t>
      </w:r>
      <w:r>
        <w:rPr>
          <w:rFonts w:ascii="Tahoma" w:hAnsi="Tahoma"/>
          <w:b/>
          <w:bCs/>
          <w:color w:val="404040" w:themeColor="text1" w:themeTint="BF"/>
        </w:rPr>
        <w:t>A Economia e as Cidades. Os desafios e as possibilidades para a política urbana no século XXI</w:t>
      </w:r>
      <w:r>
        <w:rPr>
          <w:rFonts w:ascii="Tahoma" w:hAnsi="Tahoma"/>
          <w:color w:val="404040" w:themeColor="text1" w:themeTint="BF"/>
        </w:rPr>
        <w:t xml:space="preserve">. Florianópolis, SC. </w:t>
      </w:r>
    </w:p>
    <w:p w14:paraId="52271BB6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</w:p>
    <w:p w14:paraId="415EF7A6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 xml:space="preserve">Droubi, Luiz Fernando Palin, Carlos Augusto Zilli e Norberto </w:t>
      </w:r>
      <w:proofErr w:type="spellStart"/>
      <w:r>
        <w:rPr>
          <w:rFonts w:ascii="Tahoma" w:hAnsi="Tahoma"/>
          <w:color w:val="404040" w:themeColor="text1" w:themeTint="BF"/>
        </w:rPr>
        <w:t>Hochheim</w:t>
      </w:r>
      <w:proofErr w:type="spellEnd"/>
      <w:r>
        <w:rPr>
          <w:rFonts w:ascii="Tahoma" w:hAnsi="Tahoma"/>
          <w:color w:val="404040" w:themeColor="text1" w:themeTint="BF"/>
        </w:rPr>
        <w:t>. 2021. “</w:t>
      </w:r>
      <w:r w:rsidRPr="003F65BF">
        <w:rPr>
          <w:rFonts w:ascii="Tahoma" w:hAnsi="Tahoma"/>
          <w:b/>
          <w:bCs/>
          <w:color w:val="404040" w:themeColor="text1" w:themeTint="BF"/>
        </w:rPr>
        <w:t>Avaliação de Imóveis a Partir de Dados de Oferta e Transação</w:t>
      </w:r>
      <w:r>
        <w:rPr>
          <w:rFonts w:ascii="Tahoma" w:hAnsi="Tahoma"/>
          <w:color w:val="404040" w:themeColor="text1" w:themeTint="BF"/>
        </w:rPr>
        <w:t>,” 29 p.</w:t>
      </w:r>
    </w:p>
    <w:p w14:paraId="734F7B23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</w:p>
    <w:p w14:paraId="4B33D3C4" w14:textId="77777777" w:rsidR="003F65BF" w:rsidRPr="009E1F81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  <w:lang w:val="en-US"/>
        </w:rPr>
      </w:pPr>
      <w:r w:rsidRPr="009E1F81">
        <w:rPr>
          <w:rFonts w:ascii="Tahoma" w:hAnsi="Tahoma"/>
          <w:color w:val="404040" w:themeColor="text1" w:themeTint="BF"/>
          <w:lang w:val="en-US"/>
        </w:rPr>
        <w:t xml:space="preserve">GRANELLE, J-J. 1998. </w:t>
      </w:r>
      <w:proofErr w:type="spellStart"/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>Économie</w:t>
      </w:r>
      <w:proofErr w:type="spellEnd"/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 xml:space="preserve"> </w:t>
      </w:r>
      <w:proofErr w:type="spellStart"/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>Immobilière</w:t>
      </w:r>
      <w:proofErr w:type="spellEnd"/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>. Analyses Et Applications.</w:t>
      </w:r>
      <w:r w:rsidRPr="009E1F81">
        <w:rPr>
          <w:rFonts w:ascii="Tahoma" w:hAnsi="Tahoma"/>
          <w:color w:val="404040" w:themeColor="text1" w:themeTint="BF"/>
          <w:lang w:val="en-US"/>
        </w:rPr>
        <w:t xml:space="preserve"> Paris: Economica.</w:t>
      </w:r>
    </w:p>
    <w:p w14:paraId="1E4FEF54" w14:textId="77777777" w:rsidR="003F65BF" w:rsidRPr="009E1F81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  <w:lang w:val="en-US"/>
        </w:rPr>
      </w:pPr>
    </w:p>
    <w:p w14:paraId="7B9D3D48" w14:textId="77777777" w:rsidR="003F65BF" w:rsidRPr="009E1F81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  <w:lang w:val="en-US"/>
        </w:rPr>
      </w:pPr>
      <w:proofErr w:type="spellStart"/>
      <w:r w:rsidRPr="009E1F81">
        <w:rPr>
          <w:rFonts w:ascii="Tahoma" w:hAnsi="Tahoma"/>
          <w:color w:val="404040" w:themeColor="text1" w:themeTint="BF"/>
          <w:lang w:val="en-US"/>
        </w:rPr>
        <w:t>Gyourko</w:t>
      </w:r>
      <w:proofErr w:type="spellEnd"/>
      <w:r w:rsidRPr="009E1F81">
        <w:rPr>
          <w:rFonts w:ascii="Tahoma" w:hAnsi="Tahoma"/>
          <w:color w:val="404040" w:themeColor="text1" w:themeTint="BF"/>
          <w:lang w:val="en-US"/>
        </w:rPr>
        <w:t xml:space="preserve">, Joseph, and Raven Molloy. 2015. “Chapter 19 - Regulation and Housing Supply.” In Handbook of Regional and Urban Economics, edited by Gilles Duranton, J. Vernon Henderson, and William C. Strange, 5:1289–1337. </w:t>
      </w:r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>Handbook of Regional and Urban Economics</w:t>
      </w:r>
      <w:r w:rsidRPr="009E1F81">
        <w:rPr>
          <w:rFonts w:ascii="Tahoma" w:hAnsi="Tahoma"/>
          <w:color w:val="404040" w:themeColor="text1" w:themeTint="BF"/>
          <w:lang w:val="en-US"/>
        </w:rPr>
        <w:t xml:space="preserve">. Elsevier. </w:t>
      </w:r>
      <w:hyperlink r:id="rId7" w:history="1">
        <w:r w:rsidRPr="009E1F81">
          <w:rPr>
            <w:rStyle w:val="Hyperlink"/>
            <w:rFonts w:ascii="Tahoma" w:hAnsi="Tahoma"/>
            <w:color w:val="404040" w:themeColor="text1" w:themeTint="BF"/>
            <w:lang w:val="en-US"/>
          </w:rPr>
          <w:t>https://doi.org/https://doi.org/10.1016/B978-0-444-59531-7.00019-3.</w:t>
        </w:r>
      </w:hyperlink>
    </w:p>
    <w:p w14:paraId="5A44F634" w14:textId="77777777" w:rsidR="003F65BF" w:rsidRPr="009E1F81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  <w:lang w:val="en-US"/>
        </w:rPr>
      </w:pPr>
    </w:p>
    <w:p w14:paraId="22A61D42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 xml:space="preserve">Lacerda, Norma, </w:t>
      </w:r>
      <w:proofErr w:type="spellStart"/>
      <w:r>
        <w:rPr>
          <w:rFonts w:ascii="Tahoma" w:hAnsi="Tahoma"/>
          <w:color w:val="404040" w:themeColor="text1" w:themeTint="BF"/>
        </w:rPr>
        <w:t>and</w:t>
      </w:r>
      <w:proofErr w:type="spellEnd"/>
      <w:r>
        <w:rPr>
          <w:rFonts w:ascii="Tahoma" w:hAnsi="Tahoma"/>
          <w:color w:val="404040" w:themeColor="text1" w:themeTint="BF"/>
        </w:rPr>
        <w:t xml:space="preserve"> Pedro Abramo. 2020. “O Mercado de Aluguel de Imóveis Comerciais e de Serviços Em Centros Históricos Brasileiros: Implicações Da Conservação Inovadora e Da Destruição Aniquiladora Nos Preços Dos Bens Patrimoniais.” </w:t>
      </w:r>
      <w:r>
        <w:rPr>
          <w:rFonts w:ascii="Tahoma" w:hAnsi="Tahoma"/>
          <w:b/>
          <w:bCs/>
          <w:color w:val="404040" w:themeColor="text1" w:themeTint="BF"/>
        </w:rPr>
        <w:t>Revista Brasileira de Estudos Urbanos e Regionais</w:t>
      </w:r>
      <w:r>
        <w:rPr>
          <w:rFonts w:ascii="Tahoma" w:hAnsi="Tahoma"/>
          <w:color w:val="404040" w:themeColor="text1" w:themeTint="BF"/>
        </w:rPr>
        <w:t xml:space="preserve"> 22 (E202027pt): 1–27. https://doi.org/https://doi.org/10.22296/2317-1529.rbeur.202027pt.</w:t>
      </w:r>
    </w:p>
    <w:p w14:paraId="59BD23D3" w14:textId="77777777" w:rsidR="003F65BF" w:rsidRDefault="003F65BF" w:rsidP="003F65BF">
      <w:pPr>
        <w:ind w:left="-567" w:right="-710"/>
        <w:jc w:val="both"/>
        <w:rPr>
          <w:rFonts w:ascii="Tahoma" w:hAnsi="Tahoma"/>
          <w:color w:val="404040" w:themeColor="text1" w:themeTint="BF"/>
        </w:rPr>
      </w:pPr>
    </w:p>
    <w:p w14:paraId="3187A6ED" w14:textId="77777777" w:rsidR="00E16F44" w:rsidRDefault="00E16F44" w:rsidP="00E16F44">
      <w:pPr>
        <w:ind w:left="-567"/>
        <w:rPr>
          <w:rFonts w:ascii="Verdana" w:hAnsi="Verdana"/>
          <w:b/>
          <w:sz w:val="24"/>
          <w:u w:val="single"/>
        </w:rPr>
      </w:pPr>
      <w:r w:rsidRPr="00E16F44">
        <w:rPr>
          <w:rFonts w:ascii="Verdana" w:hAnsi="Verdana"/>
          <w:b/>
          <w:sz w:val="24"/>
          <w:u w:val="single"/>
        </w:rPr>
        <w:t>Bibliografia Complementar:</w:t>
      </w:r>
      <w:r>
        <w:rPr>
          <w:rFonts w:ascii="Verdana" w:hAnsi="Verdana"/>
          <w:b/>
          <w:sz w:val="24"/>
          <w:u w:val="single"/>
        </w:rPr>
        <w:t xml:space="preserve"> </w:t>
      </w:r>
    </w:p>
    <w:p w14:paraId="77BD9B09" w14:textId="77777777" w:rsidR="003F65BF" w:rsidRDefault="003F65BF" w:rsidP="00E16F44">
      <w:pPr>
        <w:ind w:left="-567"/>
        <w:rPr>
          <w:rFonts w:ascii="Verdana" w:hAnsi="Verdana"/>
          <w:b/>
          <w:sz w:val="24"/>
          <w:u w:val="single"/>
        </w:rPr>
      </w:pPr>
    </w:p>
    <w:p w14:paraId="33C22853" w14:textId="1ADD4C47" w:rsidR="003F65BF" w:rsidRPr="003F65BF" w:rsidRDefault="003F65BF" w:rsidP="00E16F44">
      <w:pPr>
        <w:ind w:left="-567"/>
        <w:rPr>
          <w:rFonts w:ascii="Verdana" w:hAnsi="Verdana"/>
          <w:bCs/>
          <w:sz w:val="24"/>
        </w:rPr>
      </w:pPr>
      <w:r w:rsidRPr="003F65BF">
        <w:rPr>
          <w:rFonts w:ascii="Verdana" w:hAnsi="Verdana"/>
          <w:bCs/>
          <w:sz w:val="24"/>
        </w:rPr>
        <w:t>Alonso, Nelson Roberto Pereira – Avaliação de aluguéis – apostila. [</w:t>
      </w:r>
      <w:r>
        <w:rPr>
          <w:rFonts w:ascii="Verdana" w:hAnsi="Verdana"/>
          <w:bCs/>
          <w:sz w:val="24"/>
        </w:rPr>
        <w:t>2019</w:t>
      </w:r>
      <w:r w:rsidRPr="003F65BF">
        <w:rPr>
          <w:rFonts w:ascii="Verdana" w:hAnsi="Verdana"/>
          <w:bCs/>
          <w:sz w:val="24"/>
        </w:rPr>
        <w:t>]</w:t>
      </w:r>
    </w:p>
    <w:p w14:paraId="08EB528A" w14:textId="77777777" w:rsidR="00E16F44" w:rsidRDefault="00E16F44" w:rsidP="00E16F44">
      <w:pPr>
        <w:ind w:left="-567"/>
        <w:rPr>
          <w:rFonts w:ascii="Verdana" w:hAnsi="Verdana"/>
          <w:b/>
          <w:sz w:val="24"/>
          <w:u w:val="single"/>
        </w:rPr>
      </w:pPr>
    </w:p>
    <w:sectPr w:rsidR="00E16F44" w:rsidSect="00E16F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665" w:right="141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3723E" w14:textId="77777777" w:rsidR="00B02AF1" w:rsidRDefault="00B02AF1" w:rsidP="00E842D8">
      <w:r>
        <w:separator/>
      </w:r>
    </w:p>
  </w:endnote>
  <w:endnote w:type="continuationSeparator" w:id="0">
    <w:p w14:paraId="22B4A634" w14:textId="77777777" w:rsidR="00B02AF1" w:rsidRDefault="00B02AF1" w:rsidP="00E84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9E05" w14:textId="77777777" w:rsidR="00AA12D9" w:rsidRDefault="00AA12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C50D6" w14:textId="77777777" w:rsidR="00AA12D9" w:rsidRDefault="00AA12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4F5B" w14:textId="77777777" w:rsidR="00AA12D9" w:rsidRDefault="00AA12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BE5E" w14:textId="77777777" w:rsidR="00B02AF1" w:rsidRDefault="00B02AF1" w:rsidP="00E842D8">
      <w:r>
        <w:separator/>
      </w:r>
    </w:p>
  </w:footnote>
  <w:footnote w:type="continuationSeparator" w:id="0">
    <w:p w14:paraId="3BBAB95E" w14:textId="77777777" w:rsidR="00B02AF1" w:rsidRDefault="00B02AF1" w:rsidP="00E84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9360A" w14:textId="77777777" w:rsidR="00AA12D9" w:rsidRDefault="00AA12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C3CE" w14:textId="77777777" w:rsidR="00E842D8" w:rsidRPr="00E842D8" w:rsidRDefault="00793401" w:rsidP="00E842D8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2B085A4" wp14:editId="76851E1A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59226" cy="10692647"/>
          <wp:effectExtent l="0" t="0" r="381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226" cy="10692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4D228" w14:textId="77777777" w:rsidR="00AA12D9" w:rsidRDefault="00AA12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A252B"/>
    <w:multiLevelType w:val="hybridMultilevel"/>
    <w:tmpl w:val="E7F7BC7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4157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D8"/>
    <w:rsid w:val="00034E0E"/>
    <w:rsid w:val="002E6FEE"/>
    <w:rsid w:val="00357069"/>
    <w:rsid w:val="00365E59"/>
    <w:rsid w:val="003773FC"/>
    <w:rsid w:val="003D6107"/>
    <w:rsid w:val="003F65BF"/>
    <w:rsid w:val="00463E56"/>
    <w:rsid w:val="00592746"/>
    <w:rsid w:val="005A6828"/>
    <w:rsid w:val="00793401"/>
    <w:rsid w:val="0094497F"/>
    <w:rsid w:val="00994505"/>
    <w:rsid w:val="00AA12D9"/>
    <w:rsid w:val="00B02AF1"/>
    <w:rsid w:val="00B34078"/>
    <w:rsid w:val="00B82E3F"/>
    <w:rsid w:val="00BB271E"/>
    <w:rsid w:val="00BB617A"/>
    <w:rsid w:val="00D259B9"/>
    <w:rsid w:val="00D568CE"/>
    <w:rsid w:val="00E16F44"/>
    <w:rsid w:val="00E842D8"/>
    <w:rsid w:val="00F309D9"/>
    <w:rsid w:val="00F8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B06DC"/>
  <w15:chartTrackingRefBased/>
  <w15:docId w15:val="{F4611E07-06A4-4B84-8155-8BD985FB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97F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42D8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2D8"/>
  </w:style>
  <w:style w:type="paragraph" w:styleId="Footer">
    <w:name w:val="footer"/>
    <w:basedOn w:val="Normal"/>
    <w:link w:val="FooterChar"/>
    <w:uiPriority w:val="99"/>
    <w:unhideWhenUsed/>
    <w:rsid w:val="00E842D8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2D8"/>
  </w:style>
  <w:style w:type="paragraph" w:styleId="BalloonText">
    <w:name w:val="Balloon Text"/>
    <w:basedOn w:val="Normal"/>
    <w:link w:val="BalloonTextChar"/>
    <w:uiPriority w:val="99"/>
    <w:semiHidden/>
    <w:unhideWhenUsed/>
    <w:rsid w:val="003570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06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16F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qFormat/>
    <w:rsid w:val="003F65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9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i.org/https:/doi.org/10.1016/B978-0-444-59531-7.00019-3.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551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Walber</dc:creator>
  <cp:keywords/>
  <dc:description/>
  <cp:lastModifiedBy>Luiz F P Droubi</cp:lastModifiedBy>
  <cp:revision>6</cp:revision>
  <cp:lastPrinted>2016-01-07T12:59:00Z</cp:lastPrinted>
  <dcterms:created xsi:type="dcterms:W3CDTF">2024-09-23T20:07:00Z</dcterms:created>
  <dcterms:modified xsi:type="dcterms:W3CDTF">2025-12-23T12:10:00Z</dcterms:modified>
</cp:coreProperties>
</file>