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DD623" w14:textId="0993655E" w:rsidR="00B44CC1" w:rsidRPr="00B44CC1" w:rsidRDefault="00B44CC1" w:rsidP="00C3619C">
      <w:pPr>
        <w:spacing w:line="312" w:lineRule="atLeast"/>
        <w:jc w:val="both"/>
        <w:textAlignment w:val="baseline"/>
        <w:rPr>
          <w:rFonts w:ascii="Times New Roman" w:eastAsia="Times New Roman" w:hAnsi="Times New Roman" w:cs="Times New Roman"/>
          <w:b/>
          <w:color w:val="000000"/>
        </w:rPr>
      </w:pPr>
      <w:r w:rsidRPr="00B44CC1">
        <w:rPr>
          <w:rFonts w:ascii="Times New Roman" w:eastAsia="Times New Roman" w:hAnsi="Times New Roman" w:cs="Times New Roman"/>
          <w:b/>
          <w:color w:val="000000"/>
        </w:rPr>
        <w:t xml:space="preserve">Introduction </w:t>
      </w:r>
    </w:p>
    <w:p w14:paraId="76A47740" w14:textId="77777777" w:rsidR="00B44CC1" w:rsidRDefault="00B44CC1" w:rsidP="00C3619C">
      <w:pPr>
        <w:spacing w:line="312" w:lineRule="atLeast"/>
        <w:jc w:val="both"/>
        <w:textAlignment w:val="baseline"/>
        <w:rPr>
          <w:rFonts w:ascii="Times New Roman" w:eastAsia="Times New Roman" w:hAnsi="Times New Roman" w:cs="Times New Roman"/>
          <w:color w:val="000000"/>
        </w:rPr>
      </w:pPr>
    </w:p>
    <w:p w14:paraId="1E244A32" w14:textId="52C57172" w:rsidR="00C3619C" w:rsidRPr="007451E8" w:rsidRDefault="0088065F" w:rsidP="00C3619C">
      <w:pPr>
        <w:spacing w:line="312" w:lineRule="atLeast"/>
        <w:jc w:val="both"/>
        <w:textAlignment w:val="baseline"/>
        <w:rPr>
          <w:rFonts w:ascii="Times New Roman" w:eastAsia="Times New Roman" w:hAnsi="Times New Roman" w:cs="Times New Roman"/>
          <w:color w:val="000000"/>
        </w:rPr>
      </w:pPr>
      <w:r w:rsidRPr="007451E8">
        <w:rPr>
          <w:rFonts w:ascii="Times New Roman" w:eastAsia="Times New Roman" w:hAnsi="Times New Roman" w:cs="Times New Roman"/>
          <w:color w:val="000000"/>
        </w:rPr>
        <w:t xml:space="preserve">“The people, all the people, must be known, they must be heard,” proclaimed William T. Couch in 1939 from Chapel Hill. A respected editor turned part-time government bureaucrat, Couch served as director of </w:t>
      </w:r>
      <w:r w:rsidR="00822043" w:rsidRPr="007451E8">
        <w:rPr>
          <w:rFonts w:ascii="Times New Roman" w:eastAsia="Times New Roman" w:hAnsi="Times New Roman" w:cs="Times New Roman"/>
          <w:color w:val="000000"/>
        </w:rPr>
        <w:t xml:space="preserve">both </w:t>
      </w:r>
      <w:r w:rsidRPr="007451E8">
        <w:rPr>
          <w:rFonts w:ascii="Times New Roman" w:eastAsia="Times New Roman" w:hAnsi="Times New Roman" w:cs="Times New Roman"/>
          <w:color w:val="000000"/>
        </w:rPr>
        <w:t xml:space="preserve">the University of North Carolina Press and </w:t>
      </w:r>
      <w:r w:rsidR="0095116B">
        <w:rPr>
          <w:rFonts w:ascii="Times New Roman" w:eastAsia="Times New Roman" w:hAnsi="Times New Roman" w:cs="Times New Roman"/>
          <w:color w:val="000000"/>
        </w:rPr>
        <w:t>the Southeast Regional Director of the Federal Writers’ Project (FWP)</w:t>
      </w:r>
      <w:r w:rsidRPr="007451E8">
        <w:rPr>
          <w:rFonts w:ascii="Times New Roman" w:eastAsia="Times New Roman" w:hAnsi="Times New Roman" w:cs="Times New Roman"/>
          <w:color w:val="000000"/>
        </w:rPr>
        <w:t>.</w:t>
      </w:r>
      <w:r w:rsidRPr="007451E8">
        <w:rPr>
          <w:rStyle w:val="FootnoteReference"/>
          <w:rFonts w:ascii="Times New Roman" w:eastAsia="Times New Roman" w:hAnsi="Times New Roman" w:cs="Times New Roman"/>
          <w:color w:val="000000"/>
        </w:rPr>
        <w:footnoteReference w:id="1"/>
      </w:r>
      <w:r w:rsidRPr="007451E8">
        <w:rPr>
          <w:rFonts w:ascii="Times New Roman" w:eastAsia="Times New Roman" w:hAnsi="Times New Roman" w:cs="Times New Roman"/>
          <w:color w:val="000000"/>
        </w:rPr>
        <w:t xml:space="preserve"> As economic turmoil engulfed the nation, his concern for the </w:t>
      </w:r>
      <w:r w:rsidR="00F37B47" w:rsidRPr="007451E8">
        <w:rPr>
          <w:rFonts w:ascii="Times New Roman" w:eastAsia="Times New Roman" w:hAnsi="Times New Roman" w:cs="Times New Roman"/>
          <w:color w:val="000000"/>
        </w:rPr>
        <w:t>future of the</w:t>
      </w:r>
      <w:r w:rsidR="00A76CF1" w:rsidRPr="007451E8">
        <w:rPr>
          <w:rFonts w:ascii="Times New Roman" w:eastAsia="Times New Roman" w:hAnsi="Times New Roman" w:cs="Times New Roman"/>
          <w:color w:val="000000"/>
        </w:rPr>
        <w:t xml:space="preserve"> region mounted. </w:t>
      </w:r>
      <w:r w:rsidR="00845660" w:rsidRPr="007451E8">
        <w:rPr>
          <w:rFonts w:ascii="Times New Roman" w:eastAsia="Times New Roman" w:hAnsi="Times New Roman" w:cs="Times New Roman"/>
          <w:color w:val="000000"/>
        </w:rPr>
        <w:t xml:space="preserve">Alongside cultural workers across the United States such as </w:t>
      </w:r>
      <w:r w:rsidR="00CC3C55" w:rsidRPr="007451E8">
        <w:rPr>
          <w:rFonts w:ascii="Times New Roman" w:eastAsia="Times New Roman" w:hAnsi="Times New Roman" w:cs="Times New Roman"/>
          <w:color w:val="000000"/>
        </w:rPr>
        <w:t xml:space="preserve">writer </w:t>
      </w:r>
      <w:r w:rsidR="00845660" w:rsidRPr="007451E8">
        <w:rPr>
          <w:rFonts w:ascii="Times New Roman" w:eastAsia="Times New Roman" w:hAnsi="Times New Roman" w:cs="Times New Roman"/>
          <w:color w:val="000000"/>
        </w:rPr>
        <w:t xml:space="preserve">James Agee and </w:t>
      </w:r>
      <w:r w:rsidR="00CC3C55" w:rsidRPr="007451E8">
        <w:rPr>
          <w:rFonts w:ascii="Times New Roman" w:eastAsia="Times New Roman" w:hAnsi="Times New Roman" w:cs="Times New Roman"/>
          <w:color w:val="000000"/>
        </w:rPr>
        <w:t>photographer Marion Post Wolcott</w:t>
      </w:r>
      <w:r w:rsidR="00845660" w:rsidRPr="007451E8">
        <w:rPr>
          <w:rFonts w:ascii="Times New Roman" w:eastAsia="Times New Roman" w:hAnsi="Times New Roman" w:cs="Times New Roman"/>
          <w:color w:val="000000"/>
        </w:rPr>
        <w:t>, he shared a belief in the power of documentary expression to render visible silenced communities.</w:t>
      </w:r>
      <w:r w:rsidR="0095116B">
        <w:rPr>
          <w:rFonts w:ascii="Times New Roman" w:eastAsia="Times New Roman" w:hAnsi="Times New Roman" w:cs="Times New Roman"/>
          <w:color w:val="000000"/>
        </w:rPr>
        <w:t xml:space="preserve"> However, w</w:t>
      </w:r>
      <w:r w:rsidR="0095116B" w:rsidRPr="007451E8">
        <w:rPr>
          <w:rFonts w:ascii="Times New Roman" w:eastAsia="Times New Roman" w:hAnsi="Times New Roman" w:cs="Times New Roman"/>
          <w:color w:val="000000"/>
        </w:rPr>
        <w:t>ith key interlocuters including New Deal liberals</w:t>
      </w:r>
      <w:r w:rsidR="0095116B">
        <w:rPr>
          <w:rFonts w:ascii="Times New Roman" w:eastAsia="Times New Roman" w:hAnsi="Times New Roman" w:cs="Times New Roman"/>
          <w:color w:val="000000"/>
        </w:rPr>
        <w:t xml:space="preserve"> in the FWP</w:t>
      </w:r>
      <w:r w:rsidR="0095116B" w:rsidRPr="007451E8">
        <w:rPr>
          <w:rFonts w:ascii="Times New Roman" w:eastAsia="Times New Roman" w:hAnsi="Times New Roman" w:cs="Times New Roman"/>
          <w:color w:val="000000"/>
        </w:rPr>
        <w:t xml:space="preserve"> and sociologists, </w:t>
      </w:r>
      <w:r w:rsidR="0095116B">
        <w:rPr>
          <w:rFonts w:ascii="Times New Roman" w:eastAsia="Times New Roman" w:hAnsi="Times New Roman" w:cs="Times New Roman"/>
          <w:color w:val="000000"/>
        </w:rPr>
        <w:t xml:space="preserve">he </w:t>
      </w:r>
      <w:r w:rsidR="0095116B" w:rsidRPr="007451E8">
        <w:rPr>
          <w:rFonts w:ascii="Times New Roman" w:eastAsia="Times New Roman" w:hAnsi="Times New Roman" w:cs="Times New Roman"/>
          <w:color w:val="000000"/>
        </w:rPr>
        <w:t>troubled over how to “authe</w:t>
      </w:r>
      <w:r w:rsidR="0095116B">
        <w:rPr>
          <w:rFonts w:ascii="Times New Roman" w:eastAsia="Times New Roman" w:hAnsi="Times New Roman" w:cs="Times New Roman"/>
          <w:color w:val="000000"/>
        </w:rPr>
        <w:t xml:space="preserve">ntically” and “accurately” </w:t>
      </w:r>
      <w:r w:rsidR="0095116B" w:rsidRPr="007451E8">
        <w:rPr>
          <w:rFonts w:ascii="Times New Roman" w:eastAsia="Times New Roman" w:hAnsi="Times New Roman" w:cs="Times New Roman"/>
          <w:color w:val="000000"/>
        </w:rPr>
        <w:t>represent people and their conditions that were honest about the challenges of the region while challenging depictions of southern life as antiquated, depraved, and languid.</w:t>
      </w:r>
      <w:r w:rsidR="0095116B">
        <w:rPr>
          <w:rFonts w:ascii="Times New Roman" w:eastAsia="Times New Roman" w:hAnsi="Times New Roman" w:cs="Times New Roman"/>
          <w:color w:val="000000"/>
        </w:rPr>
        <w:t xml:space="preserve"> </w:t>
      </w:r>
      <w:r w:rsidR="00C3619C" w:rsidRPr="00C04B06">
        <w:rPr>
          <w:rFonts w:ascii="Times New Roman" w:eastAsia="Times" w:hAnsi="Times New Roman" w:cs="Times New Roman"/>
        </w:rPr>
        <w:t>“Somehow they must be given representation, somehow they must be given voice and allowed to speak, in their essential character,” Couch argued.</w:t>
      </w:r>
      <w:r w:rsidR="00C3619C" w:rsidRPr="00C04B06">
        <w:rPr>
          <w:rFonts w:ascii="Times New Roman" w:eastAsia="Times" w:hAnsi="Times New Roman" w:cs="Times New Roman"/>
          <w:vertAlign w:val="superscript"/>
        </w:rPr>
        <w:footnoteReference w:id="2"/>
      </w:r>
    </w:p>
    <w:p w14:paraId="2C51FF27" w14:textId="77777777" w:rsidR="00C3619C" w:rsidRDefault="00C3619C" w:rsidP="000338FD">
      <w:pPr>
        <w:spacing w:line="312" w:lineRule="atLeast"/>
        <w:jc w:val="both"/>
        <w:textAlignment w:val="baseline"/>
        <w:rPr>
          <w:rFonts w:ascii="Times New Roman" w:eastAsia="Times New Roman" w:hAnsi="Times New Roman" w:cs="Times New Roman"/>
          <w:color w:val="000000"/>
        </w:rPr>
      </w:pPr>
    </w:p>
    <w:p w14:paraId="58785A47" w14:textId="64E3D5F0" w:rsidR="004D5399" w:rsidRDefault="0095116B" w:rsidP="000338FD">
      <w:pPr>
        <w:spacing w:line="312" w:lineRule="atLeast"/>
        <w:jc w:val="both"/>
        <w:textAlignment w:val="baseline"/>
        <w:rPr>
          <w:rFonts w:ascii="Times New Roman" w:eastAsia="Times New Roman" w:hAnsi="Times New Roman" w:cs="Times New Roman"/>
          <w:color w:val="000000"/>
        </w:rPr>
      </w:pPr>
      <w:r w:rsidRPr="007451E8">
        <w:rPr>
          <w:rFonts w:ascii="Times New Roman" w:eastAsia="Times New Roman" w:hAnsi="Times New Roman" w:cs="Times New Roman"/>
          <w:color w:val="000000"/>
        </w:rPr>
        <w:t>The desire to circulate</w:t>
      </w:r>
      <w:r>
        <w:rPr>
          <w:rFonts w:ascii="Times New Roman" w:eastAsia="Times New Roman" w:hAnsi="Times New Roman" w:cs="Times New Roman"/>
          <w:color w:val="000000"/>
        </w:rPr>
        <w:t xml:space="preserve"> southern voices grew out of Couch’</w:t>
      </w:r>
      <w:r w:rsidRPr="007451E8">
        <w:rPr>
          <w:rFonts w:ascii="Times New Roman" w:eastAsia="Times New Roman" w:hAnsi="Times New Roman" w:cs="Times New Roman"/>
          <w:color w:val="000000"/>
        </w:rPr>
        <w:t xml:space="preserve"> distress over how intellectuals from academic sociology and literature portrayed the region. While the former risked reducing people to generalizations and nameless statistics further obscured by dense academic prose, the latter often depicted the region as backwards</w:t>
      </w:r>
      <w:r>
        <w:rPr>
          <w:rFonts w:ascii="Times New Roman" w:eastAsia="Times New Roman" w:hAnsi="Times New Roman" w:cs="Times New Roman"/>
          <w:color w:val="000000"/>
        </w:rPr>
        <w:t xml:space="preserve"> through stereotypical characterizations</w:t>
      </w:r>
      <w:r w:rsidRPr="007451E8">
        <w:rPr>
          <w:rFonts w:ascii="Times New Roman" w:eastAsia="Times New Roman" w:hAnsi="Times New Roman" w:cs="Times New Roman"/>
          <w:color w:val="000000"/>
        </w:rPr>
        <w:t>, a theme that federal bureaucrats drew on to argue that the region could not modernize and move out of the Great Depression. The stakes further heightened as intellectuals moved between the academy and New Deal state to identify and develop solutions.</w:t>
      </w:r>
      <w:r w:rsidR="004D5399">
        <w:rPr>
          <w:rFonts w:ascii="Times New Roman" w:eastAsia="Times New Roman" w:hAnsi="Times New Roman" w:cs="Times New Roman"/>
          <w:color w:val="000000"/>
        </w:rPr>
        <w:t xml:space="preserve"> To address these issues, Couch developed </w:t>
      </w:r>
      <w:r w:rsidR="00845660" w:rsidRPr="007451E8">
        <w:rPr>
          <w:rFonts w:ascii="Times New Roman" w:eastAsia="Times New Roman" w:hAnsi="Times New Roman" w:cs="Times New Roman"/>
          <w:color w:val="000000"/>
        </w:rPr>
        <w:t xml:space="preserve">the Southern Life History Project </w:t>
      </w:r>
      <w:r w:rsidR="005C69D2" w:rsidRPr="007451E8">
        <w:rPr>
          <w:rFonts w:ascii="Times New Roman" w:eastAsia="Times New Roman" w:hAnsi="Times New Roman" w:cs="Times New Roman"/>
          <w:color w:val="000000"/>
        </w:rPr>
        <w:t>(SLHP)</w:t>
      </w:r>
      <w:r w:rsidR="004D5399">
        <w:rPr>
          <w:rFonts w:ascii="Times New Roman" w:eastAsia="Times New Roman" w:hAnsi="Times New Roman" w:cs="Times New Roman"/>
          <w:color w:val="000000"/>
        </w:rPr>
        <w:t xml:space="preserve"> as a special initiative in the FWP</w:t>
      </w:r>
      <w:r w:rsidR="0092751F">
        <w:rPr>
          <w:rFonts w:ascii="Times New Roman" w:eastAsia="Times New Roman" w:hAnsi="Times New Roman" w:cs="Times New Roman"/>
          <w:color w:val="000000"/>
        </w:rPr>
        <w:t>. Relying on the existing state and local FWP offices, the project employed</w:t>
      </w:r>
      <w:r w:rsidR="001A46FC">
        <w:rPr>
          <w:rFonts w:ascii="Times New Roman" w:eastAsia="Times New Roman" w:hAnsi="Times New Roman" w:cs="Times New Roman"/>
          <w:color w:val="000000"/>
        </w:rPr>
        <w:t xml:space="preserve"> over 150 </w:t>
      </w:r>
      <w:r w:rsidR="0092751F">
        <w:rPr>
          <w:rFonts w:ascii="Times New Roman" w:eastAsia="Times New Roman" w:hAnsi="Times New Roman" w:cs="Times New Roman"/>
          <w:color w:val="000000"/>
        </w:rPr>
        <w:t xml:space="preserve">of </w:t>
      </w:r>
      <w:r w:rsidR="001A46FC">
        <w:rPr>
          <w:rFonts w:ascii="Times New Roman" w:eastAsia="Times New Roman" w:hAnsi="Times New Roman" w:cs="Times New Roman"/>
          <w:color w:val="000000"/>
        </w:rPr>
        <w:t>federal writers</w:t>
      </w:r>
      <w:r w:rsidR="0092751F">
        <w:rPr>
          <w:rFonts w:ascii="Times New Roman" w:eastAsia="Times New Roman" w:hAnsi="Times New Roman" w:cs="Times New Roman"/>
          <w:color w:val="000000"/>
        </w:rPr>
        <w:t xml:space="preserve"> and editors across the Southeast.</w:t>
      </w:r>
      <w:r w:rsidR="004D5399">
        <w:rPr>
          <w:rFonts w:ascii="Times New Roman" w:eastAsia="Times New Roman" w:hAnsi="Times New Roman" w:cs="Times New Roman"/>
          <w:color w:val="000000"/>
        </w:rPr>
        <w:t xml:space="preserve"> This </w:t>
      </w:r>
      <w:r w:rsidR="00845660" w:rsidRPr="007451E8">
        <w:rPr>
          <w:rFonts w:ascii="Times New Roman" w:eastAsia="Times New Roman" w:hAnsi="Times New Roman" w:cs="Times New Roman"/>
          <w:color w:val="000000"/>
        </w:rPr>
        <w:t xml:space="preserve">laudatory experiment in social documentary </w:t>
      </w:r>
      <w:r w:rsidR="004D5399">
        <w:rPr>
          <w:rFonts w:ascii="Times New Roman" w:eastAsia="Times New Roman" w:hAnsi="Times New Roman" w:cs="Times New Roman"/>
          <w:color w:val="000000"/>
        </w:rPr>
        <w:t>led to the collection of</w:t>
      </w:r>
      <w:r w:rsidR="00E47FCC" w:rsidRPr="007451E8">
        <w:rPr>
          <w:rFonts w:ascii="Times New Roman" w:eastAsia="Times New Roman" w:hAnsi="Times New Roman" w:cs="Times New Roman"/>
          <w:color w:val="000000"/>
        </w:rPr>
        <w:t xml:space="preserve"> </w:t>
      </w:r>
      <w:r w:rsidR="00183FD5">
        <w:rPr>
          <w:rFonts w:ascii="Times New Roman" w:eastAsia="Times New Roman" w:hAnsi="Times New Roman" w:cs="Times New Roman"/>
          <w:color w:val="000000"/>
        </w:rPr>
        <w:t xml:space="preserve">over </w:t>
      </w:r>
      <w:r w:rsidR="00E47FCC" w:rsidRPr="007451E8">
        <w:rPr>
          <w:rFonts w:ascii="Times New Roman" w:eastAsia="Times New Roman" w:hAnsi="Times New Roman" w:cs="Times New Roman"/>
          <w:color w:val="000000"/>
        </w:rPr>
        <w:t>1,200 life histories</w:t>
      </w:r>
      <w:r w:rsidR="004D5399">
        <w:rPr>
          <w:rFonts w:ascii="Times New Roman" w:eastAsia="Times New Roman" w:hAnsi="Times New Roman" w:cs="Times New Roman"/>
          <w:color w:val="000000"/>
        </w:rPr>
        <w:t xml:space="preserve"> in which </w:t>
      </w:r>
      <w:r w:rsidR="00E47FCC" w:rsidRPr="007451E8">
        <w:rPr>
          <w:rFonts w:ascii="Times New Roman" w:eastAsia="Times New Roman" w:hAnsi="Times New Roman" w:cs="Times New Roman"/>
          <w:color w:val="000000"/>
        </w:rPr>
        <w:t>Southerner</w:t>
      </w:r>
      <w:r w:rsidR="004D5399">
        <w:rPr>
          <w:rFonts w:ascii="Times New Roman" w:eastAsia="Times New Roman" w:hAnsi="Times New Roman" w:cs="Times New Roman"/>
          <w:color w:val="000000"/>
        </w:rPr>
        <w:t xml:space="preserve">s shared their own stories of life during the Great Depression. </w:t>
      </w:r>
    </w:p>
    <w:p w14:paraId="3071604C" w14:textId="77777777" w:rsidR="00183FD5" w:rsidRPr="007451E8" w:rsidRDefault="00183FD5" w:rsidP="000338FD">
      <w:pPr>
        <w:spacing w:line="312" w:lineRule="atLeast"/>
        <w:jc w:val="both"/>
        <w:textAlignment w:val="baseline"/>
        <w:rPr>
          <w:rFonts w:ascii="Times New Roman" w:eastAsia="Times New Roman" w:hAnsi="Times New Roman" w:cs="Times New Roman"/>
          <w:color w:val="000000"/>
        </w:rPr>
      </w:pPr>
    </w:p>
    <w:p w14:paraId="774C9448" w14:textId="3ACB0392" w:rsidR="0092751F" w:rsidRDefault="00183FD5" w:rsidP="0092751F">
      <w:pPr>
        <w:spacing w:line="312" w:lineRule="atLeast"/>
        <w:jc w:val="both"/>
        <w:textAlignment w:val="baseline"/>
        <w:rPr>
          <w:rFonts w:ascii="Times New Roman" w:eastAsia="Times New Roman" w:hAnsi="Times New Roman" w:cs="Times New Roman"/>
          <w:color w:val="000000"/>
        </w:rPr>
      </w:pPr>
      <w:r>
        <w:rPr>
          <w:rFonts w:ascii="Times New Roman" w:eastAsia="Times New Roman" w:hAnsi="Times New Roman" w:cs="Times New Roman"/>
          <w:i/>
          <w:iCs/>
          <w:color w:val="000000"/>
          <w:bdr w:val="none" w:sz="0" w:space="0" w:color="auto" w:frame="1"/>
        </w:rPr>
        <w:t>Writing Their Voices</w:t>
      </w:r>
      <w:r w:rsidR="0092751F" w:rsidRPr="007451E8">
        <w:rPr>
          <w:rFonts w:ascii="Times New Roman" w:eastAsia="Times New Roman" w:hAnsi="Times New Roman" w:cs="Times New Roman"/>
          <w:i/>
          <w:iCs/>
          <w:color w:val="000000"/>
          <w:bdr w:val="none" w:sz="0" w:space="0" w:color="auto" w:frame="1"/>
        </w:rPr>
        <w:t xml:space="preserve">: Documentary </w:t>
      </w:r>
      <w:r>
        <w:rPr>
          <w:rFonts w:ascii="Times New Roman" w:eastAsia="Times New Roman" w:hAnsi="Times New Roman" w:cs="Times New Roman"/>
          <w:i/>
          <w:iCs/>
          <w:color w:val="000000"/>
          <w:bdr w:val="none" w:sz="0" w:space="0" w:color="auto" w:frame="1"/>
        </w:rPr>
        <w:t>Evidence and the Southern Life History Project</w:t>
      </w:r>
      <w:r w:rsidR="0092751F" w:rsidRPr="007451E8">
        <w:rPr>
          <w:rFonts w:ascii="Times New Roman" w:eastAsia="Times New Roman" w:hAnsi="Times New Roman" w:cs="Times New Roman"/>
          <w:color w:val="000000"/>
        </w:rPr>
        <w:t xml:space="preserve"> recovers </w:t>
      </w:r>
      <w:r>
        <w:rPr>
          <w:rFonts w:ascii="Times New Roman" w:eastAsia="Times New Roman" w:hAnsi="Times New Roman" w:cs="Times New Roman"/>
          <w:color w:val="000000"/>
        </w:rPr>
        <w:t>the</w:t>
      </w:r>
      <w:r w:rsidR="0092751F" w:rsidRPr="007451E8">
        <w:rPr>
          <w:rFonts w:ascii="Times New Roman" w:eastAsia="Times New Roman" w:hAnsi="Times New Roman" w:cs="Times New Roman"/>
          <w:color w:val="000000"/>
        </w:rPr>
        <w:t xml:space="preserve"> history of the </w:t>
      </w:r>
      <w:r>
        <w:rPr>
          <w:rFonts w:ascii="Times New Roman" w:eastAsia="Times New Roman" w:hAnsi="Times New Roman" w:cs="Times New Roman"/>
          <w:color w:val="000000"/>
        </w:rPr>
        <w:t xml:space="preserve">SLHP </w:t>
      </w:r>
      <w:r w:rsidR="0092751F" w:rsidRPr="007451E8">
        <w:rPr>
          <w:rFonts w:ascii="Times New Roman" w:eastAsia="Times New Roman" w:hAnsi="Times New Roman" w:cs="Times New Roman"/>
          <w:color w:val="000000"/>
        </w:rPr>
        <w:t>and their efforts to reconfigure the life history method</w:t>
      </w:r>
      <w:r w:rsidR="00522FBC">
        <w:rPr>
          <w:rFonts w:ascii="Times New Roman" w:eastAsia="Times New Roman" w:hAnsi="Times New Roman" w:cs="Times New Roman"/>
          <w:color w:val="000000"/>
        </w:rPr>
        <w:t xml:space="preserve">. We employ an </w:t>
      </w:r>
      <w:r w:rsidR="0092751F" w:rsidRPr="007451E8">
        <w:rPr>
          <w:rFonts w:ascii="Times New Roman" w:eastAsia="Times New Roman" w:hAnsi="Times New Roman" w:cs="Times New Roman"/>
          <w:color w:val="000000"/>
        </w:rPr>
        <w:t xml:space="preserve">interdisciplinary approach that combines close readings of archival material with computational methods that analyze </w:t>
      </w:r>
      <w:r w:rsidR="00F52775">
        <w:rPr>
          <w:rFonts w:ascii="Times New Roman" w:eastAsia="Times New Roman" w:hAnsi="Times New Roman" w:cs="Times New Roman"/>
          <w:color w:val="000000"/>
        </w:rPr>
        <w:t xml:space="preserve">pattern across </w:t>
      </w:r>
      <w:r w:rsidR="0092751F" w:rsidRPr="007451E8">
        <w:rPr>
          <w:rFonts w:ascii="Times New Roman" w:eastAsia="Times New Roman" w:hAnsi="Times New Roman" w:cs="Times New Roman"/>
          <w:color w:val="000000"/>
        </w:rPr>
        <w:t>the collection</w:t>
      </w:r>
      <w:r w:rsidR="00EE53D7">
        <w:rPr>
          <w:rFonts w:ascii="Times New Roman" w:eastAsia="Times New Roman" w:hAnsi="Times New Roman" w:cs="Times New Roman"/>
          <w:color w:val="000000"/>
        </w:rPr>
        <w:t xml:space="preserve">. </w:t>
      </w:r>
      <w:r w:rsidR="00522FBC">
        <w:rPr>
          <w:rFonts w:ascii="Times New Roman" w:eastAsia="Times New Roman" w:hAnsi="Times New Roman" w:cs="Times New Roman"/>
          <w:color w:val="000000"/>
        </w:rPr>
        <w:t>The</w:t>
      </w:r>
      <w:r w:rsidR="00EE53D7">
        <w:rPr>
          <w:rFonts w:ascii="Times New Roman" w:eastAsia="Times New Roman" w:hAnsi="Times New Roman" w:cs="Times New Roman"/>
          <w:color w:val="000000"/>
        </w:rPr>
        <w:t xml:space="preserve"> digital platform gives readers an opportunity to explore archival materials and data alongside our argument</w:t>
      </w:r>
      <w:r w:rsidR="00522FBC">
        <w:rPr>
          <w:rFonts w:ascii="Times New Roman" w:eastAsia="Times New Roman" w:hAnsi="Times New Roman" w:cs="Times New Roman"/>
          <w:color w:val="000000"/>
        </w:rPr>
        <w:t>, which</w:t>
      </w:r>
      <w:r w:rsidR="00EE53D7">
        <w:rPr>
          <w:rFonts w:ascii="Times New Roman" w:eastAsia="Times New Roman" w:hAnsi="Times New Roman" w:cs="Times New Roman"/>
          <w:color w:val="000000"/>
        </w:rPr>
        <w:t xml:space="preserve"> open</w:t>
      </w:r>
      <w:r w:rsidR="00522FBC">
        <w:rPr>
          <w:rFonts w:ascii="Times New Roman" w:eastAsia="Times New Roman" w:hAnsi="Times New Roman" w:cs="Times New Roman"/>
          <w:color w:val="000000"/>
        </w:rPr>
        <w:t>s</w:t>
      </w:r>
      <w:r w:rsidR="00EE53D7">
        <w:rPr>
          <w:rFonts w:ascii="Times New Roman" w:eastAsia="Times New Roman" w:hAnsi="Times New Roman" w:cs="Times New Roman"/>
          <w:color w:val="000000"/>
        </w:rPr>
        <w:t xml:space="preserve"> up new forms of reading and interaction in the humanities. </w:t>
      </w:r>
      <w:r>
        <w:rPr>
          <w:rFonts w:ascii="Times New Roman" w:eastAsia="Times New Roman" w:hAnsi="Times New Roman" w:cs="Times New Roman"/>
          <w:color w:val="000000"/>
        </w:rPr>
        <w:t>We</w:t>
      </w:r>
      <w:r w:rsidR="00EE53D7">
        <w:rPr>
          <w:rFonts w:ascii="Times New Roman" w:eastAsia="Times New Roman" w:hAnsi="Times New Roman" w:cs="Times New Roman"/>
          <w:color w:val="000000"/>
        </w:rPr>
        <w:t xml:space="preserve"> address five</w:t>
      </w:r>
      <w:r w:rsidR="00E93848">
        <w:rPr>
          <w:rFonts w:ascii="Times New Roman" w:eastAsia="Times New Roman" w:hAnsi="Times New Roman" w:cs="Times New Roman"/>
          <w:color w:val="000000"/>
        </w:rPr>
        <w:t xml:space="preserve"> questions: </w:t>
      </w:r>
      <w:r w:rsidR="00460FB6">
        <w:rPr>
          <w:rFonts w:ascii="Times New Roman" w:eastAsia="Times New Roman" w:hAnsi="Times New Roman" w:cs="Times New Roman"/>
          <w:color w:val="000000"/>
        </w:rPr>
        <w:t>W</w:t>
      </w:r>
      <w:r w:rsidR="00E93848">
        <w:rPr>
          <w:rFonts w:ascii="Times New Roman" w:eastAsia="Times New Roman" w:hAnsi="Times New Roman" w:cs="Times New Roman"/>
          <w:color w:val="000000"/>
        </w:rPr>
        <w:t>hat were the motivating factors behind the creation of the SLHP</w:t>
      </w:r>
      <w:r w:rsidR="0092751F" w:rsidRPr="007451E8">
        <w:rPr>
          <w:rFonts w:ascii="Times New Roman" w:eastAsia="Times New Roman" w:hAnsi="Times New Roman" w:cs="Times New Roman"/>
          <w:color w:val="000000"/>
        </w:rPr>
        <w:t xml:space="preserve">? How did the SLHP come into formation? How did the project come to define </w:t>
      </w:r>
      <w:r w:rsidR="00F24618">
        <w:rPr>
          <w:rFonts w:ascii="Times New Roman" w:eastAsia="Times New Roman" w:hAnsi="Times New Roman" w:cs="Times New Roman"/>
          <w:color w:val="000000"/>
        </w:rPr>
        <w:t>the form of a</w:t>
      </w:r>
      <w:r w:rsidR="0092751F" w:rsidRPr="007451E8">
        <w:rPr>
          <w:rFonts w:ascii="Times New Roman" w:eastAsia="Times New Roman" w:hAnsi="Times New Roman" w:cs="Times New Roman"/>
          <w:color w:val="000000"/>
        </w:rPr>
        <w:t xml:space="preserve"> life history</w:t>
      </w:r>
      <w:r w:rsidR="00001CC8">
        <w:rPr>
          <w:rFonts w:ascii="Times New Roman" w:eastAsia="Times New Roman" w:hAnsi="Times New Roman" w:cs="Times New Roman"/>
          <w:color w:val="000000"/>
        </w:rPr>
        <w:t xml:space="preserve"> and who was capable of writing them</w:t>
      </w:r>
      <w:r w:rsidR="0092751F" w:rsidRPr="007451E8">
        <w:rPr>
          <w:rFonts w:ascii="Times New Roman" w:eastAsia="Times New Roman" w:hAnsi="Times New Roman" w:cs="Times New Roman"/>
          <w:color w:val="000000"/>
        </w:rPr>
        <w:t xml:space="preserve">? Who was represented in the life histories and why? What are the legacies of the SLHP? </w:t>
      </w:r>
      <w:r w:rsidR="00F52775">
        <w:rPr>
          <w:rFonts w:ascii="Times New Roman" w:eastAsia="Times New Roman" w:hAnsi="Times New Roman" w:cs="Times New Roman"/>
          <w:color w:val="000000"/>
        </w:rPr>
        <w:t>In addressing these</w:t>
      </w:r>
      <w:r w:rsidR="0092751F" w:rsidRPr="007451E8">
        <w:rPr>
          <w:rFonts w:ascii="Times New Roman" w:eastAsia="Times New Roman" w:hAnsi="Times New Roman" w:cs="Times New Roman"/>
          <w:color w:val="000000"/>
        </w:rPr>
        <w:t xml:space="preserve"> questions</w:t>
      </w:r>
      <w:r w:rsidR="00F52775">
        <w:rPr>
          <w:rFonts w:ascii="Times New Roman" w:eastAsia="Times New Roman" w:hAnsi="Times New Roman" w:cs="Times New Roman"/>
          <w:color w:val="000000"/>
        </w:rPr>
        <w:t>, we</w:t>
      </w:r>
      <w:r w:rsidR="0092751F" w:rsidRPr="007451E8">
        <w:rPr>
          <w:rFonts w:ascii="Times New Roman" w:eastAsia="Times New Roman" w:hAnsi="Times New Roman" w:cs="Times New Roman"/>
          <w:color w:val="000000"/>
        </w:rPr>
        <w:t xml:space="preserve"> demonstrate key points in </w:t>
      </w:r>
      <w:r w:rsidR="00522FBC">
        <w:rPr>
          <w:rFonts w:ascii="Times New Roman" w:eastAsia="Times New Roman" w:hAnsi="Times New Roman" w:cs="Times New Roman"/>
          <w:color w:val="000000"/>
        </w:rPr>
        <w:t>the</w:t>
      </w:r>
      <w:r w:rsidR="0092751F" w:rsidRPr="007451E8">
        <w:rPr>
          <w:rFonts w:ascii="Times New Roman" w:eastAsia="Times New Roman" w:hAnsi="Times New Roman" w:cs="Times New Roman"/>
          <w:color w:val="000000"/>
        </w:rPr>
        <w:t xml:space="preserve"> struggle over what counted as social knowledge, how to accurately represent social conditions, and who could produce such knowledge.</w:t>
      </w:r>
      <w:r w:rsidR="00070448">
        <w:rPr>
          <w:rFonts w:ascii="Times New Roman" w:eastAsia="Times New Roman" w:hAnsi="Times New Roman" w:cs="Times New Roman"/>
          <w:color w:val="000000"/>
        </w:rPr>
        <w:t xml:space="preserve"> </w:t>
      </w:r>
      <w:r w:rsidR="00070448">
        <w:rPr>
          <w:rFonts w:ascii="Times New Roman" w:eastAsia="Times New Roman" w:hAnsi="Times New Roman" w:cs="Times New Roman"/>
          <w:color w:val="000000"/>
          <w:bdr w:val="none" w:sz="0" w:space="0" w:color="auto" w:frame="1"/>
        </w:rPr>
        <w:lastRenderedPageBreak/>
        <w:t xml:space="preserve">Our digital </w:t>
      </w:r>
      <w:r w:rsidR="00522FBC">
        <w:rPr>
          <w:rFonts w:ascii="Times New Roman" w:eastAsia="Times New Roman" w:hAnsi="Times New Roman" w:cs="Times New Roman"/>
          <w:color w:val="000000"/>
          <w:bdr w:val="none" w:sz="0" w:space="0" w:color="auto" w:frame="1"/>
        </w:rPr>
        <w:t>platform</w:t>
      </w:r>
      <w:r w:rsidR="00070448" w:rsidRPr="007451E8">
        <w:rPr>
          <w:rFonts w:ascii="Times New Roman" w:eastAsia="Times New Roman" w:hAnsi="Times New Roman" w:cs="Times New Roman"/>
          <w:color w:val="000000"/>
        </w:rPr>
        <w:t xml:space="preserve"> is organized into layers </w:t>
      </w:r>
      <w:r w:rsidR="00070448">
        <w:rPr>
          <w:rFonts w:ascii="Times New Roman" w:eastAsia="Times New Roman" w:hAnsi="Times New Roman" w:cs="Times New Roman"/>
          <w:color w:val="000000"/>
        </w:rPr>
        <w:t>that each correspond to a key question motivating our analysis.</w:t>
      </w:r>
    </w:p>
    <w:p w14:paraId="35B87901" w14:textId="77777777" w:rsidR="00527479" w:rsidRDefault="00527479" w:rsidP="003B2731">
      <w:pPr>
        <w:spacing w:line="312" w:lineRule="atLeast"/>
        <w:jc w:val="both"/>
        <w:textAlignment w:val="baseline"/>
        <w:rPr>
          <w:rFonts w:ascii="Times New Roman" w:eastAsia="Times New Roman" w:hAnsi="Times New Roman" w:cs="Times New Roman"/>
          <w:color w:val="000000"/>
          <w:bdr w:val="none" w:sz="0" w:space="0" w:color="auto" w:frame="1"/>
        </w:rPr>
      </w:pPr>
    </w:p>
    <w:p w14:paraId="3EA56909" w14:textId="31A82585" w:rsidR="003B2731" w:rsidRPr="003D0FDD" w:rsidRDefault="00527479" w:rsidP="003B2731">
      <w:pPr>
        <w:spacing w:line="312" w:lineRule="atLeast"/>
        <w:jc w:val="both"/>
        <w:textAlignment w:val="baseline"/>
        <w:rPr>
          <w:rFonts w:ascii="Times New Roman" w:hAnsi="Times New Roman" w:cs="Times New Roman"/>
        </w:rPr>
      </w:pPr>
      <w:r>
        <w:rPr>
          <w:rFonts w:ascii="Times New Roman" w:eastAsia="Times New Roman" w:hAnsi="Times New Roman" w:cs="Times New Roman"/>
          <w:color w:val="000000"/>
        </w:rPr>
        <w:t>The concept of layers reflects our methodolog</w:t>
      </w:r>
      <w:r w:rsidR="00070448">
        <w:rPr>
          <w:rFonts w:ascii="Times New Roman" w:eastAsia="Times New Roman" w:hAnsi="Times New Roman" w:cs="Times New Roman"/>
          <w:color w:val="000000"/>
        </w:rPr>
        <w:t>y</w:t>
      </w:r>
      <w:r>
        <w:rPr>
          <w:rFonts w:ascii="Times New Roman" w:eastAsia="Times New Roman" w:hAnsi="Times New Roman" w:cs="Times New Roman"/>
          <w:color w:val="000000"/>
        </w:rPr>
        <w:t>, which brings together the concept of rhetorical ecology with the spatial turn and computational text analysis in digital humanities</w:t>
      </w:r>
      <w:r w:rsidR="003B2731">
        <w:rPr>
          <w:rFonts w:ascii="Times New Roman" w:eastAsia="Times New Roman" w:hAnsi="Times New Roman" w:cs="Times New Roman"/>
          <w:color w:val="000000"/>
        </w:rPr>
        <w:t xml:space="preserve">. </w:t>
      </w:r>
      <w:r w:rsidR="00070448">
        <w:rPr>
          <w:rFonts w:ascii="Times New Roman" w:hAnsi="Times New Roman" w:cs="Times New Roman"/>
          <w:color w:val="000000"/>
        </w:rPr>
        <w:t>The</w:t>
      </w:r>
      <w:r>
        <w:rPr>
          <w:rFonts w:ascii="Times New Roman" w:hAnsi="Times New Roman" w:cs="Times New Roman"/>
          <w:color w:val="000000"/>
        </w:rPr>
        <w:t xml:space="preserve"> rhetorical ecology</w:t>
      </w:r>
      <w:r w:rsidRPr="007451E8">
        <w:rPr>
          <w:rFonts w:ascii="Times New Roman" w:hAnsi="Times New Roman" w:cs="Times New Roman"/>
          <w:color w:val="000000"/>
        </w:rPr>
        <w:t xml:space="preserve"> approach emerged from rhetoric and composition studies to better understand how types of rhetoric, notably texts, were invented.</w:t>
      </w:r>
      <w:r>
        <w:rPr>
          <w:rStyle w:val="FootnoteReference"/>
          <w:rFonts w:ascii="Times New Roman" w:hAnsi="Times New Roman" w:cs="Times New Roman"/>
          <w:color w:val="000000"/>
        </w:rPr>
        <w:footnoteReference w:id="3"/>
      </w:r>
      <w:r w:rsidR="00070448">
        <w:rPr>
          <w:rStyle w:val="FootnoteReference"/>
          <w:rFonts w:ascii="Times New Roman" w:hAnsi="Times New Roman" w:cs="Times New Roman"/>
          <w:color w:val="000000"/>
        </w:rPr>
        <w:footnoteReference w:id="4"/>
      </w:r>
      <w:r w:rsidR="00070448" w:rsidRPr="007451E8">
        <w:rPr>
          <w:rFonts w:ascii="Times New Roman" w:hAnsi="Times New Roman" w:cs="Times New Roman"/>
          <w:color w:val="000000"/>
        </w:rPr>
        <w:t xml:space="preserve"> </w:t>
      </w:r>
      <w:r>
        <w:rPr>
          <w:rFonts w:ascii="Times New Roman" w:hAnsi="Times New Roman" w:cs="Times New Roman"/>
          <w:color w:val="000000"/>
        </w:rPr>
        <w:t xml:space="preserve">It </w:t>
      </w:r>
      <w:r w:rsidR="00EE5647">
        <w:rPr>
          <w:rFonts w:ascii="Times New Roman" w:hAnsi="Times New Roman" w:cs="Times New Roman"/>
          <w:color w:val="000000"/>
        </w:rPr>
        <w:t>calls for a</w:t>
      </w:r>
      <w:r w:rsidRPr="009C6F01">
        <w:rPr>
          <w:rFonts w:ascii="Times New Roman" w:hAnsi="Times New Roman" w:cs="Times New Roman"/>
          <w:color w:val="000000"/>
        </w:rPr>
        <w:t xml:space="preserve"> move away from focus</w:t>
      </w:r>
      <w:r w:rsidR="00EE5647">
        <w:rPr>
          <w:rFonts w:ascii="Times New Roman" w:hAnsi="Times New Roman" w:cs="Times New Roman"/>
          <w:color w:val="000000"/>
        </w:rPr>
        <w:t>ing</w:t>
      </w:r>
      <w:r w:rsidRPr="009C6F01">
        <w:rPr>
          <w:rFonts w:ascii="Times New Roman" w:hAnsi="Times New Roman" w:cs="Times New Roman"/>
          <w:color w:val="000000"/>
        </w:rPr>
        <w:t xml:space="preserve"> </w:t>
      </w:r>
      <w:r w:rsidR="001D6D30">
        <w:rPr>
          <w:rFonts w:ascii="Times New Roman" w:hAnsi="Times New Roman" w:cs="Times New Roman"/>
          <w:color w:val="000000"/>
        </w:rPr>
        <w:t>on individual</w:t>
      </w:r>
      <w:r w:rsidRPr="009C6F01">
        <w:rPr>
          <w:rFonts w:ascii="Times New Roman" w:hAnsi="Times New Roman" w:cs="Times New Roman"/>
          <w:color w:val="000000"/>
        </w:rPr>
        <w:t xml:space="preserve"> writer</w:t>
      </w:r>
      <w:r w:rsidR="001D6D30">
        <w:rPr>
          <w:rFonts w:ascii="Times New Roman" w:hAnsi="Times New Roman" w:cs="Times New Roman"/>
          <w:color w:val="000000"/>
        </w:rPr>
        <w:t>s</w:t>
      </w:r>
      <w:r w:rsidRPr="009C6F01">
        <w:rPr>
          <w:rFonts w:ascii="Times New Roman" w:hAnsi="Times New Roman" w:cs="Times New Roman"/>
          <w:color w:val="000000"/>
        </w:rPr>
        <w:t xml:space="preserve"> </w:t>
      </w:r>
      <w:r w:rsidR="003D0FDD">
        <w:rPr>
          <w:rFonts w:ascii="Times New Roman" w:hAnsi="Times New Roman" w:cs="Times New Roman"/>
          <w:color w:val="000000"/>
        </w:rPr>
        <w:t>towards</w:t>
      </w:r>
      <w:r w:rsidRPr="009C6F01">
        <w:rPr>
          <w:rFonts w:ascii="Times New Roman" w:hAnsi="Times New Roman" w:cs="Times New Roman"/>
          <w:color w:val="000000"/>
        </w:rPr>
        <w:t xml:space="preserve"> </w:t>
      </w:r>
      <w:r w:rsidR="003D0FDD">
        <w:rPr>
          <w:rFonts w:ascii="Times New Roman" w:hAnsi="Times New Roman" w:cs="Times New Roman"/>
          <w:color w:val="000000"/>
        </w:rPr>
        <w:t>an analysis of</w:t>
      </w:r>
      <w:r w:rsidRPr="009C6F01">
        <w:rPr>
          <w:rFonts w:ascii="Times New Roman" w:hAnsi="Times New Roman" w:cs="Times New Roman"/>
          <w:color w:val="000000"/>
        </w:rPr>
        <w:t xml:space="preserve"> the larger ecosystem in which the writing occurs</w:t>
      </w:r>
      <w:r w:rsidR="003D0FDD">
        <w:rPr>
          <w:rFonts w:ascii="Times New Roman" w:hAnsi="Times New Roman" w:cs="Times New Roman"/>
          <w:color w:val="000000"/>
        </w:rPr>
        <w:t xml:space="preserve"> and</w:t>
      </w:r>
      <w:r w:rsidRPr="009C6F01">
        <w:rPr>
          <w:rFonts w:ascii="Times New Roman" w:hAnsi="Times New Roman" w:cs="Times New Roman"/>
          <w:color w:val="000000"/>
        </w:rPr>
        <w:t xml:space="preserve"> the social processes and power structures that shape such systems.</w:t>
      </w:r>
      <w:r>
        <w:rPr>
          <w:rFonts w:ascii="Times New Roman" w:hAnsi="Times New Roman" w:cs="Times New Roman"/>
          <w:color w:val="000000"/>
        </w:rPr>
        <w:t xml:space="preserve"> </w:t>
      </w:r>
      <w:r w:rsidR="00070448">
        <w:rPr>
          <w:rFonts w:ascii="Times New Roman" w:hAnsi="Times New Roman" w:cs="Times New Roman"/>
          <w:color w:val="000000"/>
        </w:rPr>
        <w:t>R</w:t>
      </w:r>
      <w:r w:rsidR="00070448" w:rsidRPr="009C6F01">
        <w:rPr>
          <w:rFonts w:ascii="Times New Roman" w:hAnsi="Times New Roman" w:cs="Times New Roman"/>
        </w:rPr>
        <w:t xml:space="preserve">hetorical ecology </w:t>
      </w:r>
      <w:r w:rsidR="001D6D30">
        <w:rPr>
          <w:rFonts w:ascii="Times New Roman" w:hAnsi="Times New Roman" w:cs="Times New Roman"/>
        </w:rPr>
        <w:t>places</w:t>
      </w:r>
      <w:r w:rsidR="003D0FDD">
        <w:rPr>
          <w:rFonts w:ascii="Times New Roman" w:hAnsi="Times New Roman" w:cs="Times New Roman"/>
        </w:rPr>
        <w:t xml:space="preserve"> the collection of</w:t>
      </w:r>
      <w:r w:rsidR="00070448" w:rsidRPr="009C6F01">
        <w:rPr>
          <w:rFonts w:ascii="Times New Roman" w:hAnsi="Times New Roman" w:cs="Times New Roman"/>
        </w:rPr>
        <w:t xml:space="preserve"> life histories</w:t>
      </w:r>
      <w:r w:rsidR="00070448">
        <w:rPr>
          <w:rFonts w:ascii="Times New Roman" w:hAnsi="Times New Roman" w:cs="Times New Roman"/>
        </w:rPr>
        <w:t xml:space="preserve"> </w:t>
      </w:r>
      <w:r w:rsidR="001D6D30">
        <w:rPr>
          <w:rFonts w:ascii="Times New Roman" w:hAnsi="Times New Roman" w:cs="Times New Roman"/>
        </w:rPr>
        <w:t>within</w:t>
      </w:r>
      <w:r w:rsidR="00070448" w:rsidRPr="009C6F01">
        <w:rPr>
          <w:rFonts w:ascii="Times New Roman" w:hAnsi="Times New Roman" w:cs="Times New Roman"/>
        </w:rPr>
        <w:t xml:space="preserve"> a complex ecosystem</w:t>
      </w:r>
      <w:r w:rsidR="00070448">
        <w:rPr>
          <w:rFonts w:ascii="Times New Roman" w:hAnsi="Times New Roman" w:cs="Times New Roman"/>
        </w:rPr>
        <w:t xml:space="preserve"> that includes SLHP administrators, writers, and editors</w:t>
      </w:r>
      <w:r w:rsidR="00DF773F">
        <w:rPr>
          <w:rFonts w:ascii="Times New Roman" w:hAnsi="Times New Roman" w:cs="Times New Roman"/>
        </w:rPr>
        <w:t xml:space="preserve"> and institutions including the academic fields, higher education, and government agencies</w:t>
      </w:r>
      <w:r w:rsidR="003D0FDD">
        <w:rPr>
          <w:rFonts w:ascii="Times New Roman" w:hAnsi="Times New Roman" w:cs="Times New Roman"/>
        </w:rPr>
        <w:t xml:space="preserve">. </w:t>
      </w:r>
      <w:r w:rsidR="00070448">
        <w:rPr>
          <w:rFonts w:ascii="Times New Roman" w:hAnsi="Times New Roman" w:cs="Times New Roman"/>
        </w:rPr>
        <w:t>To demonstrate the extent of this ecosystem we draw</w:t>
      </w:r>
      <w:r w:rsidR="00070448">
        <w:rPr>
          <w:rFonts w:ascii="Times New Roman" w:hAnsi="Times New Roman" w:cs="Times New Roman"/>
        </w:rPr>
        <w:t xml:space="preserve"> </w:t>
      </w:r>
      <w:r w:rsidR="00070448">
        <w:rPr>
          <w:rFonts w:ascii="Times New Roman" w:hAnsi="Times New Roman" w:cs="Times New Roman"/>
          <w:color w:val="000000"/>
        </w:rPr>
        <w:t xml:space="preserve">on </w:t>
      </w:r>
      <w:r>
        <w:rPr>
          <w:rFonts w:ascii="Times New Roman" w:hAnsi="Times New Roman" w:cs="Times New Roman"/>
          <w:color w:val="000000"/>
        </w:rPr>
        <w:t>the spatial turn</w:t>
      </w:r>
      <w:r w:rsidR="00070448">
        <w:rPr>
          <w:rFonts w:ascii="Times New Roman" w:hAnsi="Times New Roman" w:cs="Times New Roman"/>
          <w:color w:val="000000"/>
        </w:rPr>
        <w:t xml:space="preserve"> and computational text analysis in the digital humanities.</w:t>
      </w:r>
      <w:r w:rsidR="00DF773F">
        <w:rPr>
          <w:rStyle w:val="FootnoteReference"/>
          <w:rFonts w:ascii="Times New Roman" w:hAnsi="Times New Roman" w:cs="Times New Roman"/>
          <w:color w:val="000000"/>
        </w:rPr>
        <w:footnoteReference w:id="5"/>
      </w:r>
      <w:r w:rsidR="00070448">
        <w:rPr>
          <w:rFonts w:ascii="Times New Roman" w:hAnsi="Times New Roman" w:cs="Times New Roman"/>
          <w:color w:val="000000"/>
        </w:rPr>
        <w:t xml:space="preserve"> While mapping serves as evidence and argument about </w:t>
      </w:r>
      <w:r w:rsidR="00070448">
        <w:rPr>
          <w:rFonts w:ascii="Times New Roman" w:hAnsi="Times New Roman" w:cs="Times New Roman"/>
          <w:i/>
          <w:color w:val="000000"/>
        </w:rPr>
        <w:t xml:space="preserve">who </w:t>
      </w:r>
      <w:r w:rsidR="003800E7">
        <w:rPr>
          <w:rFonts w:ascii="Times New Roman" w:hAnsi="Times New Roman" w:cs="Times New Roman"/>
          <w:color w:val="000000"/>
        </w:rPr>
        <w:t>was represented and by whom</w:t>
      </w:r>
      <w:r w:rsidR="00070448">
        <w:rPr>
          <w:rFonts w:ascii="Times New Roman" w:hAnsi="Times New Roman" w:cs="Times New Roman"/>
          <w:color w:val="000000"/>
        </w:rPr>
        <w:t xml:space="preserve">, text analysis </w:t>
      </w:r>
      <w:r w:rsidR="003800E7">
        <w:rPr>
          <w:rFonts w:ascii="Times New Roman" w:hAnsi="Times New Roman" w:cs="Times New Roman"/>
          <w:color w:val="000000"/>
        </w:rPr>
        <w:t>through topic modeling and document clustering demonstrates</w:t>
      </w:r>
      <w:r w:rsidR="00070448">
        <w:rPr>
          <w:rFonts w:ascii="Times New Roman" w:hAnsi="Times New Roman" w:cs="Times New Roman"/>
          <w:color w:val="000000"/>
        </w:rPr>
        <w:t xml:space="preserve"> </w:t>
      </w:r>
      <w:r w:rsidR="003800E7">
        <w:rPr>
          <w:rFonts w:ascii="Times New Roman" w:hAnsi="Times New Roman" w:cs="Times New Roman"/>
          <w:i/>
          <w:color w:val="000000"/>
        </w:rPr>
        <w:t>how</w:t>
      </w:r>
      <w:r w:rsidR="003800E7">
        <w:rPr>
          <w:rFonts w:ascii="Times New Roman" w:hAnsi="Times New Roman" w:cs="Times New Roman"/>
          <w:color w:val="000000"/>
        </w:rPr>
        <w:t xml:space="preserve"> people were represented. Along with revealing our interdisciplinary methodological approach, </w:t>
      </w:r>
      <w:r w:rsidR="003800E7">
        <w:rPr>
          <w:rFonts w:ascii="Times New Roman" w:eastAsia="Times New Roman" w:hAnsi="Times New Roman" w:cs="Times New Roman"/>
          <w:color w:val="000000"/>
        </w:rPr>
        <w:t>the use of layers instead of chapters or sections demonstrates how the digital modality of our text shaped</w:t>
      </w:r>
      <w:r w:rsidR="003D0FDD">
        <w:rPr>
          <w:rFonts w:ascii="Times New Roman" w:eastAsia="Times New Roman" w:hAnsi="Times New Roman" w:cs="Times New Roman"/>
          <w:color w:val="000000"/>
        </w:rPr>
        <w:t>,</w:t>
      </w:r>
      <w:r w:rsidR="003800E7">
        <w:rPr>
          <w:rFonts w:ascii="Times New Roman" w:eastAsia="Times New Roman" w:hAnsi="Times New Roman" w:cs="Times New Roman"/>
          <w:color w:val="000000"/>
        </w:rPr>
        <w:t xml:space="preserve"> and was shaped by</w:t>
      </w:r>
      <w:r w:rsidR="003D0FDD">
        <w:rPr>
          <w:rFonts w:ascii="Times New Roman" w:eastAsia="Times New Roman" w:hAnsi="Times New Roman" w:cs="Times New Roman"/>
          <w:color w:val="000000"/>
        </w:rPr>
        <w:t>,</w:t>
      </w:r>
      <w:r w:rsidR="003800E7">
        <w:rPr>
          <w:rFonts w:ascii="Times New Roman" w:eastAsia="Times New Roman" w:hAnsi="Times New Roman" w:cs="Times New Roman"/>
          <w:color w:val="000000"/>
        </w:rPr>
        <w:t xml:space="preserve"> our methods and form of writing. </w:t>
      </w:r>
    </w:p>
    <w:p w14:paraId="495A3BB7" w14:textId="33B5C9D9" w:rsidR="001D3944" w:rsidRPr="006A1331" w:rsidRDefault="001D3944" w:rsidP="001D3944">
      <w:pPr>
        <w:spacing w:line="312" w:lineRule="atLeast"/>
        <w:jc w:val="both"/>
        <w:textAlignment w:val="baseline"/>
        <w:rPr>
          <w:rFonts w:ascii="Times New Roman" w:eastAsia="Times New Roman" w:hAnsi="Times New Roman" w:cs="Times New Roman"/>
          <w:b/>
          <w:color w:val="000000"/>
        </w:rPr>
      </w:pPr>
    </w:p>
    <w:p w14:paraId="600D5A01" w14:textId="47CCB8B5" w:rsidR="006A1331" w:rsidRPr="006A1331" w:rsidRDefault="00B00204" w:rsidP="001D3944">
      <w:pPr>
        <w:spacing w:line="312" w:lineRule="atLeast"/>
        <w:jc w:val="both"/>
        <w:textAlignment w:val="baseline"/>
        <w:rPr>
          <w:rFonts w:ascii="Times New Roman" w:eastAsia="Times New Roman" w:hAnsi="Times New Roman" w:cs="Times New Roman"/>
          <w:b/>
          <w:color w:val="000000"/>
        </w:rPr>
      </w:pPr>
      <w:r>
        <w:rPr>
          <w:rFonts w:ascii="Times New Roman" w:eastAsia="Times New Roman" w:hAnsi="Times New Roman" w:cs="Times New Roman"/>
          <w:b/>
          <w:color w:val="000000"/>
        </w:rPr>
        <w:t>The Layers</w:t>
      </w:r>
    </w:p>
    <w:p w14:paraId="4AC66F06" w14:textId="77777777" w:rsidR="006A1331" w:rsidRPr="007451E8" w:rsidRDefault="006A1331" w:rsidP="001D3944">
      <w:pPr>
        <w:spacing w:line="312" w:lineRule="atLeast"/>
        <w:jc w:val="both"/>
        <w:textAlignment w:val="baseline"/>
        <w:rPr>
          <w:rFonts w:ascii="Times New Roman" w:eastAsia="Times New Roman" w:hAnsi="Times New Roman" w:cs="Times New Roman"/>
          <w:color w:val="000000"/>
        </w:rPr>
      </w:pPr>
    </w:p>
    <w:p w14:paraId="7A8832D5" w14:textId="2292AF17" w:rsidR="00B307B7" w:rsidRDefault="00F24618" w:rsidP="00B154E3">
      <w:pPr>
        <w:spacing w:line="312" w:lineRule="atLeast"/>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Layer 1</w:t>
      </w:r>
      <w:r w:rsidR="00460FB6">
        <w:rPr>
          <w:rFonts w:ascii="Times New Roman" w:eastAsia="Times New Roman" w:hAnsi="Times New Roman" w:cs="Times New Roman"/>
          <w:color w:val="000000"/>
        </w:rPr>
        <w:t>: Motivation for the SLHP</w:t>
      </w:r>
      <w:r>
        <w:rPr>
          <w:rFonts w:ascii="Times New Roman" w:eastAsia="Times New Roman" w:hAnsi="Times New Roman" w:cs="Times New Roman"/>
          <w:color w:val="000000"/>
        </w:rPr>
        <w:t xml:space="preserve"> </w:t>
      </w:r>
      <w:r w:rsidR="00001CC8">
        <w:rPr>
          <w:rFonts w:ascii="Times New Roman" w:eastAsia="Times New Roman" w:hAnsi="Times New Roman" w:cs="Times New Roman"/>
          <w:color w:val="000000"/>
        </w:rPr>
        <w:t>explores the motivation for the creation of life histories by demonstrating how</w:t>
      </w:r>
      <w:r w:rsidR="00001CC8" w:rsidRPr="007451E8">
        <w:rPr>
          <w:rFonts w:ascii="Times New Roman" w:eastAsia="Times New Roman" w:hAnsi="Times New Roman" w:cs="Times New Roman"/>
          <w:color w:val="000000"/>
        </w:rPr>
        <w:t xml:space="preserve"> Chapel Hill</w:t>
      </w:r>
      <w:r w:rsidR="00001CC8">
        <w:rPr>
          <w:rFonts w:ascii="Times New Roman" w:eastAsia="Times New Roman" w:hAnsi="Times New Roman" w:cs="Times New Roman"/>
          <w:color w:val="000000"/>
        </w:rPr>
        <w:t xml:space="preserve"> came to be the center of </w:t>
      </w:r>
      <w:r w:rsidR="00001CC8" w:rsidRPr="007451E8">
        <w:rPr>
          <w:rFonts w:ascii="Times New Roman" w:eastAsia="Times New Roman" w:hAnsi="Times New Roman" w:cs="Times New Roman"/>
          <w:color w:val="000000"/>
        </w:rPr>
        <w:t>debates over sociological knowledge production and how to define the South during the early 1900s.</w:t>
      </w:r>
      <w:r w:rsidR="00001CC8">
        <w:rPr>
          <w:rFonts w:ascii="Times New Roman" w:eastAsia="Times New Roman" w:hAnsi="Times New Roman" w:cs="Times New Roman"/>
          <w:color w:val="000000"/>
        </w:rPr>
        <w:t xml:space="preserve"> </w:t>
      </w:r>
      <w:r w:rsidR="00B154E3">
        <w:rPr>
          <w:rFonts w:ascii="Times New Roman" w:eastAsia="Times New Roman" w:hAnsi="Times New Roman" w:cs="Times New Roman"/>
          <w:color w:val="000000"/>
        </w:rPr>
        <w:t xml:space="preserve">As Director UNC Press in Chapel Hill, Couch was immersed in ongoing debates at the time </w:t>
      </w:r>
      <w:r w:rsidR="00B154E3" w:rsidRPr="007451E8">
        <w:rPr>
          <w:rFonts w:ascii="Times New Roman" w:eastAsia="Times New Roman" w:hAnsi="Times New Roman" w:cs="Times New Roman"/>
          <w:color w:val="000000"/>
        </w:rPr>
        <w:t>over how to document social conditions most accurately - including what gets counted as evidence, who are legitimate researchers, and how findings should be written.</w:t>
      </w:r>
      <w:r w:rsidR="00B154E3">
        <w:rPr>
          <w:rFonts w:ascii="Times New Roman" w:eastAsia="Times New Roman" w:hAnsi="Times New Roman" w:cs="Times New Roman"/>
          <w:color w:val="000000"/>
        </w:rPr>
        <w:t xml:space="preserve"> The field of </w:t>
      </w:r>
      <w:r w:rsidR="00F475B9">
        <w:rPr>
          <w:rFonts w:ascii="Times New Roman" w:eastAsia="Times New Roman" w:hAnsi="Times New Roman" w:cs="Times New Roman"/>
          <w:color w:val="000000"/>
        </w:rPr>
        <w:t>s</w:t>
      </w:r>
      <w:r w:rsidR="00B154E3">
        <w:rPr>
          <w:rFonts w:ascii="Times New Roman" w:eastAsia="Times New Roman" w:hAnsi="Times New Roman" w:cs="Times New Roman"/>
          <w:color w:val="000000"/>
        </w:rPr>
        <w:t>ociology enjoyed prominence as a powerful intellectual arbiter in these debates during</w:t>
      </w:r>
      <w:r w:rsidR="00B154E3" w:rsidRPr="007451E8">
        <w:rPr>
          <w:rFonts w:ascii="Times New Roman" w:eastAsia="Times New Roman" w:hAnsi="Times New Roman" w:cs="Times New Roman"/>
          <w:color w:val="000000"/>
        </w:rPr>
        <w:t xml:space="preserve"> the 1920s and 1930s when the social sciences were forging and institutionalizing their methodological toolkit.</w:t>
      </w:r>
      <w:r w:rsidR="00B154E3">
        <w:rPr>
          <w:rFonts w:ascii="Times New Roman" w:eastAsia="Times New Roman" w:hAnsi="Times New Roman" w:cs="Times New Roman"/>
          <w:color w:val="000000"/>
        </w:rPr>
        <w:t xml:space="preserve"> While certain parts of the discipline such as the Columbia School privileged quantitative data to develop generalized social truths, other parts such as the Chicago School and Chapel Hill School focused on qualitative data of individuals </w:t>
      </w:r>
      <w:r w:rsidR="00B154E3">
        <w:rPr>
          <w:rFonts w:ascii="Times New Roman" w:eastAsia="Times New Roman" w:hAnsi="Times New Roman" w:cs="Times New Roman"/>
          <w:color w:val="000000"/>
        </w:rPr>
        <w:lastRenderedPageBreak/>
        <w:t>to study specific sociological features. Couch argued that both qualitative and quantitive approaches obscure</w:t>
      </w:r>
      <w:r w:rsidR="00B307B7">
        <w:rPr>
          <w:rFonts w:ascii="Times New Roman" w:eastAsia="Times New Roman" w:hAnsi="Times New Roman" w:cs="Times New Roman"/>
          <w:color w:val="000000"/>
        </w:rPr>
        <w:t>d</w:t>
      </w:r>
      <w:r w:rsidR="00B154E3">
        <w:rPr>
          <w:rFonts w:ascii="Times New Roman" w:eastAsia="Times New Roman" w:hAnsi="Times New Roman" w:cs="Times New Roman"/>
          <w:color w:val="000000"/>
        </w:rPr>
        <w:t xml:space="preserve"> the voices of the people</w:t>
      </w:r>
      <w:r w:rsidR="00B307B7">
        <w:rPr>
          <w:rFonts w:ascii="Times New Roman" w:eastAsia="Times New Roman" w:hAnsi="Times New Roman" w:cs="Times New Roman"/>
          <w:color w:val="000000"/>
        </w:rPr>
        <w:t xml:space="preserve"> by relying on faceless statistics or vague abstractions. Instead, he desired to create a new method of documentation that let the people speak for themselves.</w:t>
      </w:r>
    </w:p>
    <w:p w14:paraId="7E05CD1F" w14:textId="77777777" w:rsidR="00460FB6" w:rsidRDefault="00460FB6" w:rsidP="00B154E3">
      <w:pPr>
        <w:spacing w:line="312" w:lineRule="atLeast"/>
        <w:jc w:val="both"/>
        <w:textAlignment w:val="baseline"/>
        <w:rPr>
          <w:rFonts w:ascii="Times New Roman" w:eastAsia="Times New Roman" w:hAnsi="Times New Roman" w:cs="Times New Roman"/>
          <w:color w:val="000000"/>
        </w:rPr>
      </w:pPr>
    </w:p>
    <w:p w14:paraId="5B198A50" w14:textId="525EFFC2" w:rsidR="00B307B7" w:rsidRDefault="00B307B7" w:rsidP="00B307B7">
      <w:pPr>
        <w:spacing w:line="312" w:lineRule="atLeast"/>
        <w:jc w:val="both"/>
        <w:textAlignment w:val="baseline"/>
        <w:rPr>
          <w:rFonts w:ascii="Times New Roman" w:eastAsia="Times New Roman" w:hAnsi="Times New Roman" w:cs="Times New Roman"/>
        </w:rPr>
      </w:pPr>
      <w:r>
        <w:rPr>
          <w:rFonts w:ascii="Times New Roman" w:eastAsia="Times New Roman" w:hAnsi="Times New Roman" w:cs="Times New Roman"/>
          <w:color w:val="000000"/>
        </w:rPr>
        <w:t>Layer 2</w:t>
      </w:r>
      <w:r w:rsidR="00460FB6">
        <w:rPr>
          <w:rFonts w:ascii="Times New Roman" w:eastAsia="Times New Roman" w:hAnsi="Times New Roman" w:cs="Times New Roman"/>
          <w:color w:val="000000"/>
        </w:rPr>
        <w:t>: The Formation of the SLHP</w:t>
      </w:r>
      <w:r>
        <w:rPr>
          <w:rFonts w:ascii="Times New Roman" w:eastAsia="Times New Roman" w:hAnsi="Times New Roman" w:cs="Times New Roman"/>
          <w:color w:val="000000"/>
        </w:rPr>
        <w:t xml:space="preserve"> details how the </w:t>
      </w:r>
      <w:r w:rsidR="00460FB6">
        <w:rPr>
          <w:rFonts w:ascii="Times New Roman" w:eastAsia="Times New Roman" w:hAnsi="Times New Roman" w:cs="Times New Roman"/>
          <w:color w:val="000000"/>
        </w:rPr>
        <w:t>project</w:t>
      </w:r>
      <w:r>
        <w:rPr>
          <w:rFonts w:ascii="Times New Roman" w:eastAsia="Times New Roman" w:hAnsi="Times New Roman" w:cs="Times New Roman"/>
          <w:color w:val="000000"/>
        </w:rPr>
        <w:t xml:space="preserve"> formed within the Federal Writers’ Project. As a New Deal agency, the FWP was part</w:t>
      </w:r>
      <w:r>
        <w:rPr>
          <w:rFonts w:ascii="Times New Roman" w:eastAsia="Times New Roman" w:hAnsi="Times New Roman" w:cs="Times New Roman"/>
        </w:rPr>
        <w:t xml:space="preserve"> employment project and part laudatory experiment in federal support of cultural work</w:t>
      </w:r>
      <w:r w:rsidR="002E48F8">
        <w:rPr>
          <w:rFonts w:ascii="Times New Roman" w:eastAsia="Times New Roman" w:hAnsi="Times New Roman" w:cs="Times New Roman"/>
        </w:rPr>
        <w:t>.</w:t>
      </w:r>
      <w:r>
        <w:rPr>
          <w:rFonts w:ascii="Times New Roman" w:eastAsia="Times New Roman" w:hAnsi="Times New Roman" w:cs="Times New Roman"/>
          <w:vertAlign w:val="superscript"/>
        </w:rPr>
        <w:footnoteReference w:id="6"/>
      </w:r>
      <w:r>
        <w:rPr>
          <w:rFonts w:ascii="Times New Roman" w:eastAsia="Times New Roman" w:hAnsi="Times New Roman" w:cs="Times New Roman"/>
        </w:rPr>
        <w:t xml:space="preserve"> Shaped by emerging documentary practices that privileged folkways as well as institutional possibilities made possible by the vast bureaucratic infrastructure of the FWP, the documentation of “life histories” was Couch’s answer to the debate between sociologists over how to best capture the real nature of Southern life.</w:t>
      </w:r>
      <w:r>
        <w:rPr>
          <w:rFonts w:ascii="Times New Roman" w:eastAsia="Times New Roman" w:hAnsi="Times New Roman" w:cs="Times New Roman"/>
          <w:vertAlign w:val="superscript"/>
        </w:rPr>
        <w:footnoteReference w:id="7"/>
      </w:r>
      <w:r>
        <w:rPr>
          <w:rFonts w:ascii="Times New Roman" w:eastAsia="Times New Roman" w:hAnsi="Times New Roman" w:cs="Times New Roman"/>
        </w:rPr>
        <w:t xml:space="preserve"> To accomplish this project, Couch sent unemployed white-collar workers, hired as federal writers, across the Southeast region to interview fellow Southerners about their lives. The ability to hear from Southerners in their words, Couch argued, lent authority and authenticity to their claims about their conditions. </w:t>
      </w:r>
    </w:p>
    <w:p w14:paraId="099AA142" w14:textId="77777777" w:rsidR="00F24618" w:rsidRDefault="00F24618" w:rsidP="003B2731">
      <w:pPr>
        <w:spacing w:line="312" w:lineRule="atLeast"/>
        <w:jc w:val="both"/>
        <w:textAlignment w:val="baseline"/>
        <w:rPr>
          <w:rFonts w:ascii="Times New Roman" w:eastAsia="Times New Roman" w:hAnsi="Times New Roman" w:cs="Times New Roman"/>
          <w:color w:val="000000"/>
        </w:rPr>
      </w:pPr>
    </w:p>
    <w:p w14:paraId="436506E7" w14:textId="0097DC10" w:rsidR="00460FB6" w:rsidRDefault="003B2731" w:rsidP="002E48F8">
      <w:pPr>
        <w:spacing w:line="312" w:lineRule="atLeast"/>
        <w:jc w:val="both"/>
        <w:textAlignment w:val="baseline"/>
        <w:rPr>
          <w:rFonts w:ascii="Times New Roman" w:eastAsia="Times New Roman" w:hAnsi="Times New Roman" w:cs="Times New Roman"/>
          <w:color w:val="000000"/>
        </w:rPr>
      </w:pPr>
      <w:r w:rsidRPr="007451E8">
        <w:rPr>
          <w:rFonts w:ascii="Times New Roman" w:eastAsia="Times New Roman" w:hAnsi="Times New Roman" w:cs="Times New Roman"/>
          <w:color w:val="000000"/>
        </w:rPr>
        <w:t>Through visual and textual forms of argument, Layer 3</w:t>
      </w:r>
      <w:r w:rsidR="00460FB6">
        <w:rPr>
          <w:rFonts w:ascii="Times New Roman" w:eastAsia="Times New Roman" w:hAnsi="Times New Roman" w:cs="Times New Roman"/>
          <w:color w:val="000000"/>
        </w:rPr>
        <w:t>: Defining Life Histories and Qualified Writers</w:t>
      </w:r>
      <w:r w:rsidRPr="007451E8">
        <w:rPr>
          <w:rFonts w:ascii="Times New Roman" w:eastAsia="Times New Roman" w:hAnsi="Times New Roman" w:cs="Times New Roman"/>
          <w:color w:val="000000"/>
        </w:rPr>
        <w:t xml:space="preserve"> turns</w:t>
      </w:r>
      <w:r w:rsidR="00460FB6">
        <w:rPr>
          <w:rFonts w:ascii="Times New Roman" w:eastAsia="Times New Roman" w:hAnsi="Times New Roman" w:cs="Times New Roman"/>
          <w:color w:val="000000"/>
        </w:rPr>
        <w:t xml:space="preserve"> to</w:t>
      </w:r>
      <w:r w:rsidR="002E48F8">
        <w:rPr>
          <w:rFonts w:ascii="Times New Roman" w:eastAsia="Times New Roman" w:hAnsi="Times New Roman" w:cs="Times New Roman"/>
          <w:color w:val="000000"/>
        </w:rPr>
        <w:t xml:space="preserve"> mapping the topology </w:t>
      </w:r>
      <w:r w:rsidR="002E48F8" w:rsidRPr="007451E8">
        <w:rPr>
          <w:rFonts w:ascii="Times New Roman" w:eastAsia="Times New Roman" w:hAnsi="Times New Roman" w:cs="Times New Roman"/>
          <w:color w:val="000000"/>
        </w:rPr>
        <w:t>of interlocuters that shaped the purpose and possibilities of the SLHP</w:t>
      </w:r>
      <w:r w:rsidR="002E48F8">
        <w:rPr>
          <w:rFonts w:ascii="Times New Roman" w:eastAsia="Times New Roman" w:hAnsi="Times New Roman" w:cs="Times New Roman"/>
          <w:color w:val="000000"/>
        </w:rPr>
        <w:t xml:space="preserve">. </w:t>
      </w:r>
      <w:r w:rsidR="002E48F8" w:rsidRPr="007451E8">
        <w:rPr>
          <w:rFonts w:ascii="Times New Roman" w:eastAsia="Times New Roman" w:hAnsi="Times New Roman" w:cs="Times New Roman"/>
          <w:color w:val="000000"/>
        </w:rPr>
        <w:t>Writer</w:t>
      </w:r>
      <w:r w:rsidR="002E48F8">
        <w:rPr>
          <w:rFonts w:ascii="Times New Roman" w:eastAsia="Times New Roman" w:hAnsi="Times New Roman" w:cs="Times New Roman"/>
          <w:color w:val="000000"/>
        </w:rPr>
        <w:t>s</w:t>
      </w:r>
      <w:r w:rsidR="002E48F8" w:rsidRPr="007451E8">
        <w:rPr>
          <w:rFonts w:ascii="Times New Roman" w:eastAsia="Times New Roman" w:hAnsi="Times New Roman" w:cs="Times New Roman"/>
          <w:color w:val="000000"/>
        </w:rPr>
        <w:t>, editors, and administrators negotiated and forged a new method of social documentation that they believed could provide a mechanism to understand the challenges of the American South as articulated by those actually grappling with the effects of industrialization and systems of economic and racial inequality. The experiment led to the development of what Couch framed as a “new device” of documentary expression called a “life history,” oral interviews of everyday people’s life experiences from their viewpoint captured in words by writers.</w:t>
      </w:r>
      <w:r w:rsidR="002E48F8">
        <w:rPr>
          <w:rFonts w:ascii="Times New Roman" w:eastAsia="Times New Roman" w:hAnsi="Times New Roman" w:cs="Times New Roman"/>
          <w:color w:val="000000"/>
        </w:rPr>
        <w:t xml:space="preserve"> </w:t>
      </w:r>
    </w:p>
    <w:p w14:paraId="7E6AB0D2" w14:textId="77777777" w:rsidR="00460FB6" w:rsidRDefault="00460FB6" w:rsidP="002E48F8">
      <w:pPr>
        <w:spacing w:line="312" w:lineRule="atLeast"/>
        <w:jc w:val="both"/>
        <w:textAlignment w:val="baseline"/>
        <w:rPr>
          <w:rFonts w:ascii="Times New Roman" w:eastAsia="Times New Roman" w:hAnsi="Times New Roman" w:cs="Times New Roman"/>
          <w:color w:val="000000"/>
        </w:rPr>
      </w:pPr>
    </w:p>
    <w:p w14:paraId="3CA45D85" w14:textId="7C97C5A2" w:rsidR="00460FB6" w:rsidRDefault="00460FB6" w:rsidP="002E48F8">
      <w:pPr>
        <w:spacing w:line="312" w:lineRule="atLeast"/>
        <w:jc w:val="both"/>
        <w:textAlignment w:val="baseline"/>
        <w:rPr>
          <w:rFonts w:ascii="Times New Roman" w:eastAsia="Times New Roman" w:hAnsi="Times New Roman" w:cs="Times New Roman"/>
          <w:color w:val="000000"/>
        </w:rPr>
      </w:pPr>
      <w:r w:rsidRPr="007451E8">
        <w:rPr>
          <w:rFonts w:ascii="Times New Roman" w:eastAsia="Times New Roman" w:hAnsi="Times New Roman" w:cs="Times New Roman"/>
          <w:color w:val="000000"/>
        </w:rPr>
        <w:t>Ye</w:t>
      </w:r>
      <w:bookmarkStart w:id="0" w:name="_GoBack"/>
      <w:bookmarkEnd w:id="0"/>
      <w:r w:rsidRPr="007451E8">
        <w:rPr>
          <w:rFonts w:ascii="Times New Roman" w:eastAsia="Times New Roman" w:hAnsi="Times New Roman" w:cs="Times New Roman"/>
          <w:color w:val="000000"/>
        </w:rPr>
        <w:t xml:space="preserve">t, </w:t>
      </w:r>
      <w:r>
        <w:rPr>
          <w:rFonts w:ascii="Times New Roman" w:eastAsia="Times New Roman" w:hAnsi="Times New Roman" w:cs="Times New Roman"/>
          <w:color w:val="000000"/>
        </w:rPr>
        <w:t>the SLHP emerged</w:t>
      </w:r>
      <w:r w:rsidRPr="007451E8">
        <w:rPr>
          <w:rFonts w:ascii="Times New Roman" w:eastAsia="Times New Roman" w:hAnsi="Times New Roman" w:cs="Times New Roman"/>
          <w:color w:val="000000"/>
        </w:rPr>
        <w:t xml:space="preserve"> among a crowded landscape of documentary projects in the </w:t>
      </w:r>
      <w:r>
        <w:rPr>
          <w:rFonts w:ascii="Times New Roman" w:eastAsia="Times New Roman" w:hAnsi="Times New Roman" w:cs="Times New Roman"/>
          <w:color w:val="000000"/>
        </w:rPr>
        <w:t xml:space="preserve">FWP </w:t>
      </w:r>
      <w:r w:rsidRPr="007451E8">
        <w:rPr>
          <w:rFonts w:ascii="Times New Roman" w:eastAsia="Times New Roman" w:hAnsi="Times New Roman" w:cs="Times New Roman"/>
          <w:color w:val="000000"/>
        </w:rPr>
        <w:t xml:space="preserve">and beyond, which shaped who was and was </w:t>
      </w:r>
      <w:r w:rsidRPr="007451E8">
        <w:rPr>
          <w:rFonts w:ascii="Times New Roman" w:eastAsia="Times New Roman" w:hAnsi="Times New Roman" w:cs="Times New Roman"/>
          <w:i/>
          <w:color w:val="000000"/>
        </w:rPr>
        <w:t>not</w:t>
      </w:r>
      <w:r w:rsidRPr="007451E8">
        <w:rPr>
          <w:rFonts w:ascii="Times New Roman" w:eastAsia="Times New Roman" w:hAnsi="Times New Roman" w:cs="Times New Roman"/>
          <w:color w:val="000000"/>
        </w:rPr>
        <w:t xml:space="preserve"> represented.</w:t>
      </w:r>
      <w:r>
        <w:rPr>
          <w:rFonts w:ascii="Times New Roman" w:eastAsia="Times New Roman" w:hAnsi="Times New Roman" w:cs="Times New Roman"/>
          <w:color w:val="000000"/>
        </w:rPr>
        <w:t xml:space="preserve"> </w:t>
      </w:r>
      <w:r w:rsidRPr="007451E8">
        <w:rPr>
          <w:rFonts w:ascii="Times New Roman" w:eastAsia="Times New Roman" w:hAnsi="Times New Roman" w:cs="Times New Roman"/>
          <w:color w:val="000000"/>
        </w:rPr>
        <w:t>They focused on what they labeled as the “typical” southerner, who they defined on the Black/White racial binary and by occupation.</w:t>
      </w:r>
      <w:r>
        <w:rPr>
          <w:rFonts w:ascii="Times New Roman" w:eastAsia="Times New Roman" w:hAnsi="Times New Roman" w:cs="Times New Roman"/>
          <w:color w:val="000000"/>
        </w:rPr>
        <w:t xml:space="preserve"> </w:t>
      </w:r>
      <w:r w:rsidRPr="007451E8">
        <w:rPr>
          <w:rFonts w:ascii="Times New Roman" w:eastAsia="Times New Roman" w:hAnsi="Times New Roman" w:cs="Times New Roman"/>
          <w:color w:val="000000"/>
        </w:rPr>
        <w:t xml:space="preserve">SLHP positioned southern laborers as perceptive about their conditions and shaped by the past as well as the present to disrupt stereotypes about the region as uneducated, lazy, and backwards. In the process, the audience for the life histories comes into focus. By centering the hardships of the White working class through first person narrative stories that emphasized the emotional realities </w:t>
      </w:r>
      <w:r w:rsidRPr="007451E8">
        <w:rPr>
          <w:rFonts w:ascii="Times New Roman" w:eastAsia="Times New Roman" w:hAnsi="Times New Roman" w:cs="Times New Roman"/>
          <w:color w:val="000000"/>
        </w:rPr>
        <w:lastRenderedPageBreak/>
        <w:t xml:space="preserve">of the everyday experience, they became the voices of the South for middle- and upper-class </w:t>
      </w:r>
      <w:r>
        <w:rPr>
          <w:rFonts w:ascii="Times New Roman" w:eastAsia="Times New Roman" w:hAnsi="Times New Roman" w:cs="Times New Roman"/>
          <w:color w:val="000000"/>
        </w:rPr>
        <w:t>W</w:t>
      </w:r>
      <w:r w:rsidRPr="007451E8">
        <w:rPr>
          <w:rFonts w:ascii="Times New Roman" w:eastAsia="Times New Roman" w:hAnsi="Times New Roman" w:cs="Times New Roman"/>
          <w:color w:val="000000"/>
        </w:rPr>
        <w:t xml:space="preserve">hite readers primarily residing on the east coast. </w:t>
      </w:r>
      <w:r>
        <w:rPr>
          <w:rFonts w:ascii="Times New Roman" w:eastAsia="Times New Roman" w:hAnsi="Times New Roman" w:cs="Times New Roman"/>
          <w:color w:val="000000"/>
        </w:rPr>
        <w:t>T</w:t>
      </w:r>
      <w:r w:rsidRPr="007451E8">
        <w:rPr>
          <w:rFonts w:ascii="Times New Roman" w:eastAsia="Times New Roman" w:hAnsi="Times New Roman" w:cs="Times New Roman"/>
          <w:color w:val="000000"/>
        </w:rPr>
        <w:t>hese stories complicated problematic regional stereotypes, they simultaneously erased the brutality of segregation and the effects of slavery by omitting stories that addressed such important issues, thereby reifying cultural and structural racism.</w:t>
      </w:r>
    </w:p>
    <w:p w14:paraId="2AE8EE25" w14:textId="77777777" w:rsidR="00460FB6" w:rsidRDefault="00460FB6" w:rsidP="002E48F8">
      <w:pPr>
        <w:spacing w:line="312" w:lineRule="atLeast"/>
        <w:jc w:val="both"/>
        <w:textAlignment w:val="baseline"/>
        <w:rPr>
          <w:rFonts w:ascii="Times New Roman" w:eastAsia="Times New Roman" w:hAnsi="Times New Roman" w:cs="Times New Roman"/>
          <w:color w:val="000000"/>
        </w:rPr>
      </w:pPr>
    </w:p>
    <w:p w14:paraId="6027EEB2" w14:textId="6835AEFE" w:rsidR="002E48F8" w:rsidRDefault="00460FB6" w:rsidP="002E48F8">
      <w:pPr>
        <w:spacing w:line="312" w:lineRule="atLeast"/>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layer then turns to how assumptions about race, gender, expertise, and proximity shaped who could be a writer. </w:t>
      </w:r>
      <w:r w:rsidR="002E48F8" w:rsidRPr="007451E8">
        <w:rPr>
          <w:rFonts w:ascii="Times New Roman" w:eastAsia="Times New Roman" w:hAnsi="Times New Roman" w:cs="Times New Roman"/>
          <w:color w:val="000000"/>
        </w:rPr>
        <w:t xml:space="preserve">Rather than seeking highly disciplined academics, the SLHP sought writers who they believed could access the desired communities, listen, and effectively write the history recounted for a more general audience. White women writers dominated because of their positionality in southern society, which was shaped by gendered and racialized ideas that White women </w:t>
      </w:r>
      <w:r w:rsidR="003632E7">
        <w:rPr>
          <w:rFonts w:ascii="Times New Roman" w:eastAsia="Times New Roman" w:hAnsi="Times New Roman" w:cs="Times New Roman"/>
          <w:color w:val="000000"/>
        </w:rPr>
        <w:t>were better equipped to put interviewees at ease, record information and access the domestic spaces in which the interviews occurred.</w:t>
      </w:r>
      <w:r w:rsidR="002E48F8" w:rsidRPr="007451E8">
        <w:rPr>
          <w:rFonts w:ascii="Times New Roman" w:eastAsia="Times New Roman" w:hAnsi="Times New Roman" w:cs="Times New Roman"/>
          <w:color w:val="000000"/>
        </w:rPr>
        <w:t xml:space="preserve"> The hiring practices constituted an opening for </w:t>
      </w:r>
      <w:r w:rsidR="003632E7">
        <w:rPr>
          <w:rFonts w:ascii="Times New Roman" w:eastAsia="Times New Roman" w:hAnsi="Times New Roman" w:cs="Times New Roman"/>
          <w:color w:val="000000"/>
        </w:rPr>
        <w:t xml:space="preserve">White </w:t>
      </w:r>
      <w:r w:rsidR="002E48F8" w:rsidRPr="007451E8">
        <w:rPr>
          <w:rFonts w:ascii="Times New Roman" w:eastAsia="Times New Roman" w:hAnsi="Times New Roman" w:cs="Times New Roman"/>
          <w:color w:val="000000"/>
        </w:rPr>
        <w:t>women to hold a key positio</w:t>
      </w:r>
      <w:r w:rsidR="003632E7">
        <w:rPr>
          <w:rFonts w:ascii="Times New Roman" w:eastAsia="Times New Roman" w:hAnsi="Times New Roman" w:cs="Times New Roman"/>
          <w:color w:val="000000"/>
        </w:rPr>
        <w:t>n in gathering social knowledge. However, both African American women and men were systematically denied such opportunities due to racist hiring practices that disqualified Black candidates and segregationist beliefs that African American and White writers could not work in the same office space.</w:t>
      </w:r>
    </w:p>
    <w:p w14:paraId="4DBB9B45" w14:textId="77777777" w:rsidR="000533C5" w:rsidRDefault="000533C5" w:rsidP="003B2731">
      <w:pPr>
        <w:spacing w:line="312" w:lineRule="atLeast"/>
        <w:jc w:val="both"/>
        <w:textAlignment w:val="baseline"/>
        <w:rPr>
          <w:rFonts w:ascii="Times New Roman" w:eastAsia="Times New Roman" w:hAnsi="Times New Roman" w:cs="Times New Roman"/>
          <w:color w:val="000000"/>
        </w:rPr>
      </w:pPr>
    </w:p>
    <w:p w14:paraId="1C4131F7" w14:textId="011621A7" w:rsidR="003632E7" w:rsidRDefault="000533C5" w:rsidP="00320146">
      <w:pPr>
        <w:spacing w:line="312" w:lineRule="atLeast"/>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In </w:t>
      </w:r>
      <w:r w:rsidR="002E48F8">
        <w:rPr>
          <w:rFonts w:ascii="Times New Roman" w:eastAsia="Times New Roman" w:hAnsi="Times New Roman" w:cs="Times New Roman"/>
          <w:color w:val="000000"/>
        </w:rPr>
        <w:t>Layer 4</w:t>
      </w:r>
      <w:r w:rsidR="00460FB6">
        <w:rPr>
          <w:rFonts w:ascii="Times New Roman" w:eastAsia="Times New Roman" w:hAnsi="Times New Roman" w:cs="Times New Roman"/>
          <w:color w:val="000000"/>
        </w:rPr>
        <w:t>: Rhetorical Strategies and Representation</w:t>
      </w:r>
      <w:r>
        <w:rPr>
          <w:rFonts w:ascii="Times New Roman" w:eastAsia="Times New Roman" w:hAnsi="Times New Roman" w:cs="Times New Roman"/>
          <w:color w:val="000000"/>
        </w:rPr>
        <w:t xml:space="preserve">, we identify the rhetorical strategies used in the life histories that were developed to persuade the reader that they were hearing the person interviewed by using text analysis methods. </w:t>
      </w:r>
      <w:r w:rsidR="00320146">
        <w:rPr>
          <w:rFonts w:ascii="Times New Roman" w:eastAsia="Times New Roman" w:hAnsi="Times New Roman" w:cs="Times New Roman"/>
          <w:color w:val="000000"/>
        </w:rPr>
        <w:t xml:space="preserve">Writers, editors and administrators </w:t>
      </w:r>
      <w:r w:rsidR="00320146" w:rsidRPr="007451E8">
        <w:rPr>
          <w:rFonts w:ascii="Times New Roman" w:eastAsia="Times New Roman" w:hAnsi="Times New Roman" w:cs="Times New Roman"/>
          <w:color w:val="000000"/>
        </w:rPr>
        <w:t>negotiated a form of the life history designed to reduce the presence of the writer and center the voice of the individual, yet with enough literary flourish to maintain their primary audience – White affluent readers who enjoyed cultural, social and political power in US society.</w:t>
      </w:r>
      <w:r w:rsidR="00320146">
        <w:rPr>
          <w:rFonts w:ascii="Times New Roman" w:eastAsia="Times New Roman" w:hAnsi="Times New Roman" w:cs="Times New Roman"/>
          <w:color w:val="000000"/>
        </w:rPr>
        <w:t xml:space="preserve"> Centering the voice of the interviewee also including using written dialect to help readers ‘hear’ while they read. However, our analysis reveals that such practices were used unevenly as written dialect dominated life histories of African Americans, but was used more sparingly among White interviewees. Such stark differences demonstrate how a nearly all white writing staff relied on Jim Crow sensibilities to create images of African American interviewees that conformed to the expectations of White middle-class intended readership. </w:t>
      </w:r>
    </w:p>
    <w:p w14:paraId="07EF46BA" w14:textId="77777777" w:rsidR="00320146" w:rsidRDefault="00320146" w:rsidP="00320146">
      <w:pPr>
        <w:spacing w:line="312" w:lineRule="atLeast"/>
        <w:jc w:val="both"/>
        <w:textAlignment w:val="baseline"/>
        <w:rPr>
          <w:rFonts w:ascii="Times New Roman" w:eastAsia="Times New Roman" w:hAnsi="Times New Roman" w:cs="Times New Roman"/>
          <w:color w:val="000000"/>
        </w:rPr>
      </w:pPr>
    </w:p>
    <w:p w14:paraId="55E58748" w14:textId="385F3CDF" w:rsidR="00C84301" w:rsidRPr="00320146" w:rsidRDefault="00320146" w:rsidP="000338FD">
      <w:pPr>
        <w:spacing w:line="312" w:lineRule="atLeast"/>
        <w:jc w:val="both"/>
        <w:textAlignment w:val="baseline"/>
        <w:rPr>
          <w:rFonts w:ascii="Times New Roman" w:eastAsia="Times New Roman" w:hAnsi="Times New Roman" w:cs="Times New Roman"/>
          <w:b/>
          <w:color w:val="000000"/>
        </w:rPr>
      </w:pPr>
      <w:r w:rsidRPr="00320146">
        <w:rPr>
          <w:rFonts w:ascii="Times New Roman" w:eastAsia="Times New Roman" w:hAnsi="Times New Roman" w:cs="Times New Roman"/>
          <w:b/>
          <w:color w:val="000000"/>
        </w:rPr>
        <w:t>Enduring Legacies</w:t>
      </w:r>
    </w:p>
    <w:p w14:paraId="3ADD7CA1" w14:textId="77777777" w:rsidR="00320146" w:rsidRPr="007451E8" w:rsidRDefault="00320146" w:rsidP="000338FD">
      <w:pPr>
        <w:spacing w:line="312" w:lineRule="atLeast"/>
        <w:jc w:val="both"/>
        <w:textAlignment w:val="baseline"/>
        <w:rPr>
          <w:rFonts w:ascii="Times New Roman" w:eastAsia="Times New Roman" w:hAnsi="Times New Roman" w:cs="Times New Roman"/>
          <w:color w:val="000000"/>
        </w:rPr>
      </w:pPr>
    </w:p>
    <w:p w14:paraId="18C8BA34" w14:textId="4925C2EA" w:rsidR="00C84301" w:rsidRPr="007451E8" w:rsidRDefault="00840462" w:rsidP="000338FD">
      <w:pPr>
        <w:spacing w:line="312" w:lineRule="atLeast"/>
        <w:jc w:val="both"/>
        <w:textAlignment w:val="baseline"/>
        <w:rPr>
          <w:rFonts w:ascii="Times New Roman" w:eastAsia="Times New Roman" w:hAnsi="Times New Roman" w:cs="Times New Roman"/>
          <w:color w:val="000000"/>
        </w:rPr>
      </w:pPr>
      <w:r w:rsidRPr="007451E8">
        <w:rPr>
          <w:rFonts w:ascii="Times New Roman" w:eastAsia="Times New Roman" w:hAnsi="Times New Roman" w:cs="Times New Roman"/>
          <w:color w:val="000000"/>
        </w:rPr>
        <w:t>The SLHP together with other regional units of the FWP produced nearly 10,000 interviews nationwide, constituting one of the nation's large first-person narrative collections. However, nearly 80 years later, few have ever heard of the Southern Life History Project’s groundbreaking project or the significant effect it had on shaping ideas of what counted as social documentation, collective memory, and regional identity.</w:t>
      </w:r>
      <w:r w:rsidR="000B7F4F">
        <w:rPr>
          <w:rFonts w:ascii="Times New Roman" w:eastAsia="Times New Roman" w:hAnsi="Times New Roman" w:cs="Times New Roman"/>
          <w:color w:val="000000"/>
        </w:rPr>
        <w:t xml:space="preserve"> </w:t>
      </w:r>
      <w:r w:rsidRPr="007451E8">
        <w:rPr>
          <w:rFonts w:ascii="Times New Roman" w:eastAsia="Times New Roman" w:hAnsi="Times New Roman" w:cs="Times New Roman"/>
          <w:color w:val="000000"/>
        </w:rPr>
        <w:t>For two</w:t>
      </w:r>
      <w:r w:rsidR="001B64F5" w:rsidRPr="007451E8">
        <w:rPr>
          <w:rFonts w:ascii="Times New Roman" w:eastAsia="Times New Roman" w:hAnsi="Times New Roman" w:cs="Times New Roman"/>
          <w:color w:val="000000"/>
        </w:rPr>
        <w:t xml:space="preserve"> brief years,</w:t>
      </w:r>
      <w:r w:rsidRPr="007451E8">
        <w:rPr>
          <w:rFonts w:ascii="Times New Roman" w:eastAsia="Times New Roman" w:hAnsi="Times New Roman" w:cs="Times New Roman"/>
          <w:color w:val="000000"/>
        </w:rPr>
        <w:t xml:space="preserve"> the SLHP offered a different direction for social documentary. They attempted to reconfigure what counted as data and evidence about social conditions.</w:t>
      </w:r>
      <w:r w:rsidR="00A34C56">
        <w:rPr>
          <w:rFonts w:ascii="Times New Roman" w:eastAsia="Times New Roman" w:hAnsi="Times New Roman" w:cs="Times New Roman"/>
          <w:color w:val="000000"/>
        </w:rPr>
        <w:t xml:space="preserve"> </w:t>
      </w:r>
      <w:r w:rsidRPr="007451E8">
        <w:rPr>
          <w:rFonts w:ascii="Times New Roman" w:eastAsia="Times New Roman" w:hAnsi="Times New Roman" w:cs="Times New Roman"/>
          <w:color w:val="000000"/>
        </w:rPr>
        <w:t xml:space="preserve">Numbers and percentages could only tell part of the story. The richness of individual stories, as told from their point of view, offered another lens into society. They were </w:t>
      </w:r>
      <w:r w:rsidRPr="007451E8">
        <w:rPr>
          <w:rFonts w:ascii="Times New Roman" w:eastAsia="Times New Roman" w:hAnsi="Times New Roman" w:cs="Times New Roman"/>
          <w:color w:val="000000"/>
        </w:rPr>
        <w:lastRenderedPageBreak/>
        <w:t>“human” in a way that statistics could not capture.</w:t>
      </w:r>
      <w:r w:rsidR="00A34C56">
        <w:rPr>
          <w:rFonts w:ascii="Times New Roman" w:eastAsia="Times New Roman" w:hAnsi="Times New Roman" w:cs="Times New Roman"/>
          <w:color w:val="000000"/>
        </w:rPr>
        <w:t xml:space="preserve"> </w:t>
      </w:r>
      <w:r w:rsidRPr="007451E8">
        <w:rPr>
          <w:rFonts w:ascii="Times New Roman" w:eastAsia="Times New Roman" w:hAnsi="Times New Roman" w:cs="Times New Roman"/>
          <w:color w:val="000000"/>
        </w:rPr>
        <w:t xml:space="preserve">As we look today to numbers and big data as a privileged form of knowledge about our world, looking back to the SLHP offers an earlier moment where there were animated debates about how, and if, numbers could </w:t>
      </w:r>
      <w:r w:rsidRPr="007451E8">
        <w:rPr>
          <w:rFonts w:ascii="Times New Roman" w:eastAsia="Times New Roman" w:hAnsi="Times New Roman" w:cs="Times New Roman"/>
          <w:i/>
          <w:color w:val="000000"/>
        </w:rPr>
        <w:t>really</w:t>
      </w:r>
      <w:r w:rsidRPr="007451E8">
        <w:rPr>
          <w:rFonts w:ascii="Times New Roman" w:eastAsia="Times New Roman" w:hAnsi="Times New Roman" w:cs="Times New Roman"/>
          <w:color w:val="000000"/>
        </w:rPr>
        <w:t xml:space="preserve"> help us understand each other during a time of great economic, cultural, and social turmoil. Looking back, we can see that our debates are not new, but rather a part of a long history about </w:t>
      </w:r>
      <w:r w:rsidRPr="007451E8">
        <w:rPr>
          <w:rFonts w:ascii="Times New Roman" w:eastAsia="Times New Roman" w:hAnsi="Times New Roman" w:cs="Times New Roman"/>
          <w:i/>
          <w:color w:val="000000"/>
        </w:rPr>
        <w:t>how</w:t>
      </w:r>
      <w:r w:rsidRPr="007451E8">
        <w:rPr>
          <w:rFonts w:ascii="Times New Roman" w:eastAsia="Times New Roman" w:hAnsi="Times New Roman" w:cs="Times New Roman"/>
          <w:color w:val="000000"/>
        </w:rPr>
        <w:t xml:space="preserve"> was know </w:t>
      </w:r>
      <w:r w:rsidRPr="007451E8">
        <w:rPr>
          <w:rFonts w:ascii="Times New Roman" w:eastAsia="Times New Roman" w:hAnsi="Times New Roman" w:cs="Times New Roman"/>
          <w:i/>
          <w:color w:val="000000"/>
        </w:rPr>
        <w:t xml:space="preserve">what </w:t>
      </w:r>
      <w:r w:rsidRPr="007451E8">
        <w:rPr>
          <w:rFonts w:ascii="Times New Roman" w:eastAsia="Times New Roman" w:hAnsi="Times New Roman" w:cs="Times New Roman"/>
          <w:color w:val="000000"/>
        </w:rPr>
        <w:t>we know and the role of data, statistics, and point-of-view in shaping how we understood pressing social issues.</w:t>
      </w:r>
    </w:p>
    <w:p w14:paraId="203424E2" w14:textId="77777777" w:rsidR="00840462" w:rsidRPr="007451E8" w:rsidRDefault="00840462" w:rsidP="000338FD">
      <w:pPr>
        <w:spacing w:line="312" w:lineRule="atLeast"/>
        <w:jc w:val="both"/>
        <w:textAlignment w:val="baseline"/>
        <w:rPr>
          <w:rFonts w:ascii="Times New Roman" w:eastAsia="Times New Roman" w:hAnsi="Times New Roman" w:cs="Times New Roman"/>
          <w:i/>
          <w:iCs/>
          <w:color w:val="000000"/>
          <w:bdr w:val="none" w:sz="0" w:space="0" w:color="auto" w:frame="1"/>
        </w:rPr>
      </w:pPr>
    </w:p>
    <w:p w14:paraId="51ACB499" w14:textId="7BC32295" w:rsidR="000C002A" w:rsidRPr="007451E8" w:rsidRDefault="00320146" w:rsidP="000338FD">
      <w:pPr>
        <w:spacing w:line="312" w:lineRule="atLeast"/>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In aggregate, </w:t>
      </w:r>
      <w:r w:rsidR="006A1331">
        <w:rPr>
          <w:rFonts w:ascii="Times New Roman" w:eastAsia="Times New Roman" w:hAnsi="Times New Roman" w:cs="Times New Roman"/>
          <w:i/>
          <w:color w:val="000000"/>
        </w:rPr>
        <w:t xml:space="preserve">Writing Their Voices </w:t>
      </w:r>
      <w:r w:rsidR="000C002A" w:rsidRPr="007451E8">
        <w:rPr>
          <w:rFonts w:ascii="Times New Roman" w:eastAsia="Times New Roman" w:hAnsi="Times New Roman" w:cs="Times New Roman"/>
          <w:color w:val="000000"/>
        </w:rPr>
        <w:t>demonstrates an entangled story about</w:t>
      </w:r>
      <w:r w:rsidR="00B44CC1">
        <w:rPr>
          <w:rFonts w:ascii="Times New Roman" w:eastAsia="Times New Roman" w:hAnsi="Times New Roman" w:cs="Times New Roman"/>
          <w:color w:val="000000"/>
        </w:rPr>
        <w:t>:</w:t>
      </w:r>
      <w:r w:rsidR="000C002A" w:rsidRPr="007451E8">
        <w:rPr>
          <w:rFonts w:ascii="Times New Roman" w:eastAsia="Times New Roman" w:hAnsi="Times New Roman" w:cs="Times New Roman"/>
          <w:color w:val="000000"/>
        </w:rPr>
        <w:t xml:space="preserve"> how the life histories</w:t>
      </w:r>
      <w:r w:rsidR="00B44CC1">
        <w:rPr>
          <w:rFonts w:ascii="Times New Roman" w:eastAsia="Times New Roman" w:hAnsi="Times New Roman" w:cs="Times New Roman"/>
          <w:color w:val="000000"/>
        </w:rPr>
        <w:t>,</w:t>
      </w:r>
      <w:r w:rsidR="000C002A" w:rsidRPr="007451E8">
        <w:rPr>
          <w:rFonts w:ascii="Times New Roman" w:eastAsia="Times New Roman" w:hAnsi="Times New Roman" w:cs="Times New Roman"/>
          <w:color w:val="000000"/>
        </w:rPr>
        <w:t xml:space="preserve"> as a new form of documentary evidence concerned with capturing authenticity</w:t>
      </w:r>
      <w:r w:rsidR="00B44CC1">
        <w:rPr>
          <w:rFonts w:ascii="Times New Roman" w:eastAsia="Times New Roman" w:hAnsi="Times New Roman" w:cs="Times New Roman"/>
          <w:color w:val="000000"/>
        </w:rPr>
        <w:t>,</w:t>
      </w:r>
      <w:r w:rsidR="000C002A" w:rsidRPr="007451E8">
        <w:rPr>
          <w:rFonts w:ascii="Times New Roman" w:eastAsia="Times New Roman" w:hAnsi="Times New Roman" w:cs="Times New Roman"/>
          <w:color w:val="000000"/>
        </w:rPr>
        <w:t xml:space="preserve"> contested existing approaches to producing sociological knowledge and public memory; the role that gender, class, and race played in negotiating these new methods; and, how this genre of social documentary helped to shape notions of what it meant to be an American and a Southerner during a time of political, social and economic unrest. While we address these themes, there are many exciting directions to take to </w:t>
      </w:r>
      <w:r w:rsidR="00B44CC1">
        <w:rPr>
          <w:rFonts w:ascii="Times New Roman" w:eastAsia="Times New Roman" w:hAnsi="Times New Roman" w:cs="Times New Roman"/>
          <w:color w:val="000000"/>
        </w:rPr>
        <w:t>understand these SLHP, which the reader</w:t>
      </w:r>
      <w:r w:rsidR="000C002A" w:rsidRPr="007451E8">
        <w:rPr>
          <w:rFonts w:ascii="Times New Roman" w:eastAsia="Times New Roman" w:hAnsi="Times New Roman" w:cs="Times New Roman"/>
          <w:color w:val="000000"/>
        </w:rPr>
        <w:t xml:space="preserve"> can see by moving through exploratory interfaces or by analyzing the </w:t>
      </w:r>
      <w:r w:rsidR="000C002A" w:rsidRPr="007451E8">
        <w:rPr>
          <w:rFonts w:ascii="Times New Roman" w:eastAsia="Times New Roman" w:hAnsi="Times New Roman" w:cs="Times New Roman"/>
          <w:i/>
          <w:iCs/>
          <w:color w:val="000000"/>
          <w:bdr w:val="none" w:sz="0" w:space="0" w:color="auto" w:frame="1"/>
        </w:rPr>
        <w:t>List Histories Data Set</w:t>
      </w:r>
      <w:r w:rsidR="00B44CC1">
        <w:rPr>
          <w:rFonts w:ascii="Times New Roman" w:eastAsia="Times New Roman" w:hAnsi="Times New Roman" w:cs="Times New Roman"/>
          <w:color w:val="000000"/>
        </w:rPr>
        <w:t>. We invite the reader</w:t>
      </w:r>
      <w:r w:rsidR="000C002A" w:rsidRPr="007451E8">
        <w:rPr>
          <w:rFonts w:ascii="Times New Roman" w:eastAsia="Times New Roman" w:hAnsi="Times New Roman" w:cs="Times New Roman"/>
          <w:color w:val="000000"/>
        </w:rPr>
        <w:t xml:space="preserve"> to pose and answer questions of your own. We hope that by movin</w:t>
      </w:r>
      <w:r w:rsidR="00B44CC1">
        <w:rPr>
          <w:rFonts w:ascii="Times New Roman" w:eastAsia="Times New Roman" w:hAnsi="Times New Roman" w:cs="Times New Roman"/>
          <w:color w:val="000000"/>
        </w:rPr>
        <w:t>g through this digital text, the reader</w:t>
      </w:r>
      <w:r w:rsidR="000C002A" w:rsidRPr="007451E8">
        <w:rPr>
          <w:rFonts w:ascii="Times New Roman" w:eastAsia="Times New Roman" w:hAnsi="Times New Roman" w:cs="Times New Roman"/>
          <w:color w:val="000000"/>
        </w:rPr>
        <w:t xml:space="preserve"> see</w:t>
      </w:r>
      <w:r w:rsidR="00B44CC1">
        <w:rPr>
          <w:rFonts w:ascii="Times New Roman" w:eastAsia="Times New Roman" w:hAnsi="Times New Roman" w:cs="Times New Roman"/>
          <w:color w:val="000000"/>
        </w:rPr>
        <w:t>s</w:t>
      </w:r>
      <w:r w:rsidR="000C002A" w:rsidRPr="007451E8">
        <w:rPr>
          <w:rFonts w:ascii="Times New Roman" w:eastAsia="Times New Roman" w:hAnsi="Times New Roman" w:cs="Times New Roman"/>
          <w:color w:val="000000"/>
        </w:rPr>
        <w:t xml:space="preserve"> how our argument unfolds in new ways made possible by combining innovations in methods with new affordances of the digital medium.</w:t>
      </w:r>
    </w:p>
    <w:p w14:paraId="69993FF3" w14:textId="753EFCCD" w:rsidR="000C002A" w:rsidRPr="007451E8" w:rsidRDefault="000C002A" w:rsidP="000338FD">
      <w:pPr>
        <w:jc w:val="both"/>
        <w:rPr>
          <w:rFonts w:ascii="Times New Roman" w:eastAsia="Times New Roman" w:hAnsi="Times New Roman" w:cs="Times New Roman"/>
          <w:b/>
          <w:bCs/>
          <w:color w:val="000000"/>
        </w:rPr>
      </w:pPr>
      <w:r w:rsidRPr="007451E8">
        <w:rPr>
          <w:rFonts w:ascii="Times New Roman" w:eastAsia="Times New Roman" w:hAnsi="Times New Roman" w:cs="Times New Roman"/>
          <w:b/>
          <w:bCs/>
          <w:color w:val="000000"/>
        </w:rPr>
        <w:t xml:space="preserve"> </w:t>
      </w:r>
    </w:p>
    <w:p w14:paraId="0C75486D" w14:textId="0A682C22" w:rsidR="0061414D" w:rsidRPr="007451E8" w:rsidRDefault="0061414D" w:rsidP="000338FD">
      <w:pPr>
        <w:jc w:val="both"/>
        <w:rPr>
          <w:rFonts w:ascii="Times New Roman" w:hAnsi="Times New Roman" w:cs="Times New Roman"/>
        </w:rPr>
      </w:pPr>
    </w:p>
    <w:p w14:paraId="5971C01C" w14:textId="7BE3CF01" w:rsidR="0061414D" w:rsidRPr="007451E8" w:rsidRDefault="0061414D" w:rsidP="000338FD">
      <w:pPr>
        <w:jc w:val="both"/>
        <w:rPr>
          <w:rFonts w:ascii="Times New Roman" w:hAnsi="Times New Roman" w:cs="Times New Roman"/>
        </w:rPr>
      </w:pPr>
    </w:p>
    <w:p w14:paraId="71E24289" w14:textId="77777777" w:rsidR="00183FD5" w:rsidRPr="007451E8" w:rsidRDefault="00183FD5" w:rsidP="000338FD">
      <w:pPr>
        <w:spacing w:line="312" w:lineRule="atLeast"/>
        <w:jc w:val="both"/>
        <w:textAlignment w:val="baseline"/>
        <w:rPr>
          <w:rFonts w:ascii="Times New Roman" w:hAnsi="Times New Roman" w:cs="Times New Roman"/>
        </w:rPr>
      </w:pPr>
    </w:p>
    <w:sectPr w:rsidR="00183FD5" w:rsidRPr="007451E8">
      <w:footerReference w:type="default" r:id="rId8"/>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75817" w16cex:dateUtc="2021-03-13T20:2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D3D88" w14:textId="77777777" w:rsidR="004E0384" w:rsidRDefault="004E0384" w:rsidP="0088065F">
      <w:r>
        <w:separator/>
      </w:r>
    </w:p>
  </w:endnote>
  <w:endnote w:type="continuationSeparator" w:id="0">
    <w:p w14:paraId="56D5CD64" w14:textId="77777777" w:rsidR="004E0384" w:rsidRDefault="004E0384" w:rsidP="00880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1607661"/>
      <w:docPartObj>
        <w:docPartGallery w:val="Page Numbers (Bottom of Page)"/>
        <w:docPartUnique/>
      </w:docPartObj>
    </w:sdtPr>
    <w:sdtEndPr>
      <w:rPr>
        <w:noProof/>
      </w:rPr>
    </w:sdtEndPr>
    <w:sdtContent>
      <w:p w14:paraId="37E2F513" w14:textId="7518292F" w:rsidR="001D3944" w:rsidRDefault="001D3944">
        <w:pPr>
          <w:pStyle w:val="Footer"/>
          <w:jc w:val="right"/>
        </w:pPr>
        <w:r>
          <w:fldChar w:fldCharType="begin"/>
        </w:r>
        <w:r>
          <w:instrText xml:space="preserve"> PAGE   \* MERGEFORMAT </w:instrText>
        </w:r>
        <w:r>
          <w:fldChar w:fldCharType="separate"/>
        </w:r>
        <w:r w:rsidR="00B344D8">
          <w:rPr>
            <w:noProof/>
          </w:rPr>
          <w:t>5</w:t>
        </w:r>
        <w:r>
          <w:rPr>
            <w:noProof/>
          </w:rPr>
          <w:fldChar w:fldCharType="end"/>
        </w:r>
      </w:p>
    </w:sdtContent>
  </w:sdt>
  <w:p w14:paraId="68930543" w14:textId="77777777" w:rsidR="001D3944" w:rsidRDefault="001D39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D103A" w14:textId="77777777" w:rsidR="004E0384" w:rsidRDefault="004E0384" w:rsidP="0088065F">
      <w:r>
        <w:separator/>
      </w:r>
    </w:p>
  </w:footnote>
  <w:footnote w:type="continuationSeparator" w:id="0">
    <w:p w14:paraId="1F5ABA2B" w14:textId="77777777" w:rsidR="004E0384" w:rsidRDefault="004E0384" w:rsidP="0088065F">
      <w:r>
        <w:continuationSeparator/>
      </w:r>
    </w:p>
  </w:footnote>
  <w:footnote w:id="1">
    <w:p w14:paraId="72D77189" w14:textId="38794A02" w:rsidR="0088065F" w:rsidRPr="00B344D8" w:rsidRDefault="0088065F" w:rsidP="000338FD">
      <w:pPr>
        <w:pStyle w:val="FootnoteText"/>
        <w:jc w:val="both"/>
        <w:rPr>
          <w:rFonts w:ascii="Times New Roman" w:hAnsi="Times New Roman" w:cs="Times New Roman"/>
          <w:sz w:val="22"/>
          <w:szCs w:val="22"/>
        </w:rPr>
      </w:pPr>
      <w:r w:rsidRPr="00B344D8">
        <w:rPr>
          <w:rStyle w:val="FootnoteReference"/>
          <w:rFonts w:ascii="Times New Roman" w:hAnsi="Times New Roman" w:cs="Times New Roman"/>
          <w:sz w:val="22"/>
          <w:szCs w:val="22"/>
        </w:rPr>
        <w:footnoteRef/>
      </w:r>
      <w:r w:rsidRPr="00B344D8">
        <w:rPr>
          <w:rFonts w:ascii="Times New Roman" w:hAnsi="Times New Roman" w:cs="Times New Roman"/>
          <w:sz w:val="22"/>
          <w:szCs w:val="22"/>
        </w:rPr>
        <w:t xml:space="preserve"> </w:t>
      </w:r>
      <w:r w:rsidRPr="00B344D8">
        <w:rPr>
          <w:rFonts w:ascii="Times New Roman" w:eastAsia="Times New Roman" w:hAnsi="Times New Roman" w:cs="Times New Roman"/>
          <w:color w:val="000000"/>
          <w:sz w:val="22"/>
          <w:szCs w:val="22"/>
        </w:rPr>
        <w:t>Rubenstein DeMasi, Susan (2016). </w:t>
      </w:r>
      <w:r w:rsidRPr="00B344D8">
        <w:rPr>
          <w:rFonts w:ascii="Times New Roman" w:eastAsia="Times New Roman" w:hAnsi="Times New Roman" w:cs="Times New Roman"/>
          <w:i/>
          <w:iCs/>
          <w:color w:val="000000"/>
          <w:sz w:val="22"/>
          <w:szCs w:val="22"/>
          <w:bdr w:val="none" w:sz="0" w:space="0" w:color="auto" w:frame="1"/>
        </w:rPr>
        <w:t>Henry Alsberg: The Driving Force of the New Deal's Federal Writer's Project.</w:t>
      </w:r>
      <w:r w:rsidRPr="00B344D8">
        <w:rPr>
          <w:rFonts w:ascii="Times New Roman" w:eastAsia="Times New Roman" w:hAnsi="Times New Roman" w:cs="Times New Roman"/>
          <w:color w:val="000000"/>
          <w:sz w:val="22"/>
          <w:szCs w:val="22"/>
        </w:rPr>
        <w:t> Jefferson, NC: McFarland and Co. pp. 200–202.</w:t>
      </w:r>
    </w:p>
  </w:footnote>
  <w:footnote w:id="2">
    <w:p w14:paraId="525A78C0" w14:textId="77777777" w:rsidR="00C3619C" w:rsidRPr="00B344D8" w:rsidRDefault="00C3619C" w:rsidP="00C3619C">
      <w:pPr>
        <w:rPr>
          <w:rFonts w:ascii="Times New Roman" w:eastAsia="Times New Roman" w:hAnsi="Times New Roman" w:cs="Times New Roman"/>
          <w:sz w:val="22"/>
          <w:szCs w:val="22"/>
        </w:rPr>
      </w:pPr>
      <w:r w:rsidRPr="00B344D8">
        <w:rPr>
          <w:rFonts w:ascii="Times New Roman" w:hAnsi="Times New Roman" w:cs="Times New Roman"/>
          <w:sz w:val="22"/>
          <w:szCs w:val="22"/>
          <w:vertAlign w:val="superscript"/>
        </w:rPr>
        <w:footnoteRef/>
      </w:r>
      <w:r w:rsidRPr="00B344D8">
        <w:rPr>
          <w:rFonts w:ascii="Times New Roman" w:eastAsia="Times New Roman" w:hAnsi="Times New Roman" w:cs="Times New Roman"/>
          <w:sz w:val="22"/>
          <w:szCs w:val="22"/>
        </w:rPr>
        <w:t xml:space="preserve"> </w:t>
      </w:r>
      <w:hyperlink r:id="rId1">
        <w:r w:rsidRPr="00B344D8">
          <w:rPr>
            <w:rFonts w:ascii="Times New Roman" w:eastAsia="Times New Roman" w:hAnsi="Times New Roman" w:cs="Times New Roman"/>
            <w:sz w:val="22"/>
            <w:szCs w:val="22"/>
          </w:rPr>
          <w:t xml:space="preserve">William Terry Couch, ed., </w:t>
        </w:r>
      </w:hyperlink>
      <w:hyperlink r:id="rId2">
        <w:r w:rsidRPr="00B344D8">
          <w:rPr>
            <w:rFonts w:ascii="Times New Roman" w:eastAsia="Times New Roman" w:hAnsi="Times New Roman" w:cs="Times New Roman"/>
            <w:i/>
            <w:sz w:val="22"/>
            <w:szCs w:val="22"/>
          </w:rPr>
          <w:t>These Are Our Lives</w:t>
        </w:r>
      </w:hyperlink>
      <w:hyperlink r:id="rId3">
        <w:r w:rsidRPr="00B344D8">
          <w:rPr>
            <w:rFonts w:ascii="Times New Roman" w:eastAsia="Times New Roman" w:hAnsi="Times New Roman" w:cs="Times New Roman"/>
            <w:sz w:val="22"/>
            <w:szCs w:val="22"/>
          </w:rPr>
          <w:t xml:space="preserve"> (University of North Carolina Press, 1939), x–xi.</w:t>
        </w:r>
      </w:hyperlink>
    </w:p>
  </w:footnote>
  <w:footnote w:id="3">
    <w:p w14:paraId="5D17DEC4" w14:textId="565C9578" w:rsidR="00527479" w:rsidRPr="00B344D8" w:rsidRDefault="00527479" w:rsidP="00527479">
      <w:pPr>
        <w:pStyle w:val="FootnoteText"/>
        <w:rPr>
          <w:rFonts w:ascii="Times New Roman" w:hAnsi="Times New Roman" w:cs="Times New Roman"/>
          <w:sz w:val="22"/>
          <w:szCs w:val="22"/>
        </w:rPr>
      </w:pPr>
      <w:r w:rsidRPr="00B344D8">
        <w:rPr>
          <w:rStyle w:val="FootnoteReference"/>
          <w:rFonts w:ascii="Times New Roman" w:hAnsi="Times New Roman" w:cs="Times New Roman"/>
          <w:sz w:val="22"/>
          <w:szCs w:val="22"/>
        </w:rPr>
        <w:footnoteRef/>
      </w:r>
      <w:r w:rsidRPr="00B344D8">
        <w:rPr>
          <w:rFonts w:ascii="Times New Roman" w:hAnsi="Times New Roman" w:cs="Times New Roman"/>
          <w:sz w:val="22"/>
          <w:szCs w:val="22"/>
        </w:rPr>
        <w:t xml:space="preserve"> </w:t>
      </w:r>
      <w:r w:rsidRPr="00B344D8">
        <w:rPr>
          <w:rFonts w:ascii="Times New Roman" w:hAnsi="Times New Roman" w:cs="Times New Roman"/>
          <w:sz w:val="22"/>
          <w:szCs w:val="22"/>
        </w:rPr>
        <w:fldChar w:fldCharType="begin"/>
      </w:r>
      <w:r w:rsidRPr="00B344D8">
        <w:rPr>
          <w:rFonts w:ascii="Times New Roman" w:hAnsi="Times New Roman" w:cs="Times New Roman"/>
          <w:sz w:val="22"/>
          <w:szCs w:val="22"/>
        </w:rPr>
        <w:instrText xml:space="preserve"> ADDIN ZOTERO_ITEM CSL_CITATION {"citationID":"yEzzSjQN","properties":{"formattedCitation":"Marilyn M. Cooper, \\uc0\\u8220{}The Ecology of Writing,\\uc0\\u8221{} {\\i{}College English} 48, no. 4 (1986): 364\\uc0\\u8211{}75; Nathan Shepley, \\uc0\\u8220{}Rhetorical-Ecological Links in Composition History | Enculturation,\\uc0\\u8221{} {\\i{}Enculturation: A Journal of Rhetoric, Writing, and Culture}, February 28, 2013, http://enculturation.net/rhetorical-ecological-links; Jenny Edbauer, \\uc0\\u8220{}Unframing Models of Public Distribution: From Rhetorical Situation to Rhetorical Ecologies,\\uc0\\u8221{} {\\i{}Rhetoric Society Quarterly} 35, no. 4 (2005): 5\\uc0\\u8211{}24.","plainCitation":"Marilyn M. Cooper, “The Ecology of Writing,” College English 48, no. 4 (1986): 364–75; Nathan Shepley, “Rhetorical-Ecological Links in Composition History | Enculturation,” Enculturation: A Journal of Rhetoric, Writing, and Culture, February 28, 2013, http://enculturation.net/rhetorical-ecological-links; Jenny Edbauer, “Unframing Models of Public Distribution: From Rhetorical Situation to Rhetorical Ecologies,” Rhetoric Society Quarterly 35, no. 4 (2005): 5–24.","noteIndex":3},"citationItems":[{"id":14491,"uris":["http://zotero.org/users/659682/items/P6XUA3J5"],"uri":["http://zotero.org/users/659682/items/P6XUA3J5"],"itemData":{"id":14491,"type":"article-journal","container-title":"College English","issue":"4","note":"publisher: JSTOR","page":"364–375","source":"Google Scholar","title":"The ecology of writing","volume":"48","author":[{"family":"Cooper","given":"Marilyn M."}],"issued":{"date-parts":[["1986"]]}}},{"id":14494,"uris":["http://zotero.org/users/659682/items/XT6XXGKY"],"uri":["http://zotero.org/users/659682/items/XT6XXGKY"],"itemData":{"id":14494,"type":"article-journal","container-title":"Enculturation: A Journal of Rhetoric, Writing, and Culture","title":"Rhetorical-Ecological Links in Composition History | enculturation","URL":"http://enculturation.net/rhetorical-ecological-links","author":[{"family":"Shepley","given":"Nathan"}],"accessed":{"date-parts":[["2021",2,27]]},"issued":{"date-parts":[["2013",2,28]]}}},{"id":14496,"uris":["http://zotero.org/users/659682/items/ER3ALSUR"],"uri":["http://zotero.org/users/659682/items/ER3ALSUR"],"itemData":{"id":14496,"type":"article-journal","container-title":"Rhetoric Society Quarterly","issue":"4","note":"publisher: Taylor &amp; Francis","page":"5–24","source":"Google Scholar","title":"Unframing models of public distribution: From rhetorical situation to rhetorical ecologies","title-short":"Unframing models of public distribution","volume":"35","author":[{"family":"Edbauer","given":"Jenny"}],"issued":{"date-parts":[["2005"]]}}}],"schema":"https://github.com/citation-style-language/schema/raw/master/csl-citation.json"} </w:instrText>
      </w:r>
      <w:r w:rsidRPr="00B344D8">
        <w:rPr>
          <w:rFonts w:ascii="Times New Roman" w:hAnsi="Times New Roman" w:cs="Times New Roman"/>
          <w:sz w:val="22"/>
          <w:szCs w:val="22"/>
        </w:rPr>
        <w:fldChar w:fldCharType="separate"/>
      </w:r>
      <w:r w:rsidRPr="00B344D8">
        <w:rPr>
          <w:rFonts w:ascii="Times New Roman" w:hAnsi="Times New Roman" w:cs="Times New Roman"/>
          <w:sz w:val="22"/>
          <w:szCs w:val="22"/>
        </w:rPr>
        <w:t xml:space="preserve">Marilyn M. Cooper, “The Ecology of Writing,” </w:t>
      </w:r>
      <w:r w:rsidRPr="00B344D8">
        <w:rPr>
          <w:rFonts w:ascii="Times New Roman" w:hAnsi="Times New Roman" w:cs="Times New Roman"/>
          <w:i/>
          <w:iCs/>
          <w:sz w:val="22"/>
          <w:szCs w:val="22"/>
        </w:rPr>
        <w:t>College English</w:t>
      </w:r>
      <w:r w:rsidRPr="00B344D8">
        <w:rPr>
          <w:rFonts w:ascii="Times New Roman" w:hAnsi="Times New Roman" w:cs="Times New Roman"/>
          <w:sz w:val="22"/>
          <w:szCs w:val="22"/>
        </w:rPr>
        <w:t xml:space="preserve"> 48, no. 4 (1986): 364–75; Nathan Shepley, “Rhetorical-Ecological Links in Composition History | Enculturation,” </w:t>
      </w:r>
      <w:r w:rsidRPr="00B344D8">
        <w:rPr>
          <w:rFonts w:ascii="Times New Roman" w:hAnsi="Times New Roman" w:cs="Times New Roman"/>
          <w:i/>
          <w:iCs/>
          <w:sz w:val="22"/>
          <w:szCs w:val="22"/>
        </w:rPr>
        <w:t>Enculturation: A Journal of Rhetoric, Writing, and Culture</w:t>
      </w:r>
      <w:r w:rsidRPr="00B344D8">
        <w:rPr>
          <w:rFonts w:ascii="Times New Roman" w:hAnsi="Times New Roman" w:cs="Times New Roman"/>
          <w:sz w:val="22"/>
          <w:szCs w:val="22"/>
        </w:rPr>
        <w:t xml:space="preserve">, February 28, 2013, http://enculturation.net/rhetorical-ecological-links; Jenny Edbauer, “Unframing Models of Public Distribution: From Rhetorical Situation to Rhetorical Ecologies,” </w:t>
      </w:r>
      <w:r w:rsidRPr="00B344D8">
        <w:rPr>
          <w:rFonts w:ascii="Times New Roman" w:hAnsi="Times New Roman" w:cs="Times New Roman"/>
          <w:i/>
          <w:iCs/>
          <w:sz w:val="22"/>
          <w:szCs w:val="22"/>
        </w:rPr>
        <w:t>Rhetoric Society Quarterly</w:t>
      </w:r>
      <w:r w:rsidRPr="00B344D8">
        <w:rPr>
          <w:rFonts w:ascii="Times New Roman" w:hAnsi="Times New Roman" w:cs="Times New Roman"/>
          <w:sz w:val="22"/>
          <w:szCs w:val="22"/>
        </w:rPr>
        <w:t xml:space="preserve"> 35, no. 4 (2005): 5–24.</w:t>
      </w:r>
      <w:r w:rsidRPr="00B344D8">
        <w:rPr>
          <w:rFonts w:ascii="Times New Roman" w:hAnsi="Times New Roman" w:cs="Times New Roman"/>
          <w:sz w:val="22"/>
          <w:szCs w:val="22"/>
        </w:rPr>
        <w:fldChar w:fldCharType="end"/>
      </w:r>
      <w:r w:rsidR="00070448">
        <w:rPr>
          <w:rFonts w:ascii="Times New Roman" w:hAnsi="Times New Roman" w:cs="Times New Roman"/>
          <w:sz w:val="22"/>
          <w:szCs w:val="22"/>
        </w:rPr>
        <w:t xml:space="preserve"> </w:t>
      </w:r>
      <w:r w:rsidR="00070448" w:rsidRPr="00B344D8">
        <w:rPr>
          <w:rFonts w:ascii="Times New Roman" w:hAnsi="Times New Roman" w:cs="Times New Roman"/>
          <w:sz w:val="22"/>
          <w:szCs w:val="22"/>
        </w:rPr>
        <w:fldChar w:fldCharType="begin"/>
      </w:r>
      <w:r w:rsidR="00070448" w:rsidRPr="00B344D8">
        <w:rPr>
          <w:rFonts w:ascii="Times New Roman" w:hAnsi="Times New Roman" w:cs="Times New Roman"/>
          <w:sz w:val="22"/>
          <w:szCs w:val="22"/>
        </w:rPr>
        <w:instrText xml:space="preserve"> ADDIN ZOTERO_ITEM CSL_CITATION {"citationID":"YylfY1bH","properties":{"formattedCitation":"Rachel C. Jackson, \\uc0\\u8220{}Locating Oklahoma: Critical Regionalism and Transrhetorical Analysis in the Composition Classroom,\\uc0\\u8221{} {\\i{}College Composition and Communication}, 2014, 301.","plainCitation":"Rachel C. Jackson, “Locating Oklahoma: Critical Regionalism and Transrhetorical Analysis in the Composition Classroom,” College Composition and Communication, 2014, 301.","noteIndex":4},"citationItems":[{"id":14499,"uris":["http://zotero.org/users/659682/items/MQ257GQT"],"uri":["http://zotero.org/users/659682/items/MQ257GQT"],"itemData":{"id":14499,"type":"article-journal","container-title":"College Composition and Communication","note":"publisher: JSTOR","page":"301–326","source":"Google Scholar","title":"Locating Oklahoma: Critical regionalism and transrhetorical analysis in the composition classroom","title-short":"Locating Oklahoma","author":[{"family":"Jackson","given":"Rachel C."}],"issued":{"date-parts":[["2014"]]}},"locator":"301"}],"schema":"https://github.com/citation-style-language/schema/raw/master/csl-citation.json"} </w:instrText>
      </w:r>
      <w:r w:rsidR="00070448" w:rsidRPr="00B344D8">
        <w:rPr>
          <w:rFonts w:ascii="Times New Roman" w:hAnsi="Times New Roman" w:cs="Times New Roman"/>
          <w:sz w:val="22"/>
          <w:szCs w:val="22"/>
        </w:rPr>
        <w:fldChar w:fldCharType="separate"/>
      </w:r>
      <w:r w:rsidR="00070448" w:rsidRPr="00B344D8">
        <w:rPr>
          <w:rFonts w:ascii="Times New Roman" w:hAnsi="Times New Roman" w:cs="Times New Roman"/>
          <w:sz w:val="22"/>
          <w:szCs w:val="22"/>
        </w:rPr>
        <w:t xml:space="preserve">Rachel C. Jackson, “Locating Oklahoma: Critical Regionalism and Transrhetorical Analysis in the Composition Classroom,” </w:t>
      </w:r>
      <w:r w:rsidR="00070448" w:rsidRPr="00B344D8">
        <w:rPr>
          <w:rFonts w:ascii="Times New Roman" w:hAnsi="Times New Roman" w:cs="Times New Roman"/>
          <w:i/>
          <w:iCs/>
          <w:sz w:val="22"/>
          <w:szCs w:val="22"/>
        </w:rPr>
        <w:t>College Composition and Communication</w:t>
      </w:r>
      <w:r w:rsidR="00070448" w:rsidRPr="00B344D8">
        <w:rPr>
          <w:rFonts w:ascii="Times New Roman" w:hAnsi="Times New Roman" w:cs="Times New Roman"/>
          <w:sz w:val="22"/>
          <w:szCs w:val="22"/>
        </w:rPr>
        <w:t>, 2014, 301.</w:t>
      </w:r>
      <w:r w:rsidR="00070448" w:rsidRPr="00B344D8">
        <w:rPr>
          <w:rFonts w:ascii="Times New Roman" w:hAnsi="Times New Roman" w:cs="Times New Roman"/>
          <w:sz w:val="22"/>
          <w:szCs w:val="22"/>
        </w:rPr>
        <w:fldChar w:fldCharType="end"/>
      </w:r>
    </w:p>
  </w:footnote>
  <w:footnote w:id="4">
    <w:p w14:paraId="33752A5E" w14:textId="36CC2FC6" w:rsidR="00070448" w:rsidRPr="00B344D8" w:rsidRDefault="00070448" w:rsidP="00070448">
      <w:pPr>
        <w:pStyle w:val="FootnoteText"/>
        <w:rPr>
          <w:rFonts w:ascii="Times New Roman" w:hAnsi="Times New Roman" w:cs="Times New Roman"/>
          <w:sz w:val="22"/>
          <w:szCs w:val="22"/>
        </w:rPr>
      </w:pPr>
    </w:p>
  </w:footnote>
  <w:footnote w:id="5">
    <w:p w14:paraId="1AB42454" w14:textId="238FBD7D" w:rsidR="00DF773F" w:rsidRPr="00DF773F" w:rsidRDefault="00DF773F">
      <w:pPr>
        <w:pStyle w:val="FootnoteText"/>
      </w:pPr>
      <w:r>
        <w:rPr>
          <w:rStyle w:val="FootnoteReference"/>
        </w:rPr>
        <w:footnoteRef/>
      </w:r>
      <w:r>
        <w:t xml:space="preserve"> </w:t>
      </w:r>
      <w:r w:rsidR="00075B20">
        <w:t xml:space="preserve"> For examples, see </w:t>
      </w:r>
      <w:r w:rsidRPr="00DF773F">
        <w:t>David J.</w:t>
      </w:r>
      <w:r>
        <w:t xml:space="preserve"> </w:t>
      </w:r>
      <w:r w:rsidRPr="00DF773F">
        <w:t>Bodenhamer</w:t>
      </w:r>
      <w:r w:rsidRPr="00DF773F">
        <w:t>, John Corrigan, and Trevor M. Harris.</w:t>
      </w:r>
      <w:r>
        <w:t>,</w:t>
      </w:r>
      <w:r w:rsidRPr="00DF773F">
        <w:rPr>
          <w:i/>
          <w:iCs/>
        </w:rPr>
        <w:t>Deep Maps and Spatial Narratives.</w:t>
      </w:r>
      <w:r w:rsidRPr="00DF773F">
        <w:t> </w:t>
      </w:r>
      <w:r>
        <w:t>(</w:t>
      </w:r>
      <w:r w:rsidRPr="00DF773F">
        <w:t>Indiana University Press, 2015</w:t>
      </w:r>
      <w:r>
        <w:t xml:space="preserve">); </w:t>
      </w:r>
      <w:r w:rsidRPr="00DF773F">
        <w:t xml:space="preserve"> Todd</w:t>
      </w:r>
      <w:r>
        <w:t xml:space="preserve"> Pressner</w:t>
      </w:r>
      <w:r w:rsidRPr="00DF773F">
        <w:t xml:space="preserve">, </w:t>
      </w:r>
      <w:r>
        <w:t>David Shepard, and Yoh Kawano</w:t>
      </w:r>
      <w:r w:rsidRPr="00DF773F">
        <w:rPr>
          <w:i/>
        </w:rPr>
        <w:t>. Hypercities Thick Mapping in the Digital Humanities</w:t>
      </w:r>
      <w:r>
        <w:t xml:space="preserve"> (Harvard University Press, </w:t>
      </w:r>
      <w:r w:rsidRPr="00DF773F">
        <w:t>2014</w:t>
      </w:r>
      <w:r>
        <w:t xml:space="preserve">); </w:t>
      </w:r>
      <w:r w:rsidRPr="00DF773F">
        <w:t xml:space="preserve"> Richard</w:t>
      </w:r>
      <w:r>
        <w:t xml:space="preserve"> White, </w:t>
      </w:r>
      <w:r w:rsidRPr="00DF773F">
        <w:t>“What is Spatial History?” Spatial History Lab: Working Paper. February 1, 2010</w:t>
      </w:r>
      <w:r>
        <w:t xml:space="preserve">; Ted Underwood, “A Genealogy of Distant Reading”, </w:t>
      </w:r>
      <w:r>
        <w:rPr>
          <w:i/>
        </w:rPr>
        <w:t xml:space="preserve">Digital </w:t>
      </w:r>
      <w:r w:rsidR="00075B20">
        <w:rPr>
          <w:i/>
        </w:rPr>
        <w:t>Humanities</w:t>
      </w:r>
      <w:r>
        <w:rPr>
          <w:i/>
        </w:rPr>
        <w:t xml:space="preserve"> Quarterly</w:t>
      </w:r>
      <w:r>
        <w:t xml:space="preserve"> 11 no.2 2017.</w:t>
      </w:r>
      <w:r w:rsidR="00075B20">
        <w:t xml:space="preserve"> For more about the role of the digital humanities, see the Methods Layer.</w:t>
      </w:r>
    </w:p>
  </w:footnote>
  <w:footnote w:id="6">
    <w:p w14:paraId="56FB1B06" w14:textId="77777777" w:rsidR="00B307B7" w:rsidRPr="00B344D8" w:rsidRDefault="00B307B7" w:rsidP="00B307B7">
      <w:pPr>
        <w:jc w:val="both"/>
        <w:rPr>
          <w:rFonts w:ascii="Times New Roman" w:eastAsia="Times New Roman" w:hAnsi="Times New Roman" w:cs="Times New Roman"/>
          <w:color w:val="000000"/>
          <w:sz w:val="22"/>
          <w:szCs w:val="22"/>
        </w:rPr>
      </w:pPr>
      <w:r w:rsidRPr="00B344D8">
        <w:rPr>
          <w:rFonts w:ascii="Times New Roman" w:hAnsi="Times New Roman" w:cs="Times New Roman"/>
          <w:sz w:val="22"/>
          <w:szCs w:val="22"/>
          <w:vertAlign w:val="superscript"/>
        </w:rPr>
        <w:footnoteRef/>
      </w:r>
      <w:r w:rsidRPr="00B344D8">
        <w:rPr>
          <w:rFonts w:ascii="Times New Roman" w:eastAsia="Times New Roman" w:hAnsi="Times New Roman" w:cs="Times New Roman"/>
          <w:color w:val="000000"/>
          <w:sz w:val="22"/>
          <w:szCs w:val="22"/>
        </w:rPr>
        <w:t xml:space="preserve"> Jerrold Hirsch, </w:t>
      </w:r>
      <w:r w:rsidRPr="00B344D8">
        <w:rPr>
          <w:rFonts w:ascii="Times New Roman" w:eastAsia="Times New Roman" w:hAnsi="Times New Roman" w:cs="Times New Roman"/>
          <w:i/>
          <w:color w:val="000000"/>
          <w:sz w:val="22"/>
          <w:szCs w:val="22"/>
        </w:rPr>
        <w:t>Portrait of America: A Cultural History of the Federal Writers’ Project</w:t>
      </w:r>
      <w:r w:rsidRPr="00B344D8">
        <w:rPr>
          <w:rFonts w:ascii="Times New Roman" w:eastAsia="Times New Roman" w:hAnsi="Times New Roman" w:cs="Times New Roman"/>
          <w:color w:val="000000"/>
          <w:sz w:val="22"/>
          <w:szCs w:val="22"/>
        </w:rPr>
        <w:t xml:space="preserve"> (Univ of North Carolina Press, 2004); Wendy Griswold and Wendy Griswold, </w:t>
      </w:r>
      <w:r w:rsidRPr="00B344D8">
        <w:rPr>
          <w:rFonts w:ascii="Times New Roman" w:eastAsia="Times New Roman" w:hAnsi="Times New Roman" w:cs="Times New Roman"/>
          <w:i/>
          <w:color w:val="000000"/>
          <w:sz w:val="22"/>
          <w:szCs w:val="22"/>
        </w:rPr>
        <w:t>American Guides: The Federal Writers’ Project and the Casting of American Culture</w:t>
      </w:r>
      <w:r w:rsidRPr="00B344D8">
        <w:rPr>
          <w:rFonts w:ascii="Times New Roman" w:eastAsia="Times New Roman" w:hAnsi="Times New Roman" w:cs="Times New Roman"/>
          <w:color w:val="000000"/>
          <w:sz w:val="22"/>
          <w:szCs w:val="22"/>
        </w:rPr>
        <w:t xml:space="preserve"> (Chicago ; London: The University of Chicago Press, 2016); Jerre Mangione, </w:t>
      </w:r>
      <w:r w:rsidRPr="00B344D8">
        <w:rPr>
          <w:rFonts w:ascii="Times New Roman" w:eastAsia="Times New Roman" w:hAnsi="Times New Roman" w:cs="Times New Roman"/>
          <w:i/>
          <w:color w:val="000000"/>
          <w:sz w:val="22"/>
          <w:szCs w:val="22"/>
        </w:rPr>
        <w:t>The Dream and the Deal: The Federal Writers’ Project, 1935-1943</w:t>
      </w:r>
      <w:r w:rsidRPr="00B344D8">
        <w:rPr>
          <w:rFonts w:ascii="Times New Roman" w:eastAsia="Times New Roman" w:hAnsi="Times New Roman" w:cs="Times New Roman"/>
          <w:color w:val="000000"/>
          <w:sz w:val="22"/>
          <w:szCs w:val="22"/>
        </w:rPr>
        <w:t xml:space="preserve"> (Syracuse University Press, 1996); Catherine A. Stewart, </w:t>
      </w:r>
      <w:r w:rsidRPr="00B344D8">
        <w:rPr>
          <w:rFonts w:ascii="Times New Roman" w:eastAsia="Times New Roman" w:hAnsi="Times New Roman" w:cs="Times New Roman"/>
          <w:i/>
          <w:color w:val="000000"/>
          <w:sz w:val="22"/>
          <w:szCs w:val="22"/>
        </w:rPr>
        <w:t>Long Past Slavery: Representing Race in the Federal Writers’ Project</w:t>
      </w:r>
      <w:r w:rsidRPr="00B344D8">
        <w:rPr>
          <w:rFonts w:ascii="Times New Roman" w:eastAsia="Times New Roman" w:hAnsi="Times New Roman" w:cs="Times New Roman"/>
          <w:color w:val="000000"/>
          <w:sz w:val="22"/>
          <w:szCs w:val="22"/>
        </w:rPr>
        <w:t xml:space="preserve"> (Chapel Hill: The University of North Carolina Press, 2016); Monty Noam Penkower, </w:t>
      </w:r>
      <w:r w:rsidRPr="00B344D8">
        <w:rPr>
          <w:rFonts w:ascii="Times New Roman" w:eastAsia="Times New Roman" w:hAnsi="Times New Roman" w:cs="Times New Roman"/>
          <w:i/>
          <w:color w:val="000000"/>
          <w:sz w:val="22"/>
          <w:szCs w:val="22"/>
        </w:rPr>
        <w:t>The Federal Writers’ Project ; a Study in Government Patronage of the Arts</w:t>
      </w:r>
      <w:r w:rsidRPr="00B344D8">
        <w:rPr>
          <w:rFonts w:ascii="Times New Roman" w:eastAsia="Times New Roman" w:hAnsi="Times New Roman" w:cs="Times New Roman"/>
          <w:color w:val="000000"/>
          <w:sz w:val="22"/>
          <w:szCs w:val="22"/>
        </w:rPr>
        <w:t xml:space="preserve"> (Urbana: University of Illinois Press, 1977).</w:t>
      </w:r>
    </w:p>
  </w:footnote>
  <w:footnote w:id="7">
    <w:p w14:paraId="4F808382" w14:textId="77777777" w:rsidR="00B307B7" w:rsidRPr="00B344D8" w:rsidRDefault="00B307B7" w:rsidP="00B307B7">
      <w:pPr>
        <w:jc w:val="both"/>
        <w:rPr>
          <w:rFonts w:ascii="Times New Roman" w:eastAsia="Times New Roman" w:hAnsi="Times New Roman" w:cs="Times New Roman"/>
          <w:color w:val="000000"/>
          <w:sz w:val="22"/>
          <w:szCs w:val="22"/>
        </w:rPr>
      </w:pPr>
      <w:r w:rsidRPr="00B344D8">
        <w:rPr>
          <w:rFonts w:ascii="Times New Roman" w:hAnsi="Times New Roman" w:cs="Times New Roman"/>
          <w:sz w:val="22"/>
          <w:szCs w:val="22"/>
          <w:vertAlign w:val="superscript"/>
        </w:rPr>
        <w:footnoteRef/>
      </w:r>
      <w:r w:rsidRPr="00B344D8">
        <w:rPr>
          <w:rFonts w:ascii="Times New Roman" w:eastAsia="Times New Roman" w:hAnsi="Times New Roman" w:cs="Times New Roman"/>
          <w:color w:val="000000"/>
          <w:sz w:val="22"/>
          <w:szCs w:val="22"/>
        </w:rPr>
        <w:t xml:space="preserve"> Lynn Moss Sanders, </w:t>
      </w:r>
      <w:r w:rsidRPr="00B344D8">
        <w:rPr>
          <w:rFonts w:ascii="Times New Roman" w:eastAsia="Times New Roman" w:hAnsi="Times New Roman" w:cs="Times New Roman"/>
          <w:i/>
          <w:color w:val="000000"/>
          <w:sz w:val="22"/>
          <w:szCs w:val="22"/>
        </w:rPr>
        <w:t>Howard W. Odum’s Folklore Odyssey: Transformation to Tolerance Through African American Folk Studies</w:t>
      </w:r>
      <w:r w:rsidRPr="00B344D8">
        <w:rPr>
          <w:rFonts w:ascii="Times New Roman" w:eastAsia="Times New Roman" w:hAnsi="Times New Roman" w:cs="Times New Roman"/>
          <w:color w:val="000000"/>
          <w:sz w:val="22"/>
          <w:szCs w:val="22"/>
        </w:rPr>
        <w:t xml:space="preserve"> (University of Georgia Press, 2003); Rabinowitz, </w:t>
      </w:r>
      <w:r w:rsidRPr="00B344D8">
        <w:rPr>
          <w:rFonts w:ascii="Times New Roman" w:eastAsia="Times New Roman" w:hAnsi="Times New Roman" w:cs="Times New Roman"/>
          <w:i/>
          <w:color w:val="000000"/>
          <w:sz w:val="22"/>
          <w:szCs w:val="22"/>
        </w:rPr>
        <w:t>They Must Be Represented: The Politics of Documentary</w:t>
      </w:r>
      <w:r w:rsidRPr="00B344D8">
        <w:rPr>
          <w:rFonts w:ascii="Times New Roman" w:eastAsia="Times New Roman" w:hAnsi="Times New Roman" w:cs="Times New Roman"/>
          <w:color w:val="000000"/>
          <w:sz w:val="22"/>
          <w:szCs w:val="22"/>
        </w:rPr>
        <w:t xml:space="preserve">; Retman, </w:t>
      </w:r>
      <w:r w:rsidRPr="00B344D8">
        <w:rPr>
          <w:rFonts w:ascii="Times New Roman" w:eastAsia="Times New Roman" w:hAnsi="Times New Roman" w:cs="Times New Roman"/>
          <w:i/>
          <w:color w:val="000000"/>
          <w:sz w:val="22"/>
          <w:szCs w:val="22"/>
        </w:rPr>
        <w:t>Real Folks</w:t>
      </w:r>
      <w:r w:rsidRPr="00B344D8">
        <w:rPr>
          <w:rFonts w:ascii="Times New Roman" w:eastAsia="Times New Roman" w:hAnsi="Times New Roman" w:cs="Times New Roman"/>
          <w:color w:val="000000"/>
          <w:sz w:val="22"/>
          <w:szCs w:val="22"/>
        </w:rPr>
        <w:t xml:space="preserve">; Stewart, </w:t>
      </w:r>
      <w:r w:rsidRPr="00B344D8">
        <w:rPr>
          <w:rFonts w:ascii="Times New Roman" w:eastAsia="Times New Roman" w:hAnsi="Times New Roman" w:cs="Times New Roman"/>
          <w:i/>
          <w:color w:val="000000"/>
          <w:sz w:val="22"/>
          <w:szCs w:val="22"/>
        </w:rPr>
        <w:t>Long Past Slavery</w:t>
      </w:r>
      <w:r w:rsidRPr="00B344D8">
        <w:rPr>
          <w:rFonts w:ascii="Times New Roman" w:eastAsia="Times New Roman" w:hAnsi="Times New Roman" w:cs="Times New Roman"/>
          <w:color w:val="000000"/>
          <w:sz w:val="22"/>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C5723"/>
    <w:multiLevelType w:val="hybridMultilevel"/>
    <w:tmpl w:val="7076F240"/>
    <w:lvl w:ilvl="0" w:tplc="7E9E10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620D8"/>
    <w:multiLevelType w:val="hybridMultilevel"/>
    <w:tmpl w:val="0A14FC1C"/>
    <w:lvl w:ilvl="0" w:tplc="844A88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35017"/>
    <w:multiLevelType w:val="hybridMultilevel"/>
    <w:tmpl w:val="12B8774C"/>
    <w:lvl w:ilvl="0" w:tplc="E6946F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4417A0"/>
    <w:multiLevelType w:val="hybridMultilevel"/>
    <w:tmpl w:val="5CFC996A"/>
    <w:lvl w:ilvl="0" w:tplc="137E18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65F"/>
    <w:rsid w:val="00001CC8"/>
    <w:rsid w:val="000338FD"/>
    <w:rsid w:val="000533C5"/>
    <w:rsid w:val="00061985"/>
    <w:rsid w:val="00070448"/>
    <w:rsid w:val="000754EC"/>
    <w:rsid w:val="00075B20"/>
    <w:rsid w:val="000A0CF0"/>
    <w:rsid w:val="000B7F4F"/>
    <w:rsid w:val="000C002A"/>
    <w:rsid w:val="00112623"/>
    <w:rsid w:val="00183FD5"/>
    <w:rsid w:val="001A46FC"/>
    <w:rsid w:val="001B64F5"/>
    <w:rsid w:val="001D3944"/>
    <w:rsid w:val="001D43F5"/>
    <w:rsid w:val="001D6D30"/>
    <w:rsid w:val="001F2D22"/>
    <w:rsid w:val="00203DB9"/>
    <w:rsid w:val="002200CB"/>
    <w:rsid w:val="00286A08"/>
    <w:rsid w:val="00292F77"/>
    <w:rsid w:val="002C3472"/>
    <w:rsid w:val="002C4574"/>
    <w:rsid w:val="002D193A"/>
    <w:rsid w:val="002D2797"/>
    <w:rsid w:val="002E22B6"/>
    <w:rsid w:val="002E48F8"/>
    <w:rsid w:val="0032005F"/>
    <w:rsid w:val="00320146"/>
    <w:rsid w:val="00330212"/>
    <w:rsid w:val="0035344A"/>
    <w:rsid w:val="003632E7"/>
    <w:rsid w:val="00366916"/>
    <w:rsid w:val="003800E7"/>
    <w:rsid w:val="003B2731"/>
    <w:rsid w:val="003D0FDD"/>
    <w:rsid w:val="004019C0"/>
    <w:rsid w:val="00460FB6"/>
    <w:rsid w:val="00497CE5"/>
    <w:rsid w:val="004B44B0"/>
    <w:rsid w:val="004B4F66"/>
    <w:rsid w:val="004D5399"/>
    <w:rsid w:val="004E0384"/>
    <w:rsid w:val="00522FBC"/>
    <w:rsid w:val="00527479"/>
    <w:rsid w:val="00543C15"/>
    <w:rsid w:val="005444A4"/>
    <w:rsid w:val="005C5DB7"/>
    <w:rsid w:val="005C69D2"/>
    <w:rsid w:val="005D14FB"/>
    <w:rsid w:val="0061414D"/>
    <w:rsid w:val="006A1331"/>
    <w:rsid w:val="006C6AFC"/>
    <w:rsid w:val="00712CD2"/>
    <w:rsid w:val="007244D7"/>
    <w:rsid w:val="00742ECA"/>
    <w:rsid w:val="007451E8"/>
    <w:rsid w:val="00782CE4"/>
    <w:rsid w:val="0079312F"/>
    <w:rsid w:val="00795D58"/>
    <w:rsid w:val="00822043"/>
    <w:rsid w:val="00840462"/>
    <w:rsid w:val="00843BE1"/>
    <w:rsid w:val="00845660"/>
    <w:rsid w:val="0088065F"/>
    <w:rsid w:val="008E62C1"/>
    <w:rsid w:val="0092751F"/>
    <w:rsid w:val="0095116B"/>
    <w:rsid w:val="00991D8E"/>
    <w:rsid w:val="009A59E6"/>
    <w:rsid w:val="009B7C8D"/>
    <w:rsid w:val="009D0107"/>
    <w:rsid w:val="00A34C56"/>
    <w:rsid w:val="00A76CF1"/>
    <w:rsid w:val="00B00204"/>
    <w:rsid w:val="00B154E3"/>
    <w:rsid w:val="00B307B7"/>
    <w:rsid w:val="00B344D8"/>
    <w:rsid w:val="00B44CC1"/>
    <w:rsid w:val="00B641EF"/>
    <w:rsid w:val="00BB660B"/>
    <w:rsid w:val="00C3619C"/>
    <w:rsid w:val="00C61C08"/>
    <w:rsid w:val="00C639E1"/>
    <w:rsid w:val="00C825E9"/>
    <w:rsid w:val="00C84301"/>
    <w:rsid w:val="00C8710D"/>
    <w:rsid w:val="00C92DAE"/>
    <w:rsid w:val="00CA2D81"/>
    <w:rsid w:val="00CC3C55"/>
    <w:rsid w:val="00CF0D79"/>
    <w:rsid w:val="00D209CF"/>
    <w:rsid w:val="00D23052"/>
    <w:rsid w:val="00D50BBA"/>
    <w:rsid w:val="00D5191E"/>
    <w:rsid w:val="00D76A1E"/>
    <w:rsid w:val="00DB3375"/>
    <w:rsid w:val="00DC1A96"/>
    <w:rsid w:val="00DF41AB"/>
    <w:rsid w:val="00DF773F"/>
    <w:rsid w:val="00E47FCC"/>
    <w:rsid w:val="00E737B4"/>
    <w:rsid w:val="00E772B6"/>
    <w:rsid w:val="00E775E1"/>
    <w:rsid w:val="00E86627"/>
    <w:rsid w:val="00E93848"/>
    <w:rsid w:val="00EA16D9"/>
    <w:rsid w:val="00EB1C13"/>
    <w:rsid w:val="00EE4006"/>
    <w:rsid w:val="00EE53D7"/>
    <w:rsid w:val="00EE5647"/>
    <w:rsid w:val="00EE6A22"/>
    <w:rsid w:val="00F24618"/>
    <w:rsid w:val="00F37B47"/>
    <w:rsid w:val="00F475B9"/>
    <w:rsid w:val="00F52775"/>
    <w:rsid w:val="00F56B73"/>
    <w:rsid w:val="00F677D7"/>
    <w:rsid w:val="00FE2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87957"/>
  <w15:chartTrackingRefBased/>
  <w15:docId w15:val="{32601CCD-C22F-E041-992D-11FF64BD3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0146"/>
  </w:style>
  <w:style w:type="paragraph" w:styleId="Heading3">
    <w:name w:val="heading 3"/>
    <w:basedOn w:val="Normal"/>
    <w:link w:val="Heading3Char"/>
    <w:uiPriority w:val="9"/>
    <w:qFormat/>
    <w:rsid w:val="0088065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06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065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8065F"/>
    <w:rPr>
      <w:color w:val="0000FF"/>
      <w:u w:val="single"/>
    </w:rPr>
  </w:style>
  <w:style w:type="character" w:customStyle="1" w:styleId="apple-converted-space">
    <w:name w:val="apple-converted-space"/>
    <w:basedOn w:val="DefaultParagraphFont"/>
    <w:rsid w:val="0088065F"/>
  </w:style>
  <w:style w:type="character" w:styleId="Emphasis">
    <w:name w:val="Emphasis"/>
    <w:basedOn w:val="DefaultParagraphFont"/>
    <w:uiPriority w:val="20"/>
    <w:qFormat/>
    <w:rsid w:val="0088065F"/>
    <w:rPr>
      <w:i/>
      <w:iCs/>
    </w:rPr>
  </w:style>
  <w:style w:type="paragraph" w:styleId="FootnoteText">
    <w:name w:val="footnote text"/>
    <w:basedOn w:val="Normal"/>
    <w:link w:val="FootnoteTextChar"/>
    <w:uiPriority w:val="99"/>
    <w:semiHidden/>
    <w:unhideWhenUsed/>
    <w:rsid w:val="0088065F"/>
    <w:rPr>
      <w:sz w:val="20"/>
      <w:szCs w:val="20"/>
    </w:rPr>
  </w:style>
  <w:style w:type="character" w:customStyle="1" w:styleId="FootnoteTextChar">
    <w:name w:val="Footnote Text Char"/>
    <w:basedOn w:val="DefaultParagraphFont"/>
    <w:link w:val="FootnoteText"/>
    <w:uiPriority w:val="99"/>
    <w:semiHidden/>
    <w:rsid w:val="0088065F"/>
    <w:rPr>
      <w:sz w:val="20"/>
      <w:szCs w:val="20"/>
    </w:rPr>
  </w:style>
  <w:style w:type="character" w:styleId="FootnoteReference">
    <w:name w:val="footnote reference"/>
    <w:basedOn w:val="DefaultParagraphFont"/>
    <w:uiPriority w:val="99"/>
    <w:semiHidden/>
    <w:unhideWhenUsed/>
    <w:rsid w:val="0088065F"/>
    <w:rPr>
      <w:vertAlign w:val="superscript"/>
    </w:rPr>
  </w:style>
  <w:style w:type="character" w:styleId="CommentReference">
    <w:name w:val="annotation reference"/>
    <w:basedOn w:val="DefaultParagraphFont"/>
    <w:uiPriority w:val="99"/>
    <w:semiHidden/>
    <w:unhideWhenUsed/>
    <w:rsid w:val="00EE4006"/>
    <w:rPr>
      <w:sz w:val="16"/>
      <w:szCs w:val="16"/>
    </w:rPr>
  </w:style>
  <w:style w:type="paragraph" w:styleId="CommentText">
    <w:name w:val="annotation text"/>
    <w:basedOn w:val="Normal"/>
    <w:link w:val="CommentTextChar"/>
    <w:uiPriority w:val="99"/>
    <w:semiHidden/>
    <w:unhideWhenUsed/>
    <w:rsid w:val="00EE4006"/>
    <w:rPr>
      <w:sz w:val="20"/>
      <w:szCs w:val="20"/>
    </w:rPr>
  </w:style>
  <w:style w:type="character" w:customStyle="1" w:styleId="CommentTextChar">
    <w:name w:val="Comment Text Char"/>
    <w:basedOn w:val="DefaultParagraphFont"/>
    <w:link w:val="CommentText"/>
    <w:uiPriority w:val="99"/>
    <w:semiHidden/>
    <w:rsid w:val="00EE4006"/>
    <w:rPr>
      <w:sz w:val="20"/>
      <w:szCs w:val="20"/>
    </w:rPr>
  </w:style>
  <w:style w:type="paragraph" w:styleId="CommentSubject">
    <w:name w:val="annotation subject"/>
    <w:basedOn w:val="CommentText"/>
    <w:next w:val="CommentText"/>
    <w:link w:val="CommentSubjectChar"/>
    <w:uiPriority w:val="99"/>
    <w:semiHidden/>
    <w:unhideWhenUsed/>
    <w:rsid w:val="00EE4006"/>
    <w:rPr>
      <w:b/>
      <w:bCs/>
    </w:rPr>
  </w:style>
  <w:style w:type="character" w:customStyle="1" w:styleId="CommentSubjectChar">
    <w:name w:val="Comment Subject Char"/>
    <w:basedOn w:val="CommentTextChar"/>
    <w:link w:val="CommentSubject"/>
    <w:uiPriority w:val="99"/>
    <w:semiHidden/>
    <w:rsid w:val="00EE4006"/>
    <w:rPr>
      <w:b/>
      <w:bCs/>
      <w:sz w:val="20"/>
      <w:szCs w:val="20"/>
    </w:rPr>
  </w:style>
  <w:style w:type="paragraph" w:styleId="BalloonText">
    <w:name w:val="Balloon Text"/>
    <w:basedOn w:val="Normal"/>
    <w:link w:val="BalloonTextChar"/>
    <w:uiPriority w:val="99"/>
    <w:semiHidden/>
    <w:unhideWhenUsed/>
    <w:rsid w:val="00EE400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E4006"/>
    <w:rPr>
      <w:rFonts w:ascii="Times New Roman" w:hAnsi="Times New Roman" w:cs="Times New Roman"/>
      <w:sz w:val="18"/>
      <w:szCs w:val="18"/>
    </w:rPr>
  </w:style>
  <w:style w:type="paragraph" w:styleId="ListParagraph">
    <w:name w:val="List Paragraph"/>
    <w:basedOn w:val="Normal"/>
    <w:uiPriority w:val="34"/>
    <w:qFormat/>
    <w:rsid w:val="00EE4006"/>
    <w:pPr>
      <w:ind w:left="720"/>
      <w:contextualSpacing/>
    </w:pPr>
  </w:style>
  <w:style w:type="paragraph" w:styleId="Header">
    <w:name w:val="header"/>
    <w:basedOn w:val="Normal"/>
    <w:link w:val="HeaderChar"/>
    <w:uiPriority w:val="99"/>
    <w:unhideWhenUsed/>
    <w:rsid w:val="001D3944"/>
    <w:pPr>
      <w:tabs>
        <w:tab w:val="center" w:pos="4680"/>
        <w:tab w:val="right" w:pos="9360"/>
      </w:tabs>
    </w:pPr>
  </w:style>
  <w:style w:type="character" w:customStyle="1" w:styleId="HeaderChar">
    <w:name w:val="Header Char"/>
    <w:basedOn w:val="DefaultParagraphFont"/>
    <w:link w:val="Header"/>
    <w:uiPriority w:val="99"/>
    <w:rsid w:val="001D3944"/>
  </w:style>
  <w:style w:type="paragraph" w:styleId="Footer">
    <w:name w:val="footer"/>
    <w:basedOn w:val="Normal"/>
    <w:link w:val="FooterChar"/>
    <w:uiPriority w:val="99"/>
    <w:unhideWhenUsed/>
    <w:rsid w:val="001D3944"/>
    <w:pPr>
      <w:tabs>
        <w:tab w:val="center" w:pos="4680"/>
        <w:tab w:val="right" w:pos="9360"/>
      </w:tabs>
    </w:pPr>
  </w:style>
  <w:style w:type="character" w:customStyle="1" w:styleId="FooterChar">
    <w:name w:val="Footer Char"/>
    <w:basedOn w:val="DefaultParagraphFont"/>
    <w:link w:val="Footer"/>
    <w:uiPriority w:val="99"/>
    <w:rsid w:val="001D3944"/>
  </w:style>
  <w:style w:type="character" w:styleId="UnresolvedMention">
    <w:name w:val="Unresolved Mention"/>
    <w:basedOn w:val="DefaultParagraphFont"/>
    <w:uiPriority w:val="99"/>
    <w:semiHidden/>
    <w:unhideWhenUsed/>
    <w:rsid w:val="00DF77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180915">
      <w:bodyDiv w:val="1"/>
      <w:marLeft w:val="0"/>
      <w:marRight w:val="0"/>
      <w:marTop w:val="0"/>
      <w:marBottom w:val="0"/>
      <w:divBdr>
        <w:top w:val="none" w:sz="0" w:space="0" w:color="auto"/>
        <w:left w:val="none" w:sz="0" w:space="0" w:color="auto"/>
        <w:bottom w:val="none" w:sz="0" w:space="0" w:color="auto"/>
        <w:right w:val="none" w:sz="0" w:space="0" w:color="auto"/>
      </w:divBdr>
    </w:div>
    <w:div w:id="1782261837">
      <w:bodyDiv w:val="1"/>
      <w:marLeft w:val="0"/>
      <w:marRight w:val="0"/>
      <w:marTop w:val="0"/>
      <w:marBottom w:val="0"/>
      <w:divBdr>
        <w:top w:val="none" w:sz="0" w:space="0" w:color="auto"/>
        <w:left w:val="none" w:sz="0" w:space="0" w:color="auto"/>
        <w:bottom w:val="none" w:sz="0" w:space="0" w:color="auto"/>
        <w:right w:val="none" w:sz="0" w:space="0" w:color="auto"/>
      </w:divBdr>
    </w:div>
    <w:div w:id="204756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zotero.org/google-docs/?LKNlrW" TargetMode="External"/><Relationship Id="rId2" Type="http://schemas.openxmlformats.org/officeDocument/2006/relationships/hyperlink" Target="https://www.zotero.org/google-docs/?LKNlrW" TargetMode="External"/><Relationship Id="rId1" Type="http://schemas.openxmlformats.org/officeDocument/2006/relationships/hyperlink" Target="https://www.zotero.org/google-docs/?LKNlr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CE8E0-7586-B145-AE4E-4D118F5DD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1946</Words>
  <Characters>11094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Tilton, Lauren</dc:creator>
  <cp:keywords/>
  <dc:description/>
  <cp:lastModifiedBy>Tilton, Lauren</cp:lastModifiedBy>
  <cp:revision>14</cp:revision>
  <dcterms:created xsi:type="dcterms:W3CDTF">2021-03-14T15:24:00Z</dcterms:created>
  <dcterms:modified xsi:type="dcterms:W3CDTF">2021-03-14T16:50:00Z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id="nLmdkYhz"/&gt;&lt;style id="http://www.zotero.org/styles/chicago-fullnote-bibliography" locale="en-US" hasBibliography="1" bibliographyStyleHasBeenSet="0"/&gt;&lt;prefs&gt;&lt;pref name="fieldType" value="Field"/&gt;</vt:lpwstr>
  </property>
  <property fmtid="{D5CDD505-2E9C-101B-9397-08002B2CF9AE}" pid="3" name="ZOTERO_PREF_2">
    <vt:lpwstr>&lt;pref name="noteType" value="1"/&gt;&lt;/prefs&gt;&lt;/data&gt;</vt:lpwstr>
  </property>
</Properties>
</file>