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6A90" w14:textId="4839471A" w:rsidR="0045189E" w:rsidRPr="00963B52" w:rsidRDefault="0045189E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63B52">
        <w:rPr>
          <w:rFonts w:ascii="Times New Roman" w:eastAsia="Times New Roman" w:hAnsi="Times New Roman" w:cs="Times New Roman"/>
          <w:b/>
          <w:bCs/>
          <w:sz w:val="32"/>
          <w:szCs w:val="32"/>
        </w:rPr>
        <w:t>Readings</w:t>
      </w:r>
      <w:r w:rsidR="009F6B99" w:rsidRPr="00963B5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SF2323</w:t>
      </w:r>
      <w:r w:rsidR="0095693C" w:rsidRPr="00963B52">
        <w:rPr>
          <w:rFonts w:ascii="Times New Roman" w:eastAsia="Times New Roman" w:hAnsi="Times New Roman" w:cs="Times New Roman"/>
          <w:b/>
          <w:bCs/>
          <w:sz w:val="32"/>
          <w:szCs w:val="32"/>
        </w:rPr>
        <w:t>, Fall 202</w:t>
      </w:r>
      <w:r w:rsidR="008E3FBB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3516F067" w14:textId="77777777" w:rsidR="009F6B99" w:rsidRPr="00963B52" w:rsidRDefault="009F6B99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489A16" w14:textId="2B86B97A" w:rsidR="0045189E" w:rsidRPr="00963B52" w:rsidRDefault="008B6BEF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63B52">
        <w:rPr>
          <w:rFonts w:ascii="Times New Roman" w:eastAsia="Times New Roman" w:hAnsi="Times New Roman" w:cs="Times New Roman"/>
          <w:b/>
          <w:bCs/>
          <w:sz w:val="28"/>
          <w:szCs w:val="28"/>
        </w:rPr>
        <w:t>Module 1: Research questions, research design, and research ethics</w:t>
      </w:r>
    </w:p>
    <w:p w14:paraId="53C4F864" w14:textId="77777777" w:rsidR="003A46CC" w:rsidRPr="00963B52" w:rsidRDefault="003A46CC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D3D6FB" w14:textId="45D7425A" w:rsidR="003E4A6A" w:rsidRPr="004D4E25" w:rsidRDefault="005B2C88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D4E2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Qualitative research questions and design</w:t>
      </w:r>
    </w:p>
    <w:p w14:paraId="73DD9CE9" w14:textId="05F9D83A" w:rsidR="003E4A6A" w:rsidRPr="004D4E25" w:rsidRDefault="003E4A6A" w:rsidP="004D4E25">
      <w:pPr>
        <w:numPr>
          <w:ilvl w:val="0"/>
          <w:numId w:val="1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</w:pP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 xml:space="preserve">Bryman, A. (2016). </w:t>
      </w:r>
      <w:r w:rsidRPr="004D4E25">
        <w:rPr>
          <w:rFonts w:ascii="Times New Roman" w:eastAsia="Times New Roman" w:hAnsi="Times New Roman" w:cs="Times New Roman"/>
          <w:i/>
          <w:color w:val="323130"/>
          <w:sz w:val="24"/>
          <w:szCs w:val="24"/>
          <w:lang w:eastAsia="sv-SE"/>
        </w:rPr>
        <w:t>Social research m</w:t>
      </w:r>
      <w:r w:rsidR="00963B52" w:rsidRPr="004D4E25">
        <w:rPr>
          <w:rFonts w:ascii="Times New Roman" w:eastAsia="Times New Roman" w:hAnsi="Times New Roman" w:cs="Times New Roman"/>
          <w:i/>
          <w:color w:val="323130"/>
          <w:sz w:val="24"/>
          <w:szCs w:val="24"/>
          <w:lang w:eastAsia="sv-SE"/>
        </w:rPr>
        <w:t>ethods.</w:t>
      </w:r>
      <w:r w:rsidR="00963B52"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 xml:space="preserve"> Oxford University Press (chapter 1).</w:t>
      </w:r>
      <w:r w:rsidR="00AB0AC1"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 xml:space="preserve"> Available on Canvas. </w:t>
      </w:r>
    </w:p>
    <w:p w14:paraId="43D81118" w14:textId="6DB89949" w:rsidR="003E4A6A" w:rsidRPr="004D4E25" w:rsidRDefault="003E4A6A" w:rsidP="004D4E25">
      <w:pPr>
        <w:numPr>
          <w:ilvl w:val="0"/>
          <w:numId w:val="1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</w:pP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 xml:space="preserve">Gerring, J. (2017). </w:t>
      </w:r>
      <w:r w:rsidR="0012228E"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>“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>Qualitative methods</w:t>
      </w:r>
      <w:r w:rsidR="0012228E"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>”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 xml:space="preserve">. </w:t>
      </w:r>
      <w:r w:rsidRPr="004D4E25">
        <w:rPr>
          <w:rFonts w:ascii="Times New Roman" w:eastAsia="Times New Roman" w:hAnsi="Times New Roman" w:cs="Times New Roman"/>
          <w:i/>
          <w:color w:val="323130"/>
          <w:sz w:val="24"/>
          <w:szCs w:val="24"/>
          <w:lang w:eastAsia="sv-SE"/>
        </w:rPr>
        <w:t>Annual Review of Political Science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>, 20, 15-36.</w:t>
      </w:r>
    </w:p>
    <w:p w14:paraId="5B47EC67" w14:textId="0C82B98B" w:rsidR="004D4E25" w:rsidRDefault="00212CD5" w:rsidP="004D4E25">
      <w:pPr>
        <w:numPr>
          <w:ilvl w:val="0"/>
          <w:numId w:val="1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</w:pPr>
      <w:proofErr w:type="spellStart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>Kuckartz</w:t>
      </w:r>
      <w:proofErr w:type="spellEnd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 xml:space="preserve">, U. (2014). </w:t>
      </w:r>
      <w:r w:rsidR="0012228E"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>“</w:t>
      </w:r>
      <w:proofErr w:type="spellStart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>Analysing</w:t>
      </w:r>
      <w:proofErr w:type="spellEnd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 xml:space="preserve"> qualitative data – but how?</w:t>
      </w:r>
      <w:r w:rsidR="0012228E"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>”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 xml:space="preserve"> </w:t>
      </w:r>
      <w:proofErr w:type="spellStart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>Kuckartz</w:t>
      </w:r>
      <w:proofErr w:type="spellEnd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 xml:space="preserve">, U. </w:t>
      </w:r>
      <w:r w:rsidRPr="004D4E25">
        <w:rPr>
          <w:rFonts w:ascii="Times New Roman" w:eastAsia="Times New Roman" w:hAnsi="Times New Roman" w:cs="Times New Roman"/>
          <w:i/>
          <w:color w:val="323130"/>
          <w:sz w:val="24"/>
          <w:szCs w:val="24"/>
          <w:lang w:eastAsia="sv-SE"/>
        </w:rPr>
        <w:t>Qualitative text analysis: A guide to methods, practice &amp; using software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 xml:space="preserve"> (pp. 1-14). London: SAGE Publications Ltd</w:t>
      </w:r>
      <w:r w:rsidR="00AB0AC1"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 xml:space="preserve">. Available on Canvas. </w:t>
      </w:r>
    </w:p>
    <w:p w14:paraId="4CE48B27" w14:textId="77777777" w:rsidR="00161A1F" w:rsidRDefault="00161A1F" w:rsidP="00161A1F">
      <w:pPr>
        <w:spacing w:after="0" w:line="360" w:lineRule="auto"/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</w:pPr>
    </w:p>
    <w:p w14:paraId="469BFF7C" w14:textId="77777777" w:rsidR="00161A1F" w:rsidRPr="004D4E25" w:rsidRDefault="00161A1F" w:rsidP="00161A1F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D4E2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Research Ethics</w:t>
      </w:r>
    </w:p>
    <w:p w14:paraId="69A5096B" w14:textId="77777777" w:rsidR="00161A1F" w:rsidRPr="004D4E25" w:rsidRDefault="00161A1F" w:rsidP="00161A1F">
      <w:pPr>
        <w:numPr>
          <w:ilvl w:val="0"/>
          <w:numId w:val="1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</w:pP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 xml:space="preserve">Wolff-Michael Roth &amp; Hella von Unger (2018). “Current Perspectives on Research Ethics in Qualitative Research”. </w:t>
      </w:r>
      <w:r w:rsidRPr="004D4E25">
        <w:rPr>
          <w:rFonts w:ascii="Times New Roman" w:eastAsia="Times New Roman" w:hAnsi="Times New Roman" w:cs="Times New Roman"/>
          <w:i/>
          <w:color w:val="323130"/>
          <w:sz w:val="24"/>
          <w:szCs w:val="24"/>
          <w:lang w:eastAsia="sv-SE"/>
        </w:rPr>
        <w:t>Volume Forum Qualitative Research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>, 19(3): Art. 33, url: </w:t>
      </w:r>
      <w:hyperlink r:id="rId5" w:tgtFrame="_blank" w:tooltip="https://www.qualitative-research.net/index.php/fqs/article/view/3155/4305" w:history="1">
        <w:r w:rsidRPr="004D4E25">
          <w:rPr>
            <w:rFonts w:ascii="Times New Roman" w:eastAsia="Times New Roman" w:hAnsi="Times New Roman" w:cs="Times New Roman"/>
            <w:color w:val="0070C0"/>
            <w:sz w:val="24"/>
            <w:szCs w:val="24"/>
            <w:lang w:eastAsia="sv-SE"/>
          </w:rPr>
          <w:t>https://www.qualitative-research.net/index.php/fqs/article/view/3155/4305</w:t>
        </w:r>
      </w:hyperlink>
      <w:r w:rsidRPr="004D4E25">
        <w:rPr>
          <w:rFonts w:ascii="Times New Roman" w:eastAsia="Times New Roman" w:hAnsi="Times New Roman" w:cs="Times New Roman"/>
          <w:color w:val="0070C0"/>
          <w:sz w:val="24"/>
          <w:szCs w:val="24"/>
          <w:lang w:eastAsia="sv-SE"/>
        </w:rPr>
        <w:t> 2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>.</w:t>
      </w:r>
    </w:p>
    <w:p w14:paraId="7B6731BF" w14:textId="77777777" w:rsidR="00161A1F" w:rsidRPr="004D4E25" w:rsidRDefault="00161A1F" w:rsidP="00161A1F">
      <w:pPr>
        <w:numPr>
          <w:ilvl w:val="0"/>
          <w:numId w:val="1"/>
        </w:numPr>
        <w:spacing w:after="0" w:line="360" w:lineRule="auto"/>
        <w:ind w:left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 xml:space="preserve">Dilmi </w:t>
      </w:r>
      <w:proofErr w:type="spellStart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>Aluwihare</w:t>
      </w:r>
      <w:proofErr w:type="spellEnd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 xml:space="preserve">-Samaranayake (2012). “Ethics in Qualitative Research: A View of the Participants’ and Researchers’ World from a Critical Standpoint”. </w:t>
      </w:r>
      <w:r w:rsidRPr="004D4E25">
        <w:rPr>
          <w:rFonts w:ascii="Times New Roman" w:eastAsia="Times New Roman" w:hAnsi="Times New Roman" w:cs="Times New Roman"/>
          <w:i/>
          <w:color w:val="323130"/>
          <w:sz w:val="24"/>
          <w:szCs w:val="24"/>
          <w:lang w:eastAsia="sv-SE"/>
        </w:rPr>
        <w:t>International Journal of Qualitative Methods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  <w:t xml:space="preserve"> 11(2):64-81, url: </w:t>
      </w:r>
      <w:hyperlink r:id="rId6" w:tgtFrame="_blank" w:tooltip="https://www.researchgate.net/publication/233708898_ethics_in_qualitative_research_a_view_of_the_participants%27_and_researchers%27_world_from_a_critical_standpoint" w:history="1">
        <w:r w:rsidRPr="004D4E25">
          <w:rPr>
            <w:rFonts w:ascii="Times New Roman" w:eastAsia="Times New Roman" w:hAnsi="Times New Roman" w:cs="Times New Roman"/>
            <w:color w:val="0070C0"/>
            <w:sz w:val="24"/>
            <w:szCs w:val="24"/>
            <w:lang w:eastAsia="sv-SE"/>
          </w:rPr>
          <w:t>https://www.researchgate.net/publication/233708898_Ethics_in_Qualitative_Research_A_View_of_the_Participants%27_and_Researchers%27_World_from_a_Critical_Standpoint</w:t>
        </w:r>
      </w:hyperlink>
    </w:p>
    <w:p w14:paraId="47CAB559" w14:textId="77777777" w:rsidR="00161A1F" w:rsidRPr="00161A1F" w:rsidRDefault="00161A1F" w:rsidP="00161A1F">
      <w:pPr>
        <w:spacing w:after="0" w:line="360" w:lineRule="auto"/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</w:pPr>
    </w:p>
    <w:p w14:paraId="3588CADD" w14:textId="0B767A8B" w:rsidR="004734B7" w:rsidRPr="004D4E25" w:rsidRDefault="005B2C88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D4E2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Approaches to science</w:t>
      </w:r>
    </w:p>
    <w:p w14:paraId="3B8F1745" w14:textId="10FEE61E" w:rsidR="004734B7" w:rsidRPr="004D4E25" w:rsidRDefault="004734B7" w:rsidP="004D4E25">
      <w:pPr>
        <w:pStyle w:val="Liststycke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0"/>
        <w:rPr>
          <w:rFonts w:ascii="Times New Roman" w:hAnsi="Times New Roman" w:cs="Times New Roman"/>
          <w:i/>
          <w:iCs/>
          <w:sz w:val="24"/>
          <w:szCs w:val="24"/>
        </w:rPr>
      </w:pPr>
      <w:r w:rsidRPr="004D4E25">
        <w:rPr>
          <w:rFonts w:ascii="Times New Roman" w:hAnsi="Times New Roman" w:cs="Times New Roman"/>
          <w:sz w:val="24"/>
          <w:szCs w:val="24"/>
        </w:rPr>
        <w:t xml:space="preserve">Fox, N.J. (2008) </w:t>
      </w:r>
      <w:r w:rsidR="0012228E" w:rsidRPr="004D4E25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4D4E25">
        <w:rPr>
          <w:rFonts w:ascii="Times New Roman" w:hAnsi="Times New Roman" w:cs="Times New Roman"/>
          <w:sz w:val="24"/>
          <w:szCs w:val="24"/>
        </w:rPr>
        <w:t>Post-positivism</w:t>
      </w:r>
      <w:proofErr w:type="gramEnd"/>
      <w:r w:rsidR="0012228E" w:rsidRPr="004D4E25">
        <w:rPr>
          <w:rFonts w:ascii="Times New Roman" w:hAnsi="Times New Roman" w:cs="Times New Roman"/>
          <w:sz w:val="24"/>
          <w:szCs w:val="24"/>
        </w:rPr>
        <w:t>”</w:t>
      </w:r>
      <w:r w:rsidRPr="004D4E25">
        <w:rPr>
          <w:rFonts w:ascii="Times New Roman" w:hAnsi="Times New Roman" w:cs="Times New Roman"/>
          <w:sz w:val="24"/>
          <w:szCs w:val="24"/>
        </w:rPr>
        <w:t xml:space="preserve">. In: Given, L.M. (ed.) </w:t>
      </w:r>
      <w:r w:rsidRPr="004D4E25">
        <w:rPr>
          <w:rFonts w:ascii="Times New Roman" w:hAnsi="Times New Roman" w:cs="Times New Roman"/>
          <w:i/>
          <w:iCs/>
          <w:sz w:val="24"/>
          <w:szCs w:val="24"/>
        </w:rPr>
        <w:t xml:space="preserve">The SAGE </w:t>
      </w:r>
      <w:proofErr w:type="spellStart"/>
      <w:r w:rsidRPr="004D4E25">
        <w:rPr>
          <w:rFonts w:ascii="Times New Roman" w:hAnsi="Times New Roman" w:cs="Times New Roman"/>
          <w:i/>
          <w:iCs/>
          <w:sz w:val="24"/>
          <w:szCs w:val="24"/>
        </w:rPr>
        <w:t>Encyclopaedia</w:t>
      </w:r>
      <w:proofErr w:type="spellEnd"/>
      <w:r w:rsidRPr="004D4E25">
        <w:rPr>
          <w:rFonts w:ascii="Times New Roman" w:hAnsi="Times New Roman" w:cs="Times New Roman"/>
          <w:i/>
          <w:iCs/>
          <w:sz w:val="24"/>
          <w:szCs w:val="24"/>
        </w:rPr>
        <w:t xml:space="preserve"> of</w:t>
      </w:r>
      <w:r w:rsidR="00AB0AC1" w:rsidRPr="004D4E2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D4E25">
        <w:rPr>
          <w:rFonts w:ascii="Times New Roman" w:hAnsi="Times New Roman" w:cs="Times New Roman"/>
          <w:i/>
          <w:iCs/>
          <w:sz w:val="24"/>
          <w:szCs w:val="24"/>
        </w:rPr>
        <w:t xml:space="preserve">Qualitative Research Methods. </w:t>
      </w:r>
      <w:r w:rsidRPr="004D4E25">
        <w:rPr>
          <w:rFonts w:ascii="Times New Roman" w:hAnsi="Times New Roman" w:cs="Times New Roman"/>
          <w:sz w:val="24"/>
          <w:szCs w:val="24"/>
        </w:rPr>
        <w:t>London: Sage.</w:t>
      </w:r>
      <w:r w:rsidR="003F71D0" w:rsidRPr="004D4E25">
        <w:rPr>
          <w:rFonts w:ascii="Times New Roman" w:hAnsi="Times New Roman" w:cs="Times New Roman"/>
          <w:sz w:val="24"/>
          <w:szCs w:val="24"/>
        </w:rPr>
        <w:t xml:space="preserve"> Available on Canvas. </w:t>
      </w:r>
    </w:p>
    <w:p w14:paraId="05297CD3" w14:textId="26CF0F0C" w:rsidR="004734B7" w:rsidRPr="004D4E25" w:rsidRDefault="004734B7" w:rsidP="004D4E25">
      <w:pPr>
        <w:pStyle w:val="Liststycke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4D4E25">
        <w:rPr>
          <w:rFonts w:ascii="Times New Roman" w:eastAsia="Times New Roman" w:hAnsi="Times New Roman" w:cs="Times New Roman"/>
          <w:sz w:val="24"/>
          <w:szCs w:val="24"/>
        </w:rPr>
        <w:t xml:space="preserve">Hammersley, M. (2019). </w:t>
      </w:r>
      <w:r w:rsidR="0012228E" w:rsidRPr="004D4E25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D4E25">
        <w:rPr>
          <w:rFonts w:ascii="Times New Roman" w:eastAsia="Times New Roman" w:hAnsi="Times New Roman" w:cs="Times New Roman"/>
          <w:sz w:val="24"/>
          <w:szCs w:val="24"/>
        </w:rPr>
        <w:t>From Positivism to Post-Positivism: Progress or Digression?</w:t>
      </w:r>
      <w:r w:rsidR="0012228E" w:rsidRPr="004D4E25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D4E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4E2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Teoria </w:t>
      </w:r>
      <w:proofErr w:type="spellStart"/>
      <w:r w:rsidRPr="004D4E25">
        <w:rPr>
          <w:rFonts w:ascii="Times New Roman" w:eastAsia="Times New Roman" w:hAnsi="Times New Roman" w:cs="Times New Roman"/>
          <w:i/>
          <w:iCs/>
          <w:sz w:val="24"/>
          <w:szCs w:val="24"/>
        </w:rPr>
        <w:t>Polityki</w:t>
      </w:r>
      <w:proofErr w:type="spellEnd"/>
      <w:r w:rsidRPr="004D4E25">
        <w:rPr>
          <w:rFonts w:ascii="Times New Roman" w:eastAsia="Times New Roman" w:hAnsi="Times New Roman" w:cs="Times New Roman"/>
          <w:sz w:val="24"/>
          <w:szCs w:val="24"/>
        </w:rPr>
        <w:t>, (3), 175-188.</w:t>
      </w:r>
    </w:p>
    <w:p w14:paraId="1006AC74" w14:textId="77777777" w:rsidR="004211B0" w:rsidRPr="004D4E25" w:rsidRDefault="004211B0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3037928" w14:textId="77777777" w:rsidR="002C5E69" w:rsidRPr="004D4E25" w:rsidRDefault="002C5E69" w:rsidP="004D4E25">
      <w:p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D4E25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Comparative case study design </w:t>
      </w:r>
    </w:p>
    <w:p w14:paraId="474BCA4C" w14:textId="77777777" w:rsidR="002C5E69" w:rsidRPr="004D4E25" w:rsidRDefault="002C5E69" w:rsidP="004D4E25">
      <w:pPr>
        <w:numPr>
          <w:ilvl w:val="0"/>
          <w:numId w:val="8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Geddes, Barbara. “How the Cases You Choose Affect the Answers You Get.” </w:t>
      </w:r>
      <w:r w:rsidRPr="004D4E25">
        <w:rPr>
          <w:rFonts w:ascii="Times New Roman" w:eastAsia="Times New Roman" w:hAnsi="Times New Roman" w:cs="Times New Roman"/>
          <w:i/>
          <w:iCs/>
          <w:color w:val="323130"/>
          <w:sz w:val="24"/>
          <w:szCs w:val="24"/>
        </w:rPr>
        <w:t>Political Analysis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 2 (1990): 131-149. </w:t>
      </w:r>
    </w:p>
    <w:p w14:paraId="419CAC7C" w14:textId="77777777" w:rsidR="002C5E69" w:rsidRPr="004D4E25" w:rsidRDefault="002C5E69" w:rsidP="004D4E25">
      <w:pPr>
        <w:numPr>
          <w:ilvl w:val="0"/>
          <w:numId w:val="8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lastRenderedPageBreak/>
        <w:t>Gerring, John. “The Case Study: What It is and What It Does,” in Carles Boix and Susan C. Stokes, eds. </w:t>
      </w:r>
      <w:r w:rsidRPr="004D4E25">
        <w:rPr>
          <w:rFonts w:ascii="Times New Roman" w:eastAsia="Times New Roman" w:hAnsi="Times New Roman" w:cs="Times New Roman"/>
          <w:i/>
          <w:iCs/>
          <w:color w:val="323130"/>
          <w:sz w:val="24"/>
          <w:szCs w:val="24"/>
        </w:rPr>
        <w:t>The Oxford Handbook of Comparative Politics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. Oxford: Oxford University Press, 2007. Pp. 901-22. Available on Canvas</w:t>
      </w:r>
      <w:r w:rsidRPr="004D4E25">
        <w:rPr>
          <w:rFonts w:ascii="Times New Roman" w:eastAsia="Times New Roman" w:hAnsi="Times New Roman" w:cs="Times New Roman"/>
          <w:b/>
          <w:bCs/>
          <w:color w:val="323130"/>
          <w:sz w:val="24"/>
          <w:szCs w:val="24"/>
        </w:rPr>
        <w:t>.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   </w:t>
      </w:r>
    </w:p>
    <w:p w14:paraId="3291F9F3" w14:textId="77777777" w:rsidR="002C5E69" w:rsidRPr="004D4E25" w:rsidRDefault="002C5E69" w:rsidP="004D4E25">
      <w:pPr>
        <w:numPr>
          <w:ilvl w:val="0"/>
          <w:numId w:val="8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Slater, Dan and Daniel Ziblatt. “The Enduring Indispensability of Controlled Comparison.” Comparative Political Studies 46.10 (2013): 1301-1327. </w:t>
      </w:r>
      <w:r w:rsidRPr="004D4E2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4D4E2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4D4E25">
        <w:rPr>
          <w:rFonts w:ascii="Times New Roman" w:eastAsia="Times New Roman" w:hAnsi="Times New Roman" w:cs="Times New Roman"/>
          <w:i/>
          <w:iCs/>
          <w:color w:val="323130"/>
          <w:sz w:val="24"/>
          <w:szCs w:val="24"/>
        </w:rPr>
        <w:t>Other relevant readings: </w:t>
      </w:r>
    </w:p>
    <w:p w14:paraId="252E9E25" w14:textId="77777777" w:rsidR="002C5E69" w:rsidRPr="004D4E25" w:rsidRDefault="002C5E69" w:rsidP="004D4E25">
      <w:pPr>
        <w:numPr>
          <w:ilvl w:val="0"/>
          <w:numId w:val="8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Lieberman, Evan. “Nested Analysis as a Mixed Method Strategy for Comparative Research.” </w:t>
      </w:r>
      <w:r w:rsidRPr="004D4E25">
        <w:rPr>
          <w:rFonts w:ascii="Times New Roman" w:eastAsia="Times New Roman" w:hAnsi="Times New Roman" w:cs="Times New Roman"/>
          <w:i/>
          <w:iCs/>
          <w:color w:val="323130"/>
          <w:sz w:val="24"/>
          <w:szCs w:val="24"/>
        </w:rPr>
        <w:t>American Political Science Review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 99.3 (2005): 435-52. </w:t>
      </w:r>
    </w:p>
    <w:p w14:paraId="0875B422" w14:textId="77777777" w:rsidR="002C5E69" w:rsidRPr="004D4E25" w:rsidRDefault="002C5E69" w:rsidP="004D4E25">
      <w:pPr>
        <w:numPr>
          <w:ilvl w:val="0"/>
          <w:numId w:val="8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Lijphart</w:t>
      </w:r>
      <w:proofErr w:type="spellEnd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, Arend. “The Comparable Cases Strategy in Comparative Research.” </w:t>
      </w:r>
      <w:r w:rsidRPr="004D4E25">
        <w:rPr>
          <w:rFonts w:ascii="Times New Roman" w:eastAsia="Times New Roman" w:hAnsi="Times New Roman" w:cs="Times New Roman"/>
          <w:i/>
          <w:iCs/>
          <w:color w:val="323130"/>
          <w:sz w:val="24"/>
          <w:szCs w:val="24"/>
        </w:rPr>
        <w:t xml:space="preserve">Comparative Political </w:t>
      </w:r>
      <w:proofErr w:type="gramStart"/>
      <w:r w:rsidRPr="004D4E25">
        <w:rPr>
          <w:rFonts w:ascii="Times New Roman" w:eastAsia="Times New Roman" w:hAnsi="Times New Roman" w:cs="Times New Roman"/>
          <w:i/>
          <w:iCs/>
          <w:color w:val="323130"/>
          <w:sz w:val="24"/>
          <w:szCs w:val="24"/>
        </w:rPr>
        <w:t>Studies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(</w:t>
      </w:r>
      <w:proofErr w:type="gramEnd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July 1975): 158-177. </w:t>
      </w:r>
    </w:p>
    <w:p w14:paraId="268C22CB" w14:textId="77777777" w:rsidR="002C5E69" w:rsidRPr="004D4E25" w:rsidRDefault="002C5E69" w:rsidP="004D4E25">
      <w:pPr>
        <w:numPr>
          <w:ilvl w:val="0"/>
          <w:numId w:val="8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Seawright, Jason and John Gerring. “Case Selection Techniques in Case Study Research.” </w:t>
      </w:r>
      <w:r w:rsidRPr="004D4E25">
        <w:rPr>
          <w:rFonts w:ascii="Times New Roman" w:eastAsia="Times New Roman" w:hAnsi="Times New Roman" w:cs="Times New Roman"/>
          <w:i/>
          <w:iCs/>
          <w:color w:val="323130"/>
          <w:sz w:val="24"/>
          <w:szCs w:val="24"/>
        </w:rPr>
        <w:t>Political Research Quarterly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 61.2 (June 2008): 294-308.   </w:t>
      </w:r>
    </w:p>
    <w:p w14:paraId="691F8030" w14:textId="673BCDA1" w:rsidR="002C5E69" w:rsidRPr="004D4E25" w:rsidRDefault="002C5E69" w:rsidP="004D4E25">
      <w:pPr>
        <w:numPr>
          <w:ilvl w:val="0"/>
          <w:numId w:val="8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Ziblatt</w:t>
      </w:r>
      <w:proofErr w:type="spellEnd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, Daniel. “</w:t>
      </w:r>
      <w:proofErr w:type="gramStart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Of Course</w:t>
      </w:r>
      <w:proofErr w:type="gramEnd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 xml:space="preserve"> Generalize, But How? Returning to Middle Range Theory in Comparative Politics.” </w:t>
      </w:r>
      <w:r w:rsidRPr="004D4E25">
        <w:rPr>
          <w:rFonts w:ascii="Times New Roman" w:eastAsia="Times New Roman" w:hAnsi="Times New Roman" w:cs="Times New Roman"/>
          <w:i/>
          <w:iCs/>
          <w:color w:val="323130"/>
          <w:sz w:val="24"/>
          <w:szCs w:val="24"/>
        </w:rPr>
        <w:t>American Political Science Association-Comparative Politics Newsletter 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17.2 (2006): 8-11. </w:t>
      </w:r>
      <w:r w:rsidRPr="004D4E2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4D4E2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4D4E2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Process tracing </w:t>
      </w:r>
    </w:p>
    <w:p w14:paraId="7885A559" w14:textId="77777777" w:rsidR="002C5E69" w:rsidRPr="004D4E25" w:rsidRDefault="002C5E69" w:rsidP="004D4E25">
      <w:pPr>
        <w:numPr>
          <w:ilvl w:val="0"/>
          <w:numId w:val="8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Beach, Derek. 2017. “Process Tracing Methods in Social Science.” </w:t>
      </w:r>
      <w:r w:rsidRPr="004D4E25">
        <w:rPr>
          <w:rFonts w:ascii="Times New Roman" w:eastAsia="Times New Roman" w:hAnsi="Times New Roman" w:cs="Times New Roman"/>
          <w:i/>
          <w:iCs/>
          <w:color w:val="323130"/>
          <w:sz w:val="24"/>
          <w:szCs w:val="24"/>
        </w:rPr>
        <w:t>Oxford Research Encyclopedia of Politics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. Oxford: Oxford University Press. </w:t>
      </w:r>
    </w:p>
    <w:p w14:paraId="3A254776" w14:textId="77777777" w:rsidR="002C5E69" w:rsidRPr="004D4E25" w:rsidRDefault="002C5E69" w:rsidP="004D4E25">
      <w:pPr>
        <w:numPr>
          <w:ilvl w:val="0"/>
          <w:numId w:val="8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Collier, David. “Understanding Process Tracing.” </w:t>
      </w:r>
      <w:r w:rsidRPr="004D4E25">
        <w:rPr>
          <w:rFonts w:ascii="Times New Roman" w:eastAsia="Times New Roman" w:hAnsi="Times New Roman" w:cs="Times New Roman"/>
          <w:i/>
          <w:iCs/>
          <w:color w:val="323130"/>
          <w:sz w:val="24"/>
          <w:szCs w:val="24"/>
        </w:rPr>
        <w:t>PS: Political Science and Politics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 44.4 (October 2011): 823-30. </w:t>
      </w:r>
    </w:p>
    <w:p w14:paraId="433344B8" w14:textId="77777777" w:rsidR="002C5E69" w:rsidRPr="004D4E25" w:rsidRDefault="002C5E69" w:rsidP="004D4E25">
      <w:pPr>
        <w:numPr>
          <w:ilvl w:val="0"/>
          <w:numId w:val="8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Tilly, Charles. “To Explain Political Processes.” American Journal of Sociology (1995): 1594-1610. </w:t>
      </w:r>
    </w:p>
    <w:p w14:paraId="1449C456" w14:textId="14731E69" w:rsidR="0072732F" w:rsidRPr="004D4E25" w:rsidRDefault="002C5E69" w:rsidP="004D4E25">
      <w:pPr>
        <w:numPr>
          <w:ilvl w:val="0"/>
          <w:numId w:val="8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 xml:space="preserve">Trampusch, Christine, and </w:t>
      </w:r>
      <w:proofErr w:type="spellStart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Palier</w:t>
      </w:r>
      <w:proofErr w:type="spellEnd"/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, Bruno. 2017. Between X and Y: How Process Tracing Contributes to Opening the Black Box of Causality, </w:t>
      </w:r>
      <w:r w:rsidRPr="004D4E25">
        <w:rPr>
          <w:rFonts w:ascii="Times New Roman" w:eastAsia="Times New Roman" w:hAnsi="Times New Roman" w:cs="Times New Roman"/>
          <w:i/>
          <w:iCs/>
          <w:color w:val="323130"/>
          <w:sz w:val="24"/>
          <w:szCs w:val="24"/>
        </w:rPr>
        <w:t>New Political Economy</w:t>
      </w:r>
      <w:r w:rsidRPr="004D4E25">
        <w:rPr>
          <w:rFonts w:ascii="Times New Roman" w:eastAsia="Times New Roman" w:hAnsi="Times New Roman" w:cs="Times New Roman"/>
          <w:color w:val="323130"/>
          <w:sz w:val="24"/>
          <w:szCs w:val="24"/>
        </w:rPr>
        <w:t>, 21 (5): 437-454. </w:t>
      </w:r>
    </w:p>
    <w:p w14:paraId="5848B5FF" w14:textId="77777777" w:rsidR="004D4E25" w:rsidRPr="004D4E25" w:rsidRDefault="004D4E25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F32F29" w14:textId="77777777" w:rsidR="00161A1F" w:rsidRDefault="00161A1F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BBB90C" w14:textId="77777777" w:rsidR="00161A1F" w:rsidRDefault="00161A1F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06628A" w14:textId="77777777" w:rsidR="00161A1F" w:rsidRDefault="00161A1F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EC51F0" w14:textId="77777777" w:rsidR="00161A1F" w:rsidRDefault="00161A1F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566226" w14:textId="77777777" w:rsidR="00161A1F" w:rsidRDefault="00161A1F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613DDE" w14:textId="15103F3A" w:rsidR="00A61091" w:rsidRDefault="008B6BEF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4E2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Module </w:t>
      </w:r>
      <w:r w:rsidR="001654D9" w:rsidRPr="004D4E25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4D4E25">
        <w:rPr>
          <w:rFonts w:ascii="Times New Roman" w:eastAsia="Times New Roman" w:hAnsi="Times New Roman" w:cs="Times New Roman"/>
          <w:b/>
          <w:bCs/>
          <w:sz w:val="28"/>
          <w:szCs w:val="28"/>
        </w:rPr>
        <w:t>: Data collection, analysis, and interpretation</w:t>
      </w:r>
    </w:p>
    <w:p w14:paraId="433B0405" w14:textId="77777777" w:rsidR="008E3FBB" w:rsidRPr="008E3FBB" w:rsidRDefault="008E3FBB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5DAB0C" w14:textId="42EEA99E" w:rsidR="001654D9" w:rsidRPr="004D4E25" w:rsidRDefault="005B2C88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D4E2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Interviews</w:t>
      </w:r>
    </w:p>
    <w:p w14:paraId="4027B508" w14:textId="35398C29" w:rsidR="00377CB8" w:rsidRPr="001C0E37" w:rsidRDefault="00377CB8" w:rsidP="004D4E25">
      <w:pPr>
        <w:pStyle w:val="Liststycke"/>
        <w:numPr>
          <w:ilvl w:val="0"/>
          <w:numId w:val="4"/>
        </w:numPr>
        <w:spacing w:after="0" w:line="36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001C0E37">
        <w:rPr>
          <w:rFonts w:ascii="Times New Roman" w:hAnsi="Times New Roman" w:cs="Times New Roman"/>
          <w:color w:val="000000"/>
          <w:sz w:val="24"/>
          <w:szCs w:val="24"/>
        </w:rPr>
        <w:t xml:space="preserve">Magnusson, Eva and Jeanne Marecek (2015): </w:t>
      </w:r>
      <w:r w:rsidRPr="001C0E37">
        <w:rPr>
          <w:rFonts w:ascii="Times New Roman" w:hAnsi="Times New Roman" w:cs="Times New Roman"/>
          <w:i/>
          <w:iCs/>
          <w:color w:val="000000"/>
          <w:sz w:val="24"/>
          <w:szCs w:val="24"/>
        </w:rPr>
        <w:t>Doing Interview-based Qualitative Research: A Learner’s Guide</w:t>
      </w:r>
      <w:r w:rsidRPr="001C0E37">
        <w:rPr>
          <w:rFonts w:ascii="Times New Roman" w:hAnsi="Times New Roman" w:cs="Times New Roman"/>
          <w:color w:val="000000"/>
          <w:sz w:val="24"/>
          <w:szCs w:val="24"/>
        </w:rPr>
        <w:t>. Cambridge: Cambridge University Press. Available on GUNDA.</w:t>
      </w:r>
      <w:r w:rsidR="001C0E37" w:rsidRPr="001C0E37">
        <w:rPr>
          <w:rFonts w:ascii="Times New Roman" w:eastAsia="Calibri" w:hAnsi="Times New Roman" w:cs="Times New Roman"/>
          <w:color w:val="3F3F3F"/>
          <w:sz w:val="24"/>
          <w:szCs w:val="24"/>
        </w:rPr>
        <w:t xml:space="preserve"> Chapters 1, 3-8, and 12</w:t>
      </w:r>
    </w:p>
    <w:p w14:paraId="6D01B566" w14:textId="7AF89066" w:rsidR="001654D9" w:rsidRPr="00235963" w:rsidRDefault="001654D9" w:rsidP="004D4E25">
      <w:pPr>
        <w:pStyle w:val="Liststycke"/>
        <w:numPr>
          <w:ilvl w:val="0"/>
          <w:numId w:val="4"/>
        </w:numPr>
        <w:spacing w:after="0" w:line="360" w:lineRule="auto"/>
        <w:ind w:left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4E25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Lilleker</w:t>
      </w:r>
      <w:proofErr w:type="spellEnd"/>
      <w:r w:rsidRPr="004D4E25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D. G. (2003). </w:t>
      </w:r>
      <w:r w:rsidR="00235963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“</w:t>
      </w:r>
      <w:r w:rsidRPr="004D4E25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Interviewing the Political Elite: Navigating a Potential Minefield</w:t>
      </w:r>
      <w:r w:rsidR="00235963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”</w:t>
      </w:r>
      <w:r w:rsidRPr="004D4E25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  <w:r w:rsidRPr="004D4E25">
        <w:rPr>
          <w:rStyle w:val="apple-converted-space"/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Pr="004D4E25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</w:rPr>
        <w:t>Politics</w:t>
      </w:r>
      <w:r w:rsidRPr="004D4E25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,</w:t>
      </w:r>
      <w:r w:rsidRPr="004D4E25">
        <w:rPr>
          <w:rStyle w:val="apple-converted-space"/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Pr="004D4E25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</w:rPr>
        <w:t>23</w:t>
      </w:r>
      <w:r w:rsidRPr="004D4E25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(3), 207-214.</w:t>
      </w:r>
      <w:r w:rsidRPr="004D4E25">
        <w:rPr>
          <w:rStyle w:val="apple-converted-space"/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hyperlink r:id="rId7" w:history="1">
        <w:r w:rsidRPr="004D4E25">
          <w:rPr>
            <w:rStyle w:val="Hyperlnk"/>
            <w:rFonts w:ascii="Times New Roman" w:eastAsia="Times New Roman" w:hAnsi="Times New Roman" w:cs="Times New Roman"/>
            <w:color w:val="006ACC"/>
            <w:sz w:val="24"/>
            <w:szCs w:val="24"/>
          </w:rPr>
          <w:t>https://doi.org/10.1111/1467-9256.00198</w:t>
        </w:r>
      </w:hyperlink>
    </w:p>
    <w:p w14:paraId="076B858A" w14:textId="77777777" w:rsidR="001654D9" w:rsidRPr="004D4E25" w:rsidRDefault="001654D9" w:rsidP="004D4E25">
      <w:pPr>
        <w:pStyle w:val="Liststycke"/>
        <w:spacing w:after="0" w:line="36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2D234244" w14:textId="24441F7B" w:rsidR="009B3361" w:rsidRPr="004D4E25" w:rsidRDefault="005B2C88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D4E2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Observations</w:t>
      </w:r>
    </w:p>
    <w:p w14:paraId="1E50FE9A" w14:textId="64E1F2F9" w:rsidR="009B3361" w:rsidRPr="004D4E25" w:rsidRDefault="009B3361" w:rsidP="004D4E25">
      <w:pPr>
        <w:pStyle w:val="Liststycke"/>
        <w:numPr>
          <w:ilvl w:val="0"/>
          <w:numId w:val="1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</w:pPr>
      <w:r w:rsidRPr="004D4E25">
        <w:rPr>
          <w:rFonts w:ascii="Times New Roman" w:hAnsi="Times New Roman" w:cs="Times New Roman"/>
          <w:sz w:val="24"/>
          <w:szCs w:val="24"/>
        </w:rPr>
        <w:t xml:space="preserve">Miller, C. (2022). </w:t>
      </w:r>
      <w:r w:rsidR="00235963">
        <w:rPr>
          <w:rFonts w:ascii="Times New Roman" w:hAnsi="Times New Roman" w:cs="Times New Roman"/>
          <w:sz w:val="24"/>
          <w:szCs w:val="24"/>
        </w:rPr>
        <w:t>“</w:t>
      </w:r>
      <w:r w:rsidRPr="004D4E25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4D4E25">
        <w:rPr>
          <w:rFonts w:ascii="Times New Roman" w:hAnsi="Times New Roman" w:cs="Times New Roman"/>
          <w:sz w:val="24"/>
          <w:szCs w:val="24"/>
        </w:rPr>
        <w:t>Ethno</w:t>
      </w:r>
      <w:proofErr w:type="spellEnd"/>
      <w:r w:rsidRPr="004D4E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4E25">
        <w:rPr>
          <w:rFonts w:ascii="Times New Roman" w:hAnsi="Times New Roman" w:cs="Times New Roman"/>
          <w:sz w:val="24"/>
          <w:szCs w:val="24"/>
        </w:rPr>
        <w:t>Ethno</w:t>
      </w:r>
      <w:proofErr w:type="spellEnd"/>
      <w:r w:rsidRPr="004D4E25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4D4E25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Pr="004D4E25">
        <w:rPr>
          <w:rFonts w:ascii="Times New Roman" w:hAnsi="Times New Roman" w:cs="Times New Roman"/>
          <w:sz w:val="24"/>
          <w:szCs w:val="24"/>
        </w:rPr>
        <w:t>?’: Using Ethnography to Explore the European Parliament’s Political Groups in Turbulent Times</w:t>
      </w:r>
      <w:r w:rsidR="00235963">
        <w:rPr>
          <w:rFonts w:ascii="Times New Roman" w:hAnsi="Times New Roman" w:cs="Times New Roman"/>
          <w:sz w:val="24"/>
          <w:szCs w:val="24"/>
        </w:rPr>
        <w:t>”</w:t>
      </w:r>
      <w:r w:rsidRPr="004D4E25">
        <w:rPr>
          <w:rFonts w:ascii="Times New Roman" w:hAnsi="Times New Roman" w:cs="Times New Roman"/>
          <w:sz w:val="24"/>
          <w:szCs w:val="24"/>
        </w:rPr>
        <w:t xml:space="preserve">. In </w:t>
      </w:r>
      <w:r w:rsidRPr="004D4E25">
        <w:rPr>
          <w:rFonts w:ascii="Times New Roman" w:hAnsi="Times New Roman" w:cs="Times New Roman"/>
          <w:i/>
          <w:iCs/>
          <w:sz w:val="24"/>
          <w:szCs w:val="24"/>
        </w:rPr>
        <w:t>European Parliament’s Political Groups in Turbulent Times</w:t>
      </w:r>
      <w:r w:rsidRPr="004D4E25">
        <w:rPr>
          <w:rFonts w:ascii="Times New Roman" w:hAnsi="Times New Roman" w:cs="Times New Roman"/>
          <w:sz w:val="24"/>
          <w:szCs w:val="24"/>
        </w:rPr>
        <w:t xml:space="preserve"> (pp. 245-266). Cham: Springer International Publishing.</w:t>
      </w:r>
    </w:p>
    <w:p w14:paraId="610966EE" w14:textId="3BCC0E65" w:rsidR="009B3361" w:rsidRPr="004D4E25" w:rsidRDefault="009B3361" w:rsidP="004D4E25">
      <w:pPr>
        <w:pStyle w:val="Liststycke"/>
        <w:numPr>
          <w:ilvl w:val="0"/>
          <w:numId w:val="1"/>
        </w:numPr>
        <w:spacing w:after="0" w:line="360" w:lineRule="auto"/>
        <w:ind w:left="0"/>
        <w:rPr>
          <w:rFonts w:ascii="Times New Roman" w:eastAsia="Times New Roman" w:hAnsi="Times New Roman" w:cs="Times New Roman"/>
          <w:color w:val="323130"/>
          <w:sz w:val="24"/>
          <w:szCs w:val="24"/>
          <w:lang w:eastAsia="sv-SE"/>
        </w:rPr>
      </w:pPr>
      <w:proofErr w:type="spellStart"/>
      <w:r w:rsidRPr="004D4E25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>Berthet</w:t>
      </w:r>
      <w:proofErr w:type="spellEnd"/>
      <w:r w:rsidRPr="004D4E25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 xml:space="preserve">, V., </w:t>
      </w:r>
      <w:proofErr w:type="spellStart"/>
      <w:r w:rsidRPr="004D4E25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>Gaweda</w:t>
      </w:r>
      <w:proofErr w:type="spellEnd"/>
      <w:r w:rsidRPr="004D4E25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 xml:space="preserve">, B., Kantola, J., Miller, C., </w:t>
      </w:r>
      <w:proofErr w:type="spellStart"/>
      <w:r w:rsidRPr="004D4E25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>Ahrens</w:t>
      </w:r>
      <w:proofErr w:type="spellEnd"/>
      <w:r w:rsidRPr="004D4E25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 xml:space="preserve">, P., &amp; </w:t>
      </w:r>
      <w:proofErr w:type="spellStart"/>
      <w:r w:rsidRPr="004D4E25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>Elomäki</w:t>
      </w:r>
      <w:proofErr w:type="spellEnd"/>
      <w:r w:rsidRPr="004D4E25">
        <w:rPr>
          <w:rFonts w:ascii="Times New Roman" w:eastAsia="Times New Roman" w:hAnsi="Times New Roman" w:cs="Times New Roman"/>
          <w:sz w:val="24"/>
          <w:szCs w:val="24"/>
          <w:lang w:val="sv-SE" w:eastAsia="sv-SE"/>
        </w:rPr>
        <w:t xml:space="preserve">, A. (2023). </w:t>
      </w:r>
      <w:r w:rsidRPr="004D4E25">
        <w:rPr>
          <w:rFonts w:ascii="Times New Roman" w:eastAsia="Times New Roman" w:hAnsi="Times New Roman" w:cs="Times New Roman"/>
          <w:i/>
          <w:iCs/>
          <w:sz w:val="24"/>
          <w:szCs w:val="24"/>
          <w:lang w:eastAsia="sv-SE"/>
        </w:rPr>
        <w:t>Guide to Qualitative Research in Parliaments: Experiences and Practices</w:t>
      </w:r>
      <w:r w:rsidRPr="004D4E2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. Palgrave </w:t>
      </w:r>
      <w:proofErr w:type="spellStart"/>
      <w:r w:rsidRPr="004D4E25">
        <w:rPr>
          <w:rFonts w:ascii="Times New Roman" w:eastAsia="Times New Roman" w:hAnsi="Times New Roman" w:cs="Times New Roman"/>
          <w:sz w:val="24"/>
          <w:szCs w:val="24"/>
          <w:lang w:eastAsia="sv-SE"/>
        </w:rPr>
        <w:t>Macmillian</w:t>
      </w:r>
      <w:proofErr w:type="spellEnd"/>
      <w:r w:rsidRPr="004D4E25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</w:p>
    <w:p w14:paraId="16C34AD6" w14:textId="77777777" w:rsidR="004D4E25" w:rsidRDefault="004D4E25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5374E6A7" w14:textId="5D1AAF75" w:rsidR="004734B7" w:rsidRPr="004D4E25" w:rsidRDefault="00377CB8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D4E2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Typology</w:t>
      </w:r>
      <w:r w:rsidR="005B2C88" w:rsidRPr="004D4E2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analysis</w:t>
      </w:r>
    </w:p>
    <w:p w14:paraId="059C8432" w14:textId="5B9B4E5F" w:rsidR="004734B7" w:rsidRPr="004D4E25" w:rsidRDefault="004734B7" w:rsidP="004D4E25">
      <w:pPr>
        <w:pStyle w:val="Liststycke"/>
        <w:numPr>
          <w:ilvl w:val="0"/>
          <w:numId w:val="5"/>
        </w:numPr>
        <w:spacing w:after="0" w:line="360" w:lineRule="auto"/>
        <w:ind w:left="0" w:hanging="35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4E25">
        <w:rPr>
          <w:rFonts w:ascii="Times New Roman" w:eastAsia="Times New Roman" w:hAnsi="Times New Roman" w:cs="Times New Roman"/>
          <w:sz w:val="24"/>
          <w:szCs w:val="24"/>
        </w:rPr>
        <w:t>Aronovitch</w:t>
      </w:r>
      <w:proofErr w:type="spellEnd"/>
      <w:r w:rsidRPr="004D4E25">
        <w:rPr>
          <w:rFonts w:ascii="Times New Roman" w:eastAsia="Times New Roman" w:hAnsi="Times New Roman" w:cs="Times New Roman"/>
          <w:sz w:val="24"/>
          <w:szCs w:val="24"/>
        </w:rPr>
        <w:t xml:space="preserve">, H. (2012). </w:t>
      </w:r>
      <w:r w:rsidR="00235963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4D4E25">
        <w:rPr>
          <w:rFonts w:ascii="Times New Roman" w:eastAsia="Times New Roman" w:hAnsi="Times New Roman" w:cs="Times New Roman"/>
          <w:sz w:val="24"/>
          <w:szCs w:val="24"/>
        </w:rPr>
        <w:t xml:space="preserve">Interpreting Weber’s </w:t>
      </w:r>
      <w:proofErr w:type="gramStart"/>
      <w:r w:rsidRPr="004D4E25">
        <w:rPr>
          <w:rFonts w:ascii="Times New Roman" w:eastAsia="Times New Roman" w:hAnsi="Times New Roman" w:cs="Times New Roman"/>
          <w:sz w:val="24"/>
          <w:szCs w:val="24"/>
        </w:rPr>
        <w:t>ideal-types</w:t>
      </w:r>
      <w:proofErr w:type="gramEnd"/>
      <w:r w:rsidR="00235963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4D4E2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D4E25">
        <w:rPr>
          <w:rFonts w:ascii="Times New Roman" w:eastAsia="Times New Roman" w:hAnsi="Times New Roman" w:cs="Times New Roman"/>
          <w:i/>
          <w:iCs/>
          <w:sz w:val="24"/>
          <w:szCs w:val="24"/>
        </w:rPr>
        <w:t>Philosophy of the Social Sciences</w:t>
      </w:r>
      <w:r w:rsidRPr="004D4E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D4E25">
        <w:rPr>
          <w:rFonts w:ascii="Times New Roman" w:eastAsia="Times New Roman" w:hAnsi="Times New Roman" w:cs="Times New Roman"/>
          <w:i/>
          <w:iCs/>
          <w:sz w:val="24"/>
          <w:szCs w:val="24"/>
        </w:rPr>
        <w:t>42</w:t>
      </w:r>
      <w:r w:rsidRPr="004D4E25">
        <w:rPr>
          <w:rFonts w:ascii="Times New Roman" w:eastAsia="Times New Roman" w:hAnsi="Times New Roman" w:cs="Times New Roman"/>
          <w:sz w:val="24"/>
          <w:szCs w:val="24"/>
        </w:rPr>
        <w:t>(3), 356-369.</w:t>
      </w:r>
    </w:p>
    <w:p w14:paraId="7D098251" w14:textId="0E3C9367" w:rsidR="009B3361" w:rsidRPr="004D4E25" w:rsidRDefault="004734B7" w:rsidP="004D4E25">
      <w:pPr>
        <w:pStyle w:val="Liststycke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hanging="357"/>
        <w:rPr>
          <w:rFonts w:ascii="Times New Roman" w:hAnsi="Times New Roman" w:cs="Times New Roman"/>
          <w:sz w:val="24"/>
          <w:szCs w:val="24"/>
        </w:rPr>
      </w:pPr>
      <w:r w:rsidRPr="004D4E25">
        <w:rPr>
          <w:rFonts w:ascii="Times New Roman" w:hAnsi="Times New Roman" w:cs="Times New Roman"/>
          <w:sz w:val="24"/>
          <w:szCs w:val="24"/>
        </w:rPr>
        <w:t>Collier, David, Jody LaPorte, and Jason Seawright. (</w:t>
      </w:r>
      <w:r w:rsidRPr="004D4E25">
        <w:rPr>
          <w:rFonts w:ascii="Times New Roman" w:hAnsi="Times New Roman" w:cs="Times New Roman"/>
          <w:bCs/>
          <w:sz w:val="24"/>
          <w:szCs w:val="24"/>
        </w:rPr>
        <w:t>2008).</w:t>
      </w:r>
      <w:r w:rsidRPr="004D4E2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35963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4D4E25">
        <w:rPr>
          <w:rFonts w:ascii="Times New Roman" w:hAnsi="Times New Roman" w:cs="Times New Roman"/>
          <w:sz w:val="24"/>
          <w:szCs w:val="24"/>
        </w:rPr>
        <w:t>Typologies: Forming Concepts and Creating Categorical Variables</w:t>
      </w:r>
      <w:r w:rsidR="00235963">
        <w:rPr>
          <w:rFonts w:ascii="Times New Roman" w:hAnsi="Times New Roman" w:cs="Times New Roman"/>
          <w:sz w:val="24"/>
          <w:szCs w:val="24"/>
        </w:rPr>
        <w:t>”</w:t>
      </w:r>
      <w:r w:rsidRPr="004D4E25">
        <w:rPr>
          <w:rFonts w:ascii="Times New Roman" w:hAnsi="Times New Roman" w:cs="Times New Roman"/>
          <w:sz w:val="24"/>
          <w:szCs w:val="24"/>
        </w:rPr>
        <w:t xml:space="preserve">. In Janet Box-Steffensmeier, Henry </w:t>
      </w:r>
      <w:r w:rsidRPr="004D4E25">
        <w:rPr>
          <w:rFonts w:ascii="Times New Roman" w:hAnsi="Times New Roman" w:cs="Times New Roman"/>
          <w:bCs/>
          <w:sz w:val="24"/>
          <w:szCs w:val="24"/>
        </w:rPr>
        <w:t>E</w:t>
      </w:r>
      <w:r w:rsidRPr="004D4E2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4D4E25">
        <w:rPr>
          <w:rFonts w:ascii="Times New Roman" w:hAnsi="Times New Roman" w:cs="Times New Roman"/>
          <w:sz w:val="24"/>
          <w:szCs w:val="24"/>
        </w:rPr>
        <w:t xml:space="preserve">Brady, and David Collier, eds., </w:t>
      </w:r>
      <w:r w:rsidRPr="004D4E25">
        <w:rPr>
          <w:rFonts w:ascii="Times New Roman" w:hAnsi="Times New Roman" w:cs="Times New Roman"/>
          <w:i/>
          <w:sz w:val="24"/>
          <w:szCs w:val="24"/>
        </w:rPr>
        <w:t>The Oxford Handbook of Political Methodology</w:t>
      </w:r>
      <w:r w:rsidR="008023C0" w:rsidRPr="004D4E25">
        <w:rPr>
          <w:rFonts w:ascii="Times New Roman" w:hAnsi="Times New Roman" w:cs="Times New Roman"/>
          <w:i/>
          <w:sz w:val="24"/>
          <w:szCs w:val="24"/>
        </w:rPr>
        <w:t>.</w:t>
      </w:r>
      <w:r w:rsidR="008023C0" w:rsidRPr="004D4E25">
        <w:rPr>
          <w:rFonts w:ascii="Times New Roman" w:hAnsi="Times New Roman" w:cs="Times New Roman"/>
          <w:sz w:val="24"/>
          <w:szCs w:val="24"/>
        </w:rPr>
        <w:t xml:space="preserve"> New York: Oxford University Press. </w:t>
      </w:r>
      <w:r w:rsidR="00486FF0" w:rsidRPr="004D4E25">
        <w:rPr>
          <w:rFonts w:ascii="Times New Roman" w:hAnsi="Times New Roman" w:cs="Times New Roman"/>
          <w:sz w:val="24"/>
          <w:szCs w:val="24"/>
        </w:rPr>
        <w:t>Pdf a</w:t>
      </w:r>
      <w:r w:rsidR="00C26E9C" w:rsidRPr="004D4E25">
        <w:rPr>
          <w:rFonts w:ascii="Times New Roman" w:hAnsi="Times New Roman" w:cs="Times New Roman"/>
          <w:sz w:val="24"/>
          <w:szCs w:val="24"/>
        </w:rPr>
        <w:t>vailable on Canvas.</w:t>
      </w:r>
    </w:p>
    <w:p w14:paraId="70D777E5" w14:textId="32328FA6" w:rsidR="004734B7" w:rsidRPr="004D4E25" w:rsidRDefault="00486FF0" w:rsidP="004D4E25">
      <w:pPr>
        <w:pStyle w:val="Liststycke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hanging="357"/>
        <w:rPr>
          <w:rFonts w:ascii="Times New Roman" w:hAnsi="Times New Roman" w:cs="Times New Roman"/>
          <w:sz w:val="24"/>
          <w:szCs w:val="24"/>
        </w:rPr>
      </w:pPr>
      <w:r w:rsidRPr="004D4E25">
        <w:rPr>
          <w:rFonts w:ascii="Times New Roman" w:hAnsi="Times New Roman" w:cs="Times New Roman"/>
          <w:sz w:val="24"/>
          <w:szCs w:val="24"/>
        </w:rPr>
        <w:t>Friberg-Fernros (2023)</w:t>
      </w:r>
      <w:r w:rsidR="00D20BA5">
        <w:rPr>
          <w:rFonts w:ascii="Times New Roman" w:hAnsi="Times New Roman" w:cs="Times New Roman"/>
          <w:sz w:val="24"/>
          <w:szCs w:val="24"/>
        </w:rPr>
        <w:t>.</w:t>
      </w:r>
      <w:r w:rsidRPr="004D4E25">
        <w:rPr>
          <w:rFonts w:ascii="Times New Roman" w:hAnsi="Times New Roman" w:cs="Times New Roman"/>
          <w:sz w:val="24"/>
          <w:szCs w:val="24"/>
        </w:rPr>
        <w:t xml:space="preserve"> </w:t>
      </w:r>
      <w:r w:rsidR="00235963">
        <w:rPr>
          <w:rFonts w:ascii="Times New Roman" w:hAnsi="Times New Roman" w:cs="Times New Roman"/>
          <w:sz w:val="24"/>
          <w:szCs w:val="24"/>
        </w:rPr>
        <w:t>“</w:t>
      </w:r>
      <w:r w:rsidRPr="004D4E25">
        <w:rPr>
          <w:rFonts w:ascii="Times New Roman" w:eastAsia="Calibri" w:hAnsi="Times New Roman" w:cs="Times New Roman"/>
          <w:iCs/>
          <w:sz w:val="24"/>
          <w:szCs w:val="24"/>
          <w14:numForm w14:val="oldStyle"/>
        </w:rPr>
        <w:t>Addressing the Ideational Turn: How the Resources of Qualitative Content Analysis and Idea Analysis Can Together Strengthen the Study of Ideas</w:t>
      </w:r>
      <w:r w:rsidR="00235963">
        <w:rPr>
          <w:rFonts w:ascii="Times New Roman" w:eastAsia="Calibri" w:hAnsi="Times New Roman" w:cs="Times New Roman"/>
          <w:iCs/>
          <w:sz w:val="24"/>
          <w:szCs w:val="24"/>
          <w14:numForm w14:val="oldStyle"/>
        </w:rPr>
        <w:t>”</w:t>
      </w:r>
      <w:r w:rsidRPr="004D4E25">
        <w:rPr>
          <w:rFonts w:ascii="Times New Roman" w:eastAsia="Calibri" w:hAnsi="Times New Roman" w:cs="Times New Roman"/>
          <w:iCs/>
          <w:sz w:val="24"/>
          <w:szCs w:val="24"/>
          <w14:numForm w14:val="oldStyle"/>
        </w:rPr>
        <w:t>. Under review. Available on Canvas.</w:t>
      </w:r>
    </w:p>
    <w:p w14:paraId="5F2EDD9B" w14:textId="77777777" w:rsidR="004734B7" w:rsidRPr="004D4E25" w:rsidRDefault="004734B7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ABBF8E8" w14:textId="63CA12CA" w:rsidR="00E4435B" w:rsidRPr="004D4E25" w:rsidRDefault="005B2C88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4D4E2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Discourse analysis</w:t>
      </w:r>
    </w:p>
    <w:p w14:paraId="75D0FE04" w14:textId="20F8484B" w:rsidR="00E4435B" w:rsidRPr="004D4E25" w:rsidRDefault="00E4435B" w:rsidP="004D4E25">
      <w:pPr>
        <w:pStyle w:val="Normalwebb"/>
        <w:numPr>
          <w:ilvl w:val="0"/>
          <w:numId w:val="1"/>
        </w:numPr>
        <w:spacing w:before="0" w:beforeAutospacing="0" w:after="0" w:afterAutospacing="0" w:line="360" w:lineRule="auto"/>
        <w:ind w:left="0"/>
        <w:rPr>
          <w:lang w:val="en-US"/>
        </w:rPr>
      </w:pPr>
      <w:r w:rsidRPr="004D4E25">
        <w:rPr>
          <w:color w:val="000000"/>
          <w:lang w:val="en-US"/>
        </w:rPr>
        <w:t xml:space="preserve">Jörgensen and Phillips, </w:t>
      </w:r>
      <w:proofErr w:type="gramStart"/>
      <w:r w:rsidRPr="004D4E25">
        <w:rPr>
          <w:color w:val="000000"/>
          <w:lang w:val="en-US"/>
        </w:rPr>
        <w:t>2002,Ch</w:t>
      </w:r>
      <w:proofErr w:type="gramEnd"/>
      <w:r w:rsidRPr="004D4E25">
        <w:rPr>
          <w:color w:val="000000"/>
          <w:lang w:val="en-US"/>
        </w:rPr>
        <w:t xml:space="preserve"> 2: “</w:t>
      </w:r>
      <w:proofErr w:type="spellStart"/>
      <w:r w:rsidRPr="004D4E25">
        <w:rPr>
          <w:color w:val="000000"/>
          <w:lang w:val="en-US"/>
        </w:rPr>
        <w:t>Laclau</w:t>
      </w:r>
      <w:proofErr w:type="spellEnd"/>
      <w:r w:rsidRPr="004D4E25">
        <w:rPr>
          <w:color w:val="000000"/>
          <w:lang w:val="en-US"/>
        </w:rPr>
        <w:t xml:space="preserve"> and Mouffe's Discourse Theory” in </w:t>
      </w:r>
      <w:r w:rsidRPr="004D4E25">
        <w:rPr>
          <w:i/>
          <w:iCs/>
          <w:color w:val="000000"/>
          <w:lang w:val="en-US"/>
        </w:rPr>
        <w:t>Discourse Analysis as Theory and Method</w:t>
      </w:r>
      <w:r w:rsidRPr="004D4E25">
        <w:rPr>
          <w:color w:val="000000"/>
          <w:lang w:val="en-US"/>
        </w:rPr>
        <w:t>. New York: Sage.</w:t>
      </w:r>
      <w:r w:rsidR="005F3519" w:rsidRPr="004D4E25">
        <w:rPr>
          <w:color w:val="000000"/>
          <w:lang w:val="en-US"/>
        </w:rPr>
        <w:t xml:space="preserve"> Available on Canvas. </w:t>
      </w:r>
    </w:p>
    <w:p w14:paraId="27F37CA0" w14:textId="7865F1ED" w:rsidR="00E4435B" w:rsidRPr="004D4E25" w:rsidRDefault="00E4435B" w:rsidP="004D4E25">
      <w:pPr>
        <w:pStyle w:val="Normalwebb"/>
        <w:numPr>
          <w:ilvl w:val="0"/>
          <w:numId w:val="1"/>
        </w:numPr>
        <w:spacing w:before="0" w:beforeAutospacing="0" w:after="0" w:afterAutospacing="0" w:line="360" w:lineRule="auto"/>
        <w:ind w:left="0"/>
        <w:rPr>
          <w:lang w:val="en-US"/>
        </w:rPr>
      </w:pPr>
      <w:r w:rsidRPr="004D4E25">
        <w:rPr>
          <w:color w:val="000000"/>
          <w:lang w:val="en-US"/>
        </w:rPr>
        <w:t xml:space="preserve">Neumann, I. 2008. “Discourse Analysis” in Klotz and Prakash (eds.), </w:t>
      </w:r>
      <w:r w:rsidRPr="004D4E25">
        <w:rPr>
          <w:i/>
          <w:iCs/>
          <w:color w:val="000000"/>
          <w:lang w:val="en-US"/>
        </w:rPr>
        <w:t>Qualitative Methods in International Relations: A Pluralist Guide</w:t>
      </w:r>
      <w:r w:rsidRPr="004D4E25">
        <w:rPr>
          <w:color w:val="000000"/>
          <w:lang w:val="en-US"/>
        </w:rPr>
        <w:t>. Basingstorke: Palgrave.</w:t>
      </w:r>
      <w:r w:rsidR="005F3519" w:rsidRPr="004D4E25">
        <w:rPr>
          <w:color w:val="000000"/>
          <w:lang w:val="en-US"/>
        </w:rPr>
        <w:t xml:space="preserve"> Available on Canvas.</w:t>
      </w:r>
    </w:p>
    <w:p w14:paraId="41AB9C47" w14:textId="7D12740F" w:rsidR="00F86742" w:rsidRPr="004D4E25" w:rsidRDefault="00F86742" w:rsidP="004D4E25">
      <w:pPr>
        <w:pStyle w:val="Normalwebb"/>
        <w:numPr>
          <w:ilvl w:val="0"/>
          <w:numId w:val="1"/>
        </w:numPr>
        <w:spacing w:before="0" w:beforeAutospacing="0" w:after="0" w:afterAutospacing="0" w:line="360" w:lineRule="auto"/>
        <w:ind w:left="0"/>
        <w:rPr>
          <w:lang w:val="en-US"/>
        </w:rPr>
      </w:pPr>
      <w:r w:rsidRPr="004D4E25">
        <w:rPr>
          <w:rStyle w:val="xcontentpasted0"/>
          <w:color w:val="333333"/>
          <w:shd w:val="clear" w:color="auto" w:fill="FFFFFF"/>
          <w:lang w:val="en-US"/>
        </w:rPr>
        <w:lastRenderedPageBreak/>
        <w:t xml:space="preserve">Holzberg, B., Kolbe, K., &amp; Zaborowski, R. (2018). </w:t>
      </w:r>
      <w:r w:rsidR="00235963">
        <w:rPr>
          <w:rStyle w:val="xcontentpasted0"/>
          <w:color w:val="333333"/>
          <w:shd w:val="clear" w:color="auto" w:fill="FFFFFF"/>
          <w:lang w:val="en-US"/>
        </w:rPr>
        <w:t>“</w:t>
      </w:r>
      <w:r w:rsidRPr="004D4E25">
        <w:rPr>
          <w:rStyle w:val="xcontentpasted0"/>
          <w:color w:val="333333"/>
          <w:shd w:val="clear" w:color="auto" w:fill="FFFFFF"/>
          <w:lang w:val="en-GB"/>
        </w:rPr>
        <w:t>Figures of Crisis: The Delineation of (Un)Deserving Refugees in the German Media</w:t>
      </w:r>
      <w:r w:rsidR="00235963">
        <w:rPr>
          <w:rStyle w:val="xcontentpasted0"/>
          <w:color w:val="333333"/>
          <w:shd w:val="clear" w:color="auto" w:fill="FFFFFF"/>
          <w:lang w:val="en-GB"/>
        </w:rPr>
        <w:t>”</w:t>
      </w:r>
      <w:r w:rsidRPr="004D4E25">
        <w:rPr>
          <w:rStyle w:val="xcontentpasted0"/>
          <w:color w:val="333333"/>
          <w:shd w:val="clear" w:color="auto" w:fill="FFFFFF"/>
          <w:lang w:val="en-GB"/>
        </w:rPr>
        <w:t>. </w:t>
      </w:r>
      <w:r w:rsidRPr="004D4E25">
        <w:rPr>
          <w:i/>
          <w:iCs/>
          <w:color w:val="333333"/>
          <w:shd w:val="clear" w:color="auto" w:fill="FFFFFF"/>
          <w:lang w:val="en-GB"/>
        </w:rPr>
        <w:t>Sociology</w:t>
      </w:r>
      <w:r w:rsidRPr="004D4E25">
        <w:rPr>
          <w:rStyle w:val="xcontentpasted0"/>
          <w:color w:val="333333"/>
          <w:shd w:val="clear" w:color="auto" w:fill="FFFFFF"/>
          <w:lang w:val="en-GB"/>
        </w:rPr>
        <w:t>, </w:t>
      </w:r>
      <w:r w:rsidRPr="004D4E25">
        <w:rPr>
          <w:i/>
          <w:iCs/>
          <w:color w:val="333333"/>
          <w:shd w:val="clear" w:color="auto" w:fill="FFFFFF"/>
          <w:lang w:val="en-GB"/>
        </w:rPr>
        <w:t>52</w:t>
      </w:r>
      <w:r w:rsidRPr="004D4E25">
        <w:rPr>
          <w:rStyle w:val="xcontentpasted0"/>
          <w:color w:val="333333"/>
          <w:shd w:val="clear" w:color="auto" w:fill="FFFFFF"/>
          <w:lang w:val="en-GB"/>
        </w:rPr>
        <w:t>(3), 534–550. </w:t>
      </w:r>
      <w:hyperlink r:id="rId8" w:history="1">
        <w:r w:rsidRPr="004D4E25">
          <w:rPr>
            <w:rStyle w:val="Hyperlnk"/>
            <w:color w:val="006ACC"/>
            <w:shd w:val="clear" w:color="auto" w:fill="FFFFFF"/>
            <w:lang w:val="en-GB"/>
          </w:rPr>
          <w:t>https://doi.org/10.1177/0038038518759460</w:t>
        </w:r>
      </w:hyperlink>
    </w:p>
    <w:p w14:paraId="4D4BAEC5" w14:textId="3B2AADF2" w:rsidR="008B1A4F" w:rsidRPr="008E3FBB" w:rsidRDefault="00F86742" w:rsidP="00C3028B">
      <w:pPr>
        <w:pStyle w:val="Normalwebb"/>
        <w:numPr>
          <w:ilvl w:val="0"/>
          <w:numId w:val="1"/>
        </w:numPr>
        <w:spacing w:before="0" w:beforeAutospacing="0" w:after="0" w:afterAutospacing="0" w:line="360" w:lineRule="auto"/>
        <w:ind w:left="0"/>
        <w:rPr>
          <w:color w:val="323130"/>
        </w:rPr>
      </w:pPr>
      <w:r w:rsidRPr="008E3FBB">
        <w:rPr>
          <w:color w:val="000000"/>
          <w:lang w:val="en-GB"/>
        </w:rPr>
        <w:t>Said, E. 'Introduction' (pp. 1-16) in </w:t>
      </w:r>
      <w:r w:rsidRPr="008E3FBB">
        <w:rPr>
          <w:i/>
          <w:iCs/>
          <w:color w:val="000000"/>
          <w:lang w:val="en-GB"/>
        </w:rPr>
        <w:t xml:space="preserve">Orientalism. </w:t>
      </w:r>
      <w:proofErr w:type="spellStart"/>
      <w:r w:rsidRPr="008E3FBB">
        <w:rPr>
          <w:color w:val="000000"/>
        </w:rPr>
        <w:t>Pdf</w:t>
      </w:r>
      <w:proofErr w:type="spellEnd"/>
      <w:r w:rsidRPr="008E3FBB">
        <w:rPr>
          <w:color w:val="000000"/>
        </w:rPr>
        <w:t xml:space="preserve"> </w:t>
      </w:r>
      <w:proofErr w:type="spellStart"/>
      <w:r w:rsidRPr="008E3FBB">
        <w:rPr>
          <w:color w:val="000000"/>
        </w:rPr>
        <w:t>available</w:t>
      </w:r>
      <w:proofErr w:type="spellEnd"/>
      <w:r w:rsidRPr="008E3FBB">
        <w:rPr>
          <w:color w:val="000000"/>
        </w:rPr>
        <w:t xml:space="preserve"> on canvas.</w:t>
      </w:r>
    </w:p>
    <w:p w14:paraId="5EC5FD9A" w14:textId="77777777" w:rsidR="005B2C88" w:rsidRPr="004D4E25" w:rsidRDefault="005B2C88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EA8B01" w14:textId="4AE362A7" w:rsidR="008B6BEF" w:rsidRPr="004D4E25" w:rsidRDefault="008B6BEF" w:rsidP="004D4E2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4C90D7" w14:textId="77777777" w:rsidR="008B6BEF" w:rsidRPr="004D4E25" w:rsidRDefault="008B6BEF" w:rsidP="0035232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28FFDA" w14:textId="77777777" w:rsidR="00C538E2" w:rsidRPr="004D4E25" w:rsidRDefault="00C538E2" w:rsidP="009061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C538E2" w:rsidRPr="004D4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de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6C8"/>
    <w:multiLevelType w:val="hybridMultilevel"/>
    <w:tmpl w:val="5926898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C443C04"/>
    <w:multiLevelType w:val="hybridMultilevel"/>
    <w:tmpl w:val="541059F8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" w15:restartNumberingAfterBreak="0">
    <w:nsid w:val="12E3482D"/>
    <w:multiLevelType w:val="hybridMultilevel"/>
    <w:tmpl w:val="0DCEFDE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D873EDB"/>
    <w:multiLevelType w:val="hybridMultilevel"/>
    <w:tmpl w:val="6262D5D2"/>
    <w:lvl w:ilvl="0" w:tplc="6C883FB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333333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A06F3"/>
    <w:multiLevelType w:val="multilevel"/>
    <w:tmpl w:val="799E2E74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82DE7"/>
    <w:multiLevelType w:val="hybridMultilevel"/>
    <w:tmpl w:val="5EA6982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8477759"/>
    <w:multiLevelType w:val="hybridMultilevel"/>
    <w:tmpl w:val="C2E43A0A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7" w15:restartNumberingAfterBreak="0">
    <w:nsid w:val="61D6071F"/>
    <w:multiLevelType w:val="multilevel"/>
    <w:tmpl w:val="DC3C9E6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B722C"/>
    <w:multiLevelType w:val="hybridMultilevel"/>
    <w:tmpl w:val="A28A22DC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459149839">
    <w:abstractNumId w:val="4"/>
  </w:num>
  <w:num w:numId="2" w16cid:durableId="2033650394">
    <w:abstractNumId w:val="0"/>
  </w:num>
  <w:num w:numId="3" w16cid:durableId="93869124">
    <w:abstractNumId w:val="2"/>
  </w:num>
  <w:num w:numId="4" w16cid:durableId="851995860">
    <w:abstractNumId w:val="8"/>
  </w:num>
  <w:num w:numId="5" w16cid:durableId="98724122">
    <w:abstractNumId w:val="5"/>
  </w:num>
  <w:num w:numId="6" w16cid:durableId="410543795">
    <w:abstractNumId w:val="6"/>
  </w:num>
  <w:num w:numId="7" w16cid:durableId="375011956">
    <w:abstractNumId w:val="1"/>
  </w:num>
  <w:num w:numId="8" w16cid:durableId="875771568">
    <w:abstractNumId w:val="7"/>
  </w:num>
  <w:num w:numId="9" w16cid:durableId="1876847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16C"/>
    <w:rsid w:val="0004133B"/>
    <w:rsid w:val="000E30B8"/>
    <w:rsid w:val="000F0595"/>
    <w:rsid w:val="0012228E"/>
    <w:rsid w:val="0013562A"/>
    <w:rsid w:val="00161A1F"/>
    <w:rsid w:val="001654D9"/>
    <w:rsid w:val="00181889"/>
    <w:rsid w:val="001A1F65"/>
    <w:rsid w:val="001B7DB1"/>
    <w:rsid w:val="001C0E37"/>
    <w:rsid w:val="0020671B"/>
    <w:rsid w:val="00212CD5"/>
    <w:rsid w:val="00221D2F"/>
    <w:rsid w:val="00223C18"/>
    <w:rsid w:val="00235963"/>
    <w:rsid w:val="00283EB8"/>
    <w:rsid w:val="00292312"/>
    <w:rsid w:val="002C5E69"/>
    <w:rsid w:val="00317E90"/>
    <w:rsid w:val="0035232D"/>
    <w:rsid w:val="00367F05"/>
    <w:rsid w:val="00377CB8"/>
    <w:rsid w:val="003A46CC"/>
    <w:rsid w:val="003E4A6A"/>
    <w:rsid w:val="003F71D0"/>
    <w:rsid w:val="004211B0"/>
    <w:rsid w:val="0045189E"/>
    <w:rsid w:val="0046775D"/>
    <w:rsid w:val="004734B7"/>
    <w:rsid w:val="004807D4"/>
    <w:rsid w:val="00486FF0"/>
    <w:rsid w:val="004D4E25"/>
    <w:rsid w:val="00500692"/>
    <w:rsid w:val="005013A4"/>
    <w:rsid w:val="00521B64"/>
    <w:rsid w:val="00522B5B"/>
    <w:rsid w:val="005B2C88"/>
    <w:rsid w:val="005F3519"/>
    <w:rsid w:val="00614450"/>
    <w:rsid w:val="006164F4"/>
    <w:rsid w:val="00634356"/>
    <w:rsid w:val="0067493E"/>
    <w:rsid w:val="0068316C"/>
    <w:rsid w:val="00694BC7"/>
    <w:rsid w:val="006A437D"/>
    <w:rsid w:val="006C6ED9"/>
    <w:rsid w:val="006E4B78"/>
    <w:rsid w:val="0072732F"/>
    <w:rsid w:val="0077374B"/>
    <w:rsid w:val="008023C0"/>
    <w:rsid w:val="008A50AB"/>
    <w:rsid w:val="008B1A4F"/>
    <w:rsid w:val="008B6BEF"/>
    <w:rsid w:val="008E3FBB"/>
    <w:rsid w:val="009061A7"/>
    <w:rsid w:val="0095693C"/>
    <w:rsid w:val="00963B52"/>
    <w:rsid w:val="00967789"/>
    <w:rsid w:val="009834C3"/>
    <w:rsid w:val="009B3361"/>
    <w:rsid w:val="009D2E99"/>
    <w:rsid w:val="009E2BB3"/>
    <w:rsid w:val="009F6B99"/>
    <w:rsid w:val="00A61091"/>
    <w:rsid w:val="00AB0AC1"/>
    <w:rsid w:val="00C26E9C"/>
    <w:rsid w:val="00C538E2"/>
    <w:rsid w:val="00CD46E6"/>
    <w:rsid w:val="00D20BA5"/>
    <w:rsid w:val="00D27E27"/>
    <w:rsid w:val="00D4622E"/>
    <w:rsid w:val="00E4435B"/>
    <w:rsid w:val="00E84193"/>
    <w:rsid w:val="00EC5DB8"/>
    <w:rsid w:val="00ED19C8"/>
    <w:rsid w:val="00F5651E"/>
    <w:rsid w:val="00F86742"/>
    <w:rsid w:val="00FD3C95"/>
    <w:rsid w:val="00FE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D3DDC"/>
  <w15:chartTrackingRefBased/>
  <w15:docId w15:val="{9F9FDEEF-217B-4F2C-B016-259716F3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Default">
    <w:name w:val="Default"/>
    <w:rsid w:val="00D4622E"/>
    <w:pPr>
      <w:autoSpaceDE w:val="0"/>
      <w:autoSpaceDN w:val="0"/>
      <w:adjustRightInd w:val="0"/>
      <w:spacing w:after="0" w:line="240" w:lineRule="auto"/>
    </w:pPr>
    <w:rPr>
      <w:rFonts w:ascii="Code" w:hAnsi="Code" w:cs="Code"/>
      <w:color w:val="000000"/>
      <w:sz w:val="24"/>
      <w:szCs w:val="24"/>
      <w:lang w:val="en-US"/>
    </w:rPr>
  </w:style>
  <w:style w:type="character" w:customStyle="1" w:styleId="apple-converted-space">
    <w:name w:val="apple-converted-space"/>
    <w:basedOn w:val="Standardstycketeckensnitt"/>
    <w:rsid w:val="004807D4"/>
  </w:style>
  <w:style w:type="paragraph" w:styleId="Normalwebb">
    <w:name w:val="Normal (Web)"/>
    <w:basedOn w:val="Normal"/>
    <w:uiPriority w:val="99"/>
    <w:unhideWhenUsed/>
    <w:rsid w:val="00480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character" w:styleId="Hyperlnk">
    <w:name w:val="Hyperlink"/>
    <w:basedOn w:val="Standardstycketeckensnitt"/>
    <w:uiPriority w:val="99"/>
    <w:unhideWhenUsed/>
    <w:rsid w:val="004807D4"/>
    <w:rPr>
      <w:color w:val="0000FF"/>
      <w:u w:val="single"/>
    </w:rPr>
  </w:style>
  <w:style w:type="character" w:customStyle="1" w:styleId="Olstomnmnande1">
    <w:name w:val="Olöst omnämnande1"/>
    <w:basedOn w:val="Standardstycketeckensnitt"/>
    <w:uiPriority w:val="99"/>
    <w:semiHidden/>
    <w:unhideWhenUsed/>
    <w:rsid w:val="008B1A4F"/>
    <w:rPr>
      <w:color w:val="605E5C"/>
      <w:shd w:val="clear" w:color="auto" w:fill="E1DFDD"/>
    </w:rPr>
  </w:style>
  <w:style w:type="paragraph" w:styleId="Liststycke">
    <w:name w:val="List Paragraph"/>
    <w:basedOn w:val="Normal"/>
    <w:uiPriority w:val="34"/>
    <w:qFormat/>
    <w:rsid w:val="00212CD5"/>
    <w:pPr>
      <w:ind w:left="720"/>
      <w:contextualSpacing/>
    </w:pPr>
  </w:style>
  <w:style w:type="paragraph" w:customStyle="1" w:styleId="xmsonormal">
    <w:name w:val="x_msonormal"/>
    <w:basedOn w:val="Normal"/>
    <w:rsid w:val="00F86742"/>
    <w:pPr>
      <w:spacing w:after="0" w:line="240" w:lineRule="auto"/>
    </w:pPr>
    <w:rPr>
      <w:rFonts w:ascii="Calibri" w:hAnsi="Calibri" w:cs="Calibri"/>
      <w:lang w:val="sv-SE" w:eastAsia="sv-SE"/>
    </w:rPr>
  </w:style>
  <w:style w:type="character" w:customStyle="1" w:styleId="xcontentpasted0">
    <w:name w:val="x_contentpasted0"/>
    <w:basedOn w:val="Standardstycketeckensnitt"/>
    <w:rsid w:val="00F86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8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77/003803851875946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11/1467-9256.001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233708898_Ethics_in_Qualitative_Research_A_View_of_the_Participants%27_and_Researchers%27_World_from_a_Critical_Standpoint" TargetMode="External"/><Relationship Id="rId5" Type="http://schemas.openxmlformats.org/officeDocument/2006/relationships/hyperlink" Target="https://www.qualitative-research.net/index.php/fqs/article/view/3155/430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946</Words>
  <Characters>5019</Characters>
  <Application>Microsoft Office Word</Application>
  <DocSecurity>0</DocSecurity>
  <Lines>41</Lines>
  <Paragraphs>11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Gothenburg</Company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Friberg-Fernros</dc:creator>
  <cp:keywords/>
  <dc:description/>
  <cp:lastModifiedBy>Anna Persson</cp:lastModifiedBy>
  <cp:revision>4</cp:revision>
  <cp:lastPrinted>2023-10-30T12:02:00Z</cp:lastPrinted>
  <dcterms:created xsi:type="dcterms:W3CDTF">2025-05-15T07:35:00Z</dcterms:created>
  <dcterms:modified xsi:type="dcterms:W3CDTF">2025-11-05T11:06:00Z</dcterms:modified>
</cp:coreProperties>
</file>