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E24" w:rsidRPr="00512147" w:rsidRDefault="00512147">
      <w:pPr>
        <w:rPr>
          <w:b/>
          <w:bCs/>
        </w:rPr>
      </w:pPr>
      <w:r w:rsidRPr="00512147">
        <w:rPr>
          <w:b/>
          <w:bCs/>
        </w:rPr>
        <w:t xml:space="preserve">Litteraturtips från Kristen </w:t>
      </w:r>
      <w:proofErr w:type="spellStart"/>
      <w:r w:rsidRPr="00512147">
        <w:rPr>
          <w:b/>
          <w:bCs/>
        </w:rPr>
        <w:t>Kao</w:t>
      </w:r>
      <w:proofErr w:type="spellEnd"/>
    </w:p>
    <w:p w:rsidR="00512147" w:rsidRDefault="00512147">
      <w:bookmarkStart w:id="0" w:name="_GoBack"/>
      <w:bookmarkEnd w:id="0"/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Ichino and Nathan “Crossing the Line”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Habyariamana et al. Co-Ethnicity (book)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Dan Posner institutions and Ethnic Politics in Africa (Book)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Baldwin, Kate. 2013. “Why Vote with the Chief? Political Connections and Public Goods Provision in Zambia.” </w:t>
      </w:r>
      <w:r w:rsidRPr="00512147">
        <w:rPr>
          <w:rFonts w:ascii="Times New Roman" w:eastAsia="Times New Roman" w:hAnsi="Times New Roman" w:cs="Times New Roman"/>
          <w:i/>
          <w:iCs/>
          <w:color w:val="000000"/>
          <w:lang w:val="en-US" w:eastAsia="sv-SE"/>
        </w:rPr>
        <w:t>American Political Science Review. </w:t>
      </w: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57 (4): 794-809.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Díaz-Cayeros, Alberto, Beatriz Magaloni, and Alexander Ruiz-Euler. 2014. “Traditional Governance, Citizen Engagement, and Local Public Goods: Evidence from Mexico,” </w:t>
      </w:r>
      <w:r w:rsidRPr="00512147">
        <w:rPr>
          <w:rFonts w:ascii="Times New Roman" w:eastAsia="Times New Roman" w:hAnsi="Times New Roman" w:cs="Times New Roman"/>
          <w:i/>
          <w:iCs/>
          <w:color w:val="000000"/>
          <w:lang w:val="en-US" w:eastAsia="sv-SE"/>
        </w:rPr>
        <w:t>World Development,</w:t>
      </w: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53 (1): 80–93.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</w:t>
      </w:r>
    </w:p>
    <w:p w:rsidR="00512147" w:rsidRPr="00512147" w:rsidRDefault="00512147" w:rsidP="00512147">
      <w:pPr>
        <w:rPr>
          <w:rFonts w:ascii="Times New Roman" w:eastAsia="Times New Roman" w:hAnsi="Times New Roman" w:cs="Times New Roman"/>
          <w:color w:val="000000"/>
          <w:lang w:val="en-US" w:eastAsia="sv-SE"/>
        </w:rPr>
      </w:pP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Habyarimana, James, Macarten Humphreys, Daniel Posner, and Jeremy Weinstein. 2007. “Why Does Ethnic Diversity Undermine Public Goods Provision? An Experimental Approach,” </w:t>
      </w:r>
      <w:r w:rsidRPr="00512147">
        <w:rPr>
          <w:rFonts w:ascii="Times New Roman" w:eastAsia="Times New Roman" w:hAnsi="Times New Roman" w:cs="Times New Roman"/>
          <w:i/>
          <w:iCs/>
          <w:color w:val="000000"/>
          <w:lang w:val="en-US" w:eastAsia="sv-SE"/>
        </w:rPr>
        <w:t>American Political Science Review,</w:t>
      </w:r>
      <w:r w:rsidRPr="00512147">
        <w:rPr>
          <w:rFonts w:ascii="Times New Roman" w:eastAsia="Times New Roman" w:hAnsi="Times New Roman" w:cs="Times New Roman"/>
          <w:color w:val="000000"/>
          <w:lang w:val="en-US" w:eastAsia="sv-SE"/>
        </w:rPr>
        <w:t> 101 (4): 709–725.</w:t>
      </w:r>
    </w:p>
    <w:p w:rsidR="00512147" w:rsidRPr="00512147" w:rsidRDefault="00512147">
      <w:pPr>
        <w:rPr>
          <w:lang w:val="en-US"/>
        </w:rPr>
      </w:pPr>
    </w:p>
    <w:sectPr w:rsidR="00512147" w:rsidRPr="00512147" w:rsidSect="00F4593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47"/>
    <w:rsid w:val="00512147"/>
    <w:rsid w:val="00C74252"/>
    <w:rsid w:val="00F4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2D3E3C"/>
  <w15:chartTrackingRefBased/>
  <w15:docId w15:val="{4702F07C-4515-C24E-8D86-10742E9D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apple-converted-space">
    <w:name w:val="apple-converted-space"/>
    <w:basedOn w:val="Standardstycketeckensnitt"/>
    <w:rsid w:val="00512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45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647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Birgitta Niklasson</dc:creator>
  <cp:keywords/>
  <dc:description/>
  <cp:lastModifiedBy>Birgitta Niklasson</cp:lastModifiedBy>
  <cp:revision>1</cp:revision>
  <dcterms:created xsi:type="dcterms:W3CDTF">2020-01-23T22:23:00Z</dcterms:created>
  <dcterms:modified xsi:type="dcterms:W3CDTF">2020-01-23T22:23:00Z</dcterms:modified>
</cp:coreProperties>
</file>