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6F562" w14:textId="2EE2D395" w:rsidR="00066CCE" w:rsidRDefault="00590591" w:rsidP="00AA4A44">
      <w:pPr>
        <w:jc w:val="center"/>
        <w:rPr>
          <w:b/>
          <w:bCs/>
          <w:sz w:val="32"/>
          <w:szCs w:val="32"/>
        </w:rPr>
      </w:pPr>
      <w:r w:rsidRPr="00AA4A44">
        <w:rPr>
          <w:b/>
          <w:bCs/>
          <w:sz w:val="32"/>
          <w:szCs w:val="32"/>
        </w:rPr>
        <w:t>Exam 1 Review</w:t>
      </w:r>
    </w:p>
    <w:p w14:paraId="4EDBC083" w14:textId="5F754312" w:rsidR="00AA4A44" w:rsidRDefault="00AA4A44" w:rsidP="00AA4A44">
      <w:pPr>
        <w:jc w:val="center"/>
        <w:rPr>
          <w:b/>
          <w:bCs/>
          <w:sz w:val="32"/>
          <w:szCs w:val="32"/>
        </w:rPr>
      </w:pPr>
    </w:p>
    <w:p w14:paraId="309AEF71" w14:textId="70F365AE" w:rsidR="00AA4A44" w:rsidRPr="00AA4A44" w:rsidRDefault="00AA4A44" w:rsidP="00AA4A44">
      <w:r>
        <w:t>Recall that scenarios have different methods based on the type of data that you are working with. To compare the two methods, fill in the following table with how these methods differ.</w:t>
      </w:r>
    </w:p>
    <w:p w14:paraId="1904F29F" w14:textId="6DDC77D4" w:rsidR="00590591" w:rsidRDefault="00590591"/>
    <w:tbl>
      <w:tblPr>
        <w:tblStyle w:val="TableGrid"/>
        <w:tblW w:w="0" w:type="auto"/>
        <w:tblLook w:val="04A0" w:firstRow="1" w:lastRow="0" w:firstColumn="1" w:lastColumn="0" w:noHBand="0" w:noVBand="1"/>
      </w:tblPr>
      <w:tblGrid>
        <w:gridCol w:w="2295"/>
        <w:gridCol w:w="2295"/>
        <w:gridCol w:w="2296"/>
        <w:gridCol w:w="2296"/>
      </w:tblGrid>
      <w:tr w:rsidR="00590591" w14:paraId="234C884E" w14:textId="77777777" w:rsidTr="00590591">
        <w:trPr>
          <w:trHeight w:val="909"/>
        </w:trPr>
        <w:tc>
          <w:tcPr>
            <w:tcW w:w="2295" w:type="dxa"/>
            <w:vAlign w:val="center"/>
          </w:tcPr>
          <w:p w14:paraId="2BFD3751" w14:textId="1D1486DC" w:rsidR="00590591" w:rsidRPr="00590591" w:rsidRDefault="00590591" w:rsidP="00590591">
            <w:pPr>
              <w:jc w:val="center"/>
              <w:rPr>
                <w:b/>
                <w:bCs/>
              </w:rPr>
            </w:pPr>
            <w:r w:rsidRPr="00590591">
              <w:rPr>
                <w:b/>
                <w:bCs/>
              </w:rPr>
              <w:t>Concept</w:t>
            </w:r>
          </w:p>
        </w:tc>
        <w:tc>
          <w:tcPr>
            <w:tcW w:w="2295" w:type="dxa"/>
            <w:vAlign w:val="center"/>
          </w:tcPr>
          <w:p w14:paraId="2C3FE1DD" w14:textId="5642823E" w:rsidR="00590591" w:rsidRPr="00590591" w:rsidRDefault="00590591" w:rsidP="00590591">
            <w:pPr>
              <w:jc w:val="center"/>
              <w:rPr>
                <w:b/>
                <w:bCs/>
              </w:rPr>
            </w:pPr>
            <w:r w:rsidRPr="00590591">
              <w:rPr>
                <w:b/>
                <w:bCs/>
              </w:rPr>
              <w:t>Categorical Data</w:t>
            </w:r>
          </w:p>
        </w:tc>
        <w:tc>
          <w:tcPr>
            <w:tcW w:w="2296" w:type="dxa"/>
            <w:vAlign w:val="center"/>
          </w:tcPr>
          <w:p w14:paraId="29C8A10C" w14:textId="44BB0213" w:rsidR="00590591" w:rsidRPr="00590591" w:rsidRDefault="00590591" w:rsidP="00590591">
            <w:pPr>
              <w:jc w:val="center"/>
              <w:rPr>
                <w:b/>
                <w:bCs/>
              </w:rPr>
            </w:pPr>
            <w:r w:rsidRPr="00590591">
              <w:rPr>
                <w:b/>
                <w:bCs/>
              </w:rPr>
              <w:t>Quantitative Data</w:t>
            </w:r>
          </w:p>
        </w:tc>
        <w:tc>
          <w:tcPr>
            <w:tcW w:w="2296" w:type="dxa"/>
            <w:vAlign w:val="center"/>
          </w:tcPr>
          <w:p w14:paraId="10D700F6" w14:textId="73E2960C" w:rsidR="00590591" w:rsidRPr="00590591" w:rsidRDefault="00590591" w:rsidP="00590591">
            <w:pPr>
              <w:jc w:val="center"/>
              <w:rPr>
                <w:b/>
                <w:bCs/>
              </w:rPr>
            </w:pPr>
            <w:r w:rsidRPr="00590591">
              <w:rPr>
                <w:b/>
                <w:bCs/>
              </w:rPr>
              <w:t>Additional Notes</w:t>
            </w:r>
          </w:p>
        </w:tc>
      </w:tr>
      <w:tr w:rsidR="00590591" w14:paraId="52E2E1A3" w14:textId="77777777" w:rsidTr="00590591">
        <w:trPr>
          <w:trHeight w:val="968"/>
        </w:trPr>
        <w:tc>
          <w:tcPr>
            <w:tcW w:w="2295" w:type="dxa"/>
            <w:vAlign w:val="center"/>
          </w:tcPr>
          <w:p w14:paraId="4A15CEE2" w14:textId="26D83A27" w:rsidR="00590591" w:rsidRDefault="00590591" w:rsidP="00590591">
            <w:pPr>
              <w:jc w:val="center"/>
            </w:pPr>
            <w:r>
              <w:t>Parameter</w:t>
            </w:r>
            <w:r w:rsidR="00AA4A44">
              <w:t xml:space="preserve"> and symbol</w:t>
            </w:r>
          </w:p>
        </w:tc>
        <w:tc>
          <w:tcPr>
            <w:tcW w:w="2295" w:type="dxa"/>
            <w:vAlign w:val="center"/>
          </w:tcPr>
          <w:p w14:paraId="41AE96EF" w14:textId="77777777" w:rsidR="00590591" w:rsidRDefault="00590591" w:rsidP="00590591"/>
        </w:tc>
        <w:tc>
          <w:tcPr>
            <w:tcW w:w="2296" w:type="dxa"/>
            <w:vAlign w:val="center"/>
          </w:tcPr>
          <w:p w14:paraId="61E118B4" w14:textId="77777777" w:rsidR="00590591" w:rsidRDefault="00590591" w:rsidP="00590591"/>
        </w:tc>
        <w:tc>
          <w:tcPr>
            <w:tcW w:w="2296" w:type="dxa"/>
            <w:vAlign w:val="center"/>
          </w:tcPr>
          <w:p w14:paraId="137D8EFB" w14:textId="77777777" w:rsidR="00590591" w:rsidRDefault="00590591" w:rsidP="00590591"/>
        </w:tc>
      </w:tr>
      <w:tr w:rsidR="00590591" w14:paraId="77ECF899" w14:textId="77777777" w:rsidTr="00590591">
        <w:trPr>
          <w:trHeight w:val="909"/>
        </w:trPr>
        <w:tc>
          <w:tcPr>
            <w:tcW w:w="2295" w:type="dxa"/>
            <w:vAlign w:val="center"/>
          </w:tcPr>
          <w:p w14:paraId="64F71BBB" w14:textId="4E976F8C" w:rsidR="00590591" w:rsidRDefault="00590591" w:rsidP="00590591">
            <w:pPr>
              <w:jc w:val="center"/>
            </w:pPr>
            <w:r>
              <w:t>Statistic</w:t>
            </w:r>
            <w:r w:rsidR="00AA4A44">
              <w:t xml:space="preserve"> and symbol</w:t>
            </w:r>
          </w:p>
        </w:tc>
        <w:tc>
          <w:tcPr>
            <w:tcW w:w="2295" w:type="dxa"/>
            <w:vAlign w:val="center"/>
          </w:tcPr>
          <w:p w14:paraId="76EFB5E3" w14:textId="77777777" w:rsidR="00590591" w:rsidRDefault="00590591" w:rsidP="00590591"/>
        </w:tc>
        <w:tc>
          <w:tcPr>
            <w:tcW w:w="2296" w:type="dxa"/>
            <w:vAlign w:val="center"/>
          </w:tcPr>
          <w:p w14:paraId="6521C750" w14:textId="77777777" w:rsidR="00590591" w:rsidRDefault="00590591" w:rsidP="00590591"/>
        </w:tc>
        <w:tc>
          <w:tcPr>
            <w:tcW w:w="2296" w:type="dxa"/>
            <w:vAlign w:val="center"/>
          </w:tcPr>
          <w:p w14:paraId="5BE84005" w14:textId="77777777" w:rsidR="00590591" w:rsidRDefault="00590591" w:rsidP="00590591"/>
        </w:tc>
      </w:tr>
      <w:tr w:rsidR="00AA4A44" w14:paraId="71C1B3A0" w14:textId="77777777" w:rsidTr="00590591">
        <w:trPr>
          <w:trHeight w:val="909"/>
        </w:trPr>
        <w:tc>
          <w:tcPr>
            <w:tcW w:w="2295" w:type="dxa"/>
            <w:vAlign w:val="center"/>
          </w:tcPr>
          <w:p w14:paraId="3600BCD4" w14:textId="4F5BB0A3" w:rsidR="00AA4A44" w:rsidRDefault="00AA4A44" w:rsidP="00590591">
            <w:pPr>
              <w:jc w:val="center"/>
            </w:pPr>
            <w:r>
              <w:t>Null and alternative hypotheses</w:t>
            </w:r>
          </w:p>
        </w:tc>
        <w:tc>
          <w:tcPr>
            <w:tcW w:w="2295" w:type="dxa"/>
            <w:vAlign w:val="center"/>
          </w:tcPr>
          <w:p w14:paraId="5558F45F" w14:textId="77777777" w:rsidR="00AA4A44" w:rsidRDefault="00AA4A44" w:rsidP="00590591"/>
        </w:tc>
        <w:tc>
          <w:tcPr>
            <w:tcW w:w="2296" w:type="dxa"/>
            <w:vAlign w:val="center"/>
          </w:tcPr>
          <w:p w14:paraId="50A3B4CE" w14:textId="77777777" w:rsidR="00AA4A44" w:rsidRDefault="00AA4A44" w:rsidP="00590591"/>
        </w:tc>
        <w:tc>
          <w:tcPr>
            <w:tcW w:w="2296" w:type="dxa"/>
            <w:vAlign w:val="center"/>
          </w:tcPr>
          <w:p w14:paraId="335C29F0" w14:textId="77777777" w:rsidR="00AA4A44" w:rsidRDefault="00AA4A44" w:rsidP="00590591"/>
        </w:tc>
      </w:tr>
      <w:tr w:rsidR="00590591" w14:paraId="3BF4D5D7" w14:textId="77777777" w:rsidTr="00590591">
        <w:trPr>
          <w:trHeight w:val="968"/>
        </w:trPr>
        <w:tc>
          <w:tcPr>
            <w:tcW w:w="2295" w:type="dxa"/>
            <w:vAlign w:val="center"/>
          </w:tcPr>
          <w:p w14:paraId="5909FE4A" w14:textId="1EAE1D8C" w:rsidR="00590591" w:rsidRDefault="00590591" w:rsidP="00590591">
            <w:pPr>
              <w:jc w:val="center"/>
            </w:pPr>
            <w:r>
              <w:t>Standard Error</w:t>
            </w:r>
          </w:p>
        </w:tc>
        <w:tc>
          <w:tcPr>
            <w:tcW w:w="2295" w:type="dxa"/>
            <w:vAlign w:val="center"/>
          </w:tcPr>
          <w:p w14:paraId="6F6D4EB2" w14:textId="77777777" w:rsidR="00590591" w:rsidRDefault="00590591" w:rsidP="00590591"/>
        </w:tc>
        <w:tc>
          <w:tcPr>
            <w:tcW w:w="2296" w:type="dxa"/>
            <w:vAlign w:val="center"/>
          </w:tcPr>
          <w:p w14:paraId="4F70FF7E" w14:textId="77777777" w:rsidR="00590591" w:rsidRDefault="00590591" w:rsidP="00590591"/>
        </w:tc>
        <w:tc>
          <w:tcPr>
            <w:tcW w:w="2296" w:type="dxa"/>
            <w:vAlign w:val="center"/>
          </w:tcPr>
          <w:p w14:paraId="3D06764A" w14:textId="77777777" w:rsidR="00590591" w:rsidRDefault="00590591" w:rsidP="00590591"/>
        </w:tc>
      </w:tr>
      <w:tr w:rsidR="00590591" w14:paraId="7F82E641" w14:textId="77777777" w:rsidTr="00590591">
        <w:trPr>
          <w:trHeight w:val="909"/>
        </w:trPr>
        <w:tc>
          <w:tcPr>
            <w:tcW w:w="2295" w:type="dxa"/>
            <w:vAlign w:val="center"/>
          </w:tcPr>
          <w:p w14:paraId="3ABC7498" w14:textId="472B64C4" w:rsidR="00590591" w:rsidRDefault="00590591" w:rsidP="00590591">
            <w:pPr>
              <w:jc w:val="center"/>
            </w:pPr>
            <w:r>
              <w:t>Standardized Statistic</w:t>
            </w:r>
          </w:p>
        </w:tc>
        <w:tc>
          <w:tcPr>
            <w:tcW w:w="2295" w:type="dxa"/>
            <w:vAlign w:val="center"/>
          </w:tcPr>
          <w:p w14:paraId="6AD1BCBD" w14:textId="77777777" w:rsidR="00590591" w:rsidRDefault="00590591" w:rsidP="00590591"/>
        </w:tc>
        <w:tc>
          <w:tcPr>
            <w:tcW w:w="2296" w:type="dxa"/>
            <w:vAlign w:val="center"/>
          </w:tcPr>
          <w:p w14:paraId="0B42907B" w14:textId="77777777" w:rsidR="00590591" w:rsidRDefault="00590591" w:rsidP="00590591"/>
        </w:tc>
        <w:tc>
          <w:tcPr>
            <w:tcW w:w="2296" w:type="dxa"/>
            <w:vAlign w:val="center"/>
          </w:tcPr>
          <w:p w14:paraId="13AD6EDE" w14:textId="77777777" w:rsidR="00590591" w:rsidRDefault="00590591" w:rsidP="00590591"/>
        </w:tc>
      </w:tr>
      <w:tr w:rsidR="00590591" w14:paraId="5B8CC7A8" w14:textId="77777777" w:rsidTr="00590591">
        <w:trPr>
          <w:trHeight w:val="909"/>
        </w:trPr>
        <w:tc>
          <w:tcPr>
            <w:tcW w:w="2295" w:type="dxa"/>
            <w:vAlign w:val="center"/>
          </w:tcPr>
          <w:p w14:paraId="5BC840E0" w14:textId="51B70E03" w:rsidR="00590591" w:rsidRDefault="00590591" w:rsidP="00590591">
            <w:pPr>
              <w:jc w:val="center"/>
            </w:pPr>
            <w:r>
              <w:t>Confidence Interval</w:t>
            </w:r>
          </w:p>
        </w:tc>
        <w:tc>
          <w:tcPr>
            <w:tcW w:w="2295" w:type="dxa"/>
            <w:vAlign w:val="center"/>
          </w:tcPr>
          <w:p w14:paraId="2C6DB58E" w14:textId="77777777" w:rsidR="00590591" w:rsidRDefault="00590591" w:rsidP="00590591"/>
        </w:tc>
        <w:tc>
          <w:tcPr>
            <w:tcW w:w="2296" w:type="dxa"/>
            <w:vAlign w:val="center"/>
          </w:tcPr>
          <w:p w14:paraId="07DADCCF" w14:textId="77777777" w:rsidR="00590591" w:rsidRDefault="00590591" w:rsidP="00590591"/>
        </w:tc>
        <w:tc>
          <w:tcPr>
            <w:tcW w:w="2296" w:type="dxa"/>
            <w:vAlign w:val="center"/>
          </w:tcPr>
          <w:p w14:paraId="7255AAF7" w14:textId="77777777" w:rsidR="00590591" w:rsidRDefault="00590591" w:rsidP="00590591"/>
        </w:tc>
      </w:tr>
      <w:tr w:rsidR="00590591" w14:paraId="45EE68DA" w14:textId="77777777" w:rsidTr="00590591">
        <w:trPr>
          <w:trHeight w:val="968"/>
        </w:trPr>
        <w:tc>
          <w:tcPr>
            <w:tcW w:w="2295" w:type="dxa"/>
            <w:vAlign w:val="center"/>
          </w:tcPr>
          <w:p w14:paraId="42D450AC" w14:textId="4780AFBD" w:rsidR="00590591" w:rsidRDefault="00AA4A44" w:rsidP="00590591">
            <w:pPr>
              <w:jc w:val="center"/>
            </w:pPr>
            <w:r>
              <w:t>Conclusion</w:t>
            </w:r>
          </w:p>
        </w:tc>
        <w:tc>
          <w:tcPr>
            <w:tcW w:w="2295" w:type="dxa"/>
            <w:vAlign w:val="center"/>
          </w:tcPr>
          <w:p w14:paraId="6627ABC0" w14:textId="77777777" w:rsidR="00590591" w:rsidRDefault="00590591" w:rsidP="00590591"/>
        </w:tc>
        <w:tc>
          <w:tcPr>
            <w:tcW w:w="2296" w:type="dxa"/>
            <w:vAlign w:val="center"/>
          </w:tcPr>
          <w:p w14:paraId="1AF4D9B7" w14:textId="77777777" w:rsidR="00590591" w:rsidRDefault="00590591" w:rsidP="00590591"/>
        </w:tc>
        <w:tc>
          <w:tcPr>
            <w:tcW w:w="2296" w:type="dxa"/>
            <w:vAlign w:val="center"/>
          </w:tcPr>
          <w:p w14:paraId="3E5109B6" w14:textId="77777777" w:rsidR="00590591" w:rsidRDefault="00590591" w:rsidP="00590591"/>
        </w:tc>
      </w:tr>
    </w:tbl>
    <w:p w14:paraId="3DEDF774" w14:textId="503B9F11" w:rsidR="00590591" w:rsidRDefault="00590591"/>
    <w:p w14:paraId="1A523229" w14:textId="4D331629" w:rsidR="00AA4A44" w:rsidRDefault="00CD28FE">
      <w:r>
        <w:t>In addition to working through the process of analyzing a scenario, you should also be able to complete the following:</w:t>
      </w:r>
    </w:p>
    <w:p w14:paraId="3BE612EA" w14:textId="2F2A01D9" w:rsidR="00CD28FE" w:rsidRDefault="00CD28FE" w:rsidP="00CD28FE">
      <w:pPr>
        <w:pStyle w:val="ListParagraph"/>
        <w:numPr>
          <w:ilvl w:val="0"/>
          <w:numId w:val="1"/>
        </w:numPr>
      </w:pPr>
      <w:r>
        <w:t>Identify variable types</w:t>
      </w:r>
    </w:p>
    <w:p w14:paraId="7995ADF5" w14:textId="5736D96E" w:rsidR="00CD28FE" w:rsidRDefault="00CD28FE" w:rsidP="00CD28FE">
      <w:pPr>
        <w:pStyle w:val="ListParagraph"/>
        <w:numPr>
          <w:ilvl w:val="0"/>
          <w:numId w:val="1"/>
        </w:numPr>
      </w:pPr>
      <w:r>
        <w:t>Describe a distribution</w:t>
      </w:r>
    </w:p>
    <w:p w14:paraId="6E402733" w14:textId="26CF0EAE" w:rsidR="00CD28FE" w:rsidRDefault="00CD28FE" w:rsidP="00CD28FE">
      <w:pPr>
        <w:pStyle w:val="ListParagraph"/>
        <w:numPr>
          <w:ilvl w:val="0"/>
          <w:numId w:val="1"/>
        </w:numPr>
      </w:pPr>
      <w:r>
        <w:t>Identify the notation for parameters/statistics for both categorical and quantitative data</w:t>
      </w:r>
    </w:p>
    <w:p w14:paraId="7072FE40" w14:textId="1A11C0B8" w:rsidR="00CD28FE" w:rsidRDefault="00C72770" w:rsidP="00CD28FE">
      <w:pPr>
        <w:pStyle w:val="ListParagraph"/>
        <w:numPr>
          <w:ilvl w:val="0"/>
          <w:numId w:val="1"/>
        </w:numPr>
      </w:pPr>
      <w:r>
        <w:t>Know Type I and Type II errors and use in context</w:t>
      </w:r>
    </w:p>
    <w:p w14:paraId="7924E001" w14:textId="78DA07B2" w:rsidR="00C72770" w:rsidRDefault="00C72770" w:rsidP="00CD28FE">
      <w:pPr>
        <w:pStyle w:val="ListParagraph"/>
        <w:numPr>
          <w:ilvl w:val="0"/>
          <w:numId w:val="1"/>
        </w:numPr>
      </w:pPr>
      <w:r>
        <w:t>Difference between parameters and statistics</w:t>
      </w:r>
    </w:p>
    <w:p w14:paraId="5F663012" w14:textId="52EE0803" w:rsidR="00C72770" w:rsidRDefault="00C72770" w:rsidP="00CD28FE">
      <w:pPr>
        <w:pStyle w:val="ListParagraph"/>
        <w:numPr>
          <w:ilvl w:val="0"/>
          <w:numId w:val="1"/>
        </w:numPr>
      </w:pPr>
      <w:r>
        <w:t>Know specifics about p-values, standardized statistics, and confidence intervals</w:t>
      </w:r>
    </w:p>
    <w:p w14:paraId="10B64484" w14:textId="2A9CEC1A" w:rsidR="00C72770" w:rsidRDefault="00C72770" w:rsidP="00C72770">
      <w:pPr>
        <w:pStyle w:val="ListParagraph"/>
        <w:numPr>
          <w:ilvl w:val="1"/>
          <w:numId w:val="1"/>
        </w:numPr>
      </w:pPr>
      <w:r>
        <w:t>Definitions, when to reject or fail to reject, what changes the strength of evidence</w:t>
      </w:r>
      <w:r w:rsidR="007861BE">
        <w:t xml:space="preserve"> (what happens when sample size changes?)</w:t>
      </w:r>
    </w:p>
    <w:p w14:paraId="211D26F2" w14:textId="438FF2F2" w:rsidR="00C72770" w:rsidRDefault="00C72770" w:rsidP="00C72770">
      <w:pPr>
        <w:pStyle w:val="ListParagraph"/>
        <w:numPr>
          <w:ilvl w:val="0"/>
          <w:numId w:val="1"/>
        </w:numPr>
      </w:pPr>
      <w:r>
        <w:t>Correctly reject / fail to reject a null hypothesis at different significance levels</w:t>
      </w:r>
    </w:p>
    <w:p w14:paraId="046806B5" w14:textId="13A690D8" w:rsidR="00C72770" w:rsidRDefault="00C72770" w:rsidP="00C72770">
      <w:pPr>
        <w:pStyle w:val="ListParagraph"/>
        <w:numPr>
          <w:ilvl w:val="0"/>
          <w:numId w:val="1"/>
        </w:numPr>
      </w:pPr>
      <w:r>
        <w:lastRenderedPageBreak/>
        <w:t>Given a CI</w:t>
      </w:r>
      <w:r w:rsidR="001D6162">
        <w:t xml:space="preserve"> and sample size</w:t>
      </w:r>
      <w:r>
        <w:t xml:space="preserve">, work backwards to show how it was </w:t>
      </w:r>
      <w:r w:rsidR="001D6162">
        <w:t>calculated</w:t>
      </w:r>
    </w:p>
    <w:p w14:paraId="45F19B82" w14:textId="1D739405" w:rsidR="00CD28FE" w:rsidRDefault="00CD28FE" w:rsidP="00CD28FE"/>
    <w:p w14:paraId="76024407" w14:textId="67BD0F01" w:rsidR="00CD28FE" w:rsidRDefault="00CD28FE" w:rsidP="00CD28FE">
      <w:r>
        <w:t>Notation</w:t>
      </w:r>
    </w:p>
    <w:tbl>
      <w:tblPr>
        <w:tblStyle w:val="TableGrid"/>
        <w:tblW w:w="7059" w:type="dxa"/>
        <w:jc w:val="center"/>
        <w:tblLook w:val="04A0" w:firstRow="1" w:lastRow="0" w:firstColumn="1" w:lastColumn="0" w:noHBand="0" w:noVBand="1"/>
      </w:tblPr>
      <w:tblGrid>
        <w:gridCol w:w="1437"/>
        <w:gridCol w:w="2955"/>
        <w:gridCol w:w="2667"/>
      </w:tblGrid>
      <w:tr w:rsidR="00CD28FE" w14:paraId="2B4BDC33" w14:textId="77777777" w:rsidTr="00617583">
        <w:trPr>
          <w:trHeight w:val="955"/>
          <w:jc w:val="center"/>
        </w:trPr>
        <w:tc>
          <w:tcPr>
            <w:tcW w:w="1437" w:type="dxa"/>
            <w:vAlign w:val="center"/>
          </w:tcPr>
          <w:p w14:paraId="1A5EE95E" w14:textId="77777777" w:rsidR="00CD28FE" w:rsidRPr="00CB617E" w:rsidRDefault="00CD28FE" w:rsidP="009865C6">
            <w:pPr>
              <w:jc w:val="center"/>
              <w:rPr>
                <w:b/>
                <w:bCs/>
              </w:rPr>
            </w:pPr>
          </w:p>
        </w:tc>
        <w:tc>
          <w:tcPr>
            <w:tcW w:w="2955" w:type="dxa"/>
            <w:vAlign w:val="center"/>
          </w:tcPr>
          <w:p w14:paraId="462B8780" w14:textId="77777777" w:rsidR="00CD28FE" w:rsidRPr="00CB617E" w:rsidRDefault="00CD28FE" w:rsidP="009865C6">
            <w:pPr>
              <w:jc w:val="center"/>
              <w:rPr>
                <w:b/>
                <w:bCs/>
              </w:rPr>
            </w:pPr>
            <w:r w:rsidRPr="00CB617E">
              <w:rPr>
                <w:b/>
                <w:bCs/>
              </w:rPr>
              <w:t>Categorical</w:t>
            </w:r>
          </w:p>
        </w:tc>
        <w:tc>
          <w:tcPr>
            <w:tcW w:w="2667" w:type="dxa"/>
            <w:vAlign w:val="center"/>
          </w:tcPr>
          <w:p w14:paraId="0EFA16DD" w14:textId="77777777" w:rsidR="00CD28FE" w:rsidRPr="00CB617E" w:rsidRDefault="00CD28FE" w:rsidP="009865C6">
            <w:pPr>
              <w:jc w:val="center"/>
              <w:rPr>
                <w:b/>
                <w:bCs/>
              </w:rPr>
            </w:pPr>
            <w:r w:rsidRPr="00CB617E">
              <w:rPr>
                <w:b/>
                <w:bCs/>
              </w:rPr>
              <w:t>Quantitative</w:t>
            </w:r>
          </w:p>
        </w:tc>
      </w:tr>
      <w:tr w:rsidR="00CD28FE" w14:paraId="67FC0926" w14:textId="77777777" w:rsidTr="00617583">
        <w:trPr>
          <w:trHeight w:val="955"/>
          <w:jc w:val="center"/>
        </w:trPr>
        <w:tc>
          <w:tcPr>
            <w:tcW w:w="1437" w:type="dxa"/>
            <w:vAlign w:val="center"/>
          </w:tcPr>
          <w:p w14:paraId="184B680C" w14:textId="77777777" w:rsidR="00CD28FE" w:rsidRPr="00CB617E" w:rsidRDefault="00CD28FE" w:rsidP="009865C6">
            <w:pPr>
              <w:jc w:val="center"/>
              <w:rPr>
                <w:b/>
                <w:bCs/>
              </w:rPr>
            </w:pPr>
            <w:r w:rsidRPr="00CB617E">
              <w:rPr>
                <w:b/>
                <w:bCs/>
              </w:rPr>
              <w:t>Population</w:t>
            </w:r>
          </w:p>
        </w:tc>
        <w:tc>
          <w:tcPr>
            <w:tcW w:w="2955" w:type="dxa"/>
            <w:vAlign w:val="center"/>
          </w:tcPr>
          <w:p w14:paraId="1FE34DD5" w14:textId="77777777" w:rsidR="00CD28FE" w:rsidRDefault="00CD28FE" w:rsidP="00CD28FE"/>
        </w:tc>
        <w:tc>
          <w:tcPr>
            <w:tcW w:w="2667" w:type="dxa"/>
            <w:vAlign w:val="center"/>
          </w:tcPr>
          <w:p w14:paraId="6E2DA411" w14:textId="77777777" w:rsidR="00CD28FE" w:rsidRDefault="00CD28FE" w:rsidP="00CD28FE"/>
        </w:tc>
      </w:tr>
      <w:tr w:rsidR="00CD28FE" w14:paraId="475948B4" w14:textId="77777777" w:rsidTr="00617583">
        <w:trPr>
          <w:trHeight w:val="955"/>
          <w:jc w:val="center"/>
        </w:trPr>
        <w:tc>
          <w:tcPr>
            <w:tcW w:w="1437" w:type="dxa"/>
            <w:vAlign w:val="center"/>
          </w:tcPr>
          <w:p w14:paraId="4AF7E313" w14:textId="77777777" w:rsidR="00CD28FE" w:rsidRPr="00CB617E" w:rsidRDefault="00CD28FE" w:rsidP="009865C6">
            <w:pPr>
              <w:jc w:val="center"/>
              <w:rPr>
                <w:b/>
                <w:bCs/>
              </w:rPr>
            </w:pPr>
            <w:r w:rsidRPr="00CB617E">
              <w:rPr>
                <w:b/>
                <w:bCs/>
              </w:rPr>
              <w:t>Sample</w:t>
            </w:r>
          </w:p>
        </w:tc>
        <w:tc>
          <w:tcPr>
            <w:tcW w:w="2955" w:type="dxa"/>
            <w:vAlign w:val="center"/>
          </w:tcPr>
          <w:p w14:paraId="22CF3BCD" w14:textId="77777777" w:rsidR="00CD28FE" w:rsidRDefault="00CD28FE" w:rsidP="00CD28FE"/>
        </w:tc>
        <w:tc>
          <w:tcPr>
            <w:tcW w:w="2667" w:type="dxa"/>
            <w:vAlign w:val="center"/>
          </w:tcPr>
          <w:p w14:paraId="0335F088" w14:textId="77777777" w:rsidR="00CD28FE" w:rsidRDefault="00CD28FE" w:rsidP="00CD28FE"/>
        </w:tc>
      </w:tr>
    </w:tbl>
    <w:p w14:paraId="5AF594EB" w14:textId="59023985" w:rsidR="00CD28FE" w:rsidRDefault="00CD28FE" w:rsidP="00CD28FE"/>
    <w:p w14:paraId="456595F5" w14:textId="6536AE65" w:rsidR="00F66ECD" w:rsidRDefault="00F66ECD" w:rsidP="00CD28FE"/>
    <w:p w14:paraId="7DCD4316" w14:textId="77777777" w:rsidR="00F66ECD" w:rsidRDefault="00F66ECD" w:rsidP="00CD28FE"/>
    <w:p w14:paraId="51930E80" w14:textId="1171E245" w:rsidR="00F66ECD" w:rsidRDefault="00F66ECD" w:rsidP="00CD28FE">
      <w:r>
        <w:t>Provided Formulas</w:t>
      </w:r>
    </w:p>
    <w:p w14:paraId="65F057D3" w14:textId="77777777" w:rsidR="00F66ECD" w:rsidRDefault="00F66ECD" w:rsidP="00F66ECD">
      <w:pPr>
        <w:pStyle w:val="FirstParagraph"/>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π</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π</m:t>
                      </m:r>
                    </m:e>
                  </m:d>
                </m:num>
                <m:den>
                  <m:r>
                    <w:rPr>
                      <w:rFonts w:ascii="Cambria Math" w:hAnsi="Cambria Math"/>
                    </w:rPr>
                    <m:t>n</m:t>
                  </m:r>
                </m:den>
              </m:f>
            </m:e>
          </m:rad>
        </m:oMath>
      </m:oMathPara>
    </w:p>
    <w:p w14:paraId="50663236" w14:textId="77777777" w:rsidR="00F66ECD" w:rsidRDefault="00F66ECD" w:rsidP="00F66ECD">
      <w:pPr>
        <w:pStyle w:val="BodyText"/>
      </w:pPr>
      <m:oMathPara>
        <m:oMath>
          <m:rad>
            <m:radPr>
              <m:degHide m:val="1"/>
              <m:ctrlPr>
                <w:rPr>
                  <w:rFonts w:ascii="Cambria Math" w:hAnsi="Cambria Math"/>
                </w:rPr>
              </m:ctrlPr>
            </m:radPr>
            <m:deg/>
            <m:e>
              <m:f>
                <m:fPr>
                  <m:ctrlPr>
                    <w:rPr>
                      <w:rFonts w:ascii="Cambria Math" w:hAnsi="Cambria Math"/>
                    </w:rPr>
                  </m:ctrlPr>
                </m:fPr>
                <m:num>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e>
                  </m:d>
                </m:num>
                <m:den>
                  <m:r>
                    <w:rPr>
                      <w:rFonts w:ascii="Cambria Math" w:hAnsi="Cambria Math"/>
                    </w:rPr>
                    <m:t>n</m:t>
                  </m:r>
                </m:den>
              </m:f>
            </m:e>
          </m:rad>
        </m:oMath>
      </m:oMathPara>
    </w:p>
    <w:p w14:paraId="7BA1256B" w14:textId="77777777" w:rsidR="00F66ECD" w:rsidRDefault="00F66ECD" w:rsidP="00F66ECD">
      <w:pPr>
        <w:pStyle w:val="BodyText"/>
      </w:pPr>
      <m:oMathPara>
        <m:oMath>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n</m:t>
                  </m:r>
                </m:e>
              </m:rad>
            </m:den>
          </m:f>
        </m:oMath>
      </m:oMathPara>
    </w:p>
    <w:p w14:paraId="47FD92AA" w14:textId="77777777" w:rsidR="00F66ECD" w:rsidRDefault="00F66ECD" w:rsidP="00CD28FE"/>
    <w:sectPr w:rsidR="00F66ECD" w:rsidSect="00C955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E4F3F"/>
    <w:multiLevelType w:val="hybridMultilevel"/>
    <w:tmpl w:val="E1CAA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FF1B75"/>
    <w:multiLevelType w:val="hybridMultilevel"/>
    <w:tmpl w:val="1F2A1958"/>
    <w:lvl w:ilvl="0" w:tplc="27B2259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475180">
    <w:abstractNumId w:val="0"/>
  </w:num>
  <w:num w:numId="2" w16cid:durableId="334187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591"/>
    <w:rsid w:val="00066CCE"/>
    <w:rsid w:val="000D5C43"/>
    <w:rsid w:val="001D6162"/>
    <w:rsid w:val="00590591"/>
    <w:rsid w:val="00617583"/>
    <w:rsid w:val="007861BE"/>
    <w:rsid w:val="00AA4A44"/>
    <w:rsid w:val="00C72770"/>
    <w:rsid w:val="00C9559B"/>
    <w:rsid w:val="00CD28FE"/>
    <w:rsid w:val="00DC41E8"/>
    <w:rsid w:val="00F66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E9AABE"/>
  <w15:chartTrackingRefBased/>
  <w15:docId w15:val="{E91F8B15-15EB-2A4B-BC54-187C1F5C4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05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28FE"/>
    <w:pPr>
      <w:ind w:left="720"/>
      <w:contextualSpacing/>
    </w:pPr>
  </w:style>
  <w:style w:type="paragraph" w:styleId="BodyText">
    <w:name w:val="Body Text"/>
    <w:basedOn w:val="Normal"/>
    <w:link w:val="BodyTextChar"/>
    <w:qFormat/>
    <w:rsid w:val="00F66ECD"/>
    <w:pPr>
      <w:spacing w:before="180" w:after="180"/>
    </w:pPr>
  </w:style>
  <w:style w:type="character" w:customStyle="1" w:styleId="BodyTextChar">
    <w:name w:val="Body Text Char"/>
    <w:basedOn w:val="DefaultParagraphFont"/>
    <w:link w:val="BodyText"/>
    <w:rsid w:val="00F66ECD"/>
  </w:style>
  <w:style w:type="paragraph" w:customStyle="1" w:styleId="FirstParagraph">
    <w:name w:val="First Paragraph"/>
    <w:basedOn w:val="BodyText"/>
    <w:next w:val="BodyText"/>
    <w:qFormat/>
    <w:rsid w:val="00F66E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191</Words>
  <Characters>1093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Wiederich</dc:creator>
  <cp:keywords/>
  <dc:description/>
  <cp:lastModifiedBy>Tyler Wiederich</cp:lastModifiedBy>
  <cp:revision>5</cp:revision>
  <dcterms:created xsi:type="dcterms:W3CDTF">2022-07-21T03:20:00Z</dcterms:created>
  <dcterms:modified xsi:type="dcterms:W3CDTF">2022-07-21T04:53:00Z</dcterms:modified>
</cp:coreProperties>
</file>