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A93"/>
          <w:sz w:val="48"/>
          <w:szCs w:val="48"/>
        </w:rPr>
        <w:t xml:space="preserve">CRISP-CI</w:t>
      </w:r>
    </w:p>
    <w:p>
      <w:pPr>
        <w:spacing w:after="60" w:before="0"/>
      </w:pPr>
      <w:r>
        <w:rPr>
          <w:rFonts w:ascii="Calibri" w:cs="Calibri" w:eastAsia="Calibri" w:hAnsi="Calibri"/>
          <w:b/>
          <w:bCs/>
          <w:color w:val="1B1F26"/>
          <w:sz w:val="24"/>
          <w:szCs w:val="24"/>
        </w:rPr>
        <w:t xml:space="preserve">Cyber Resilience Compliance and Risk Intelligence Platform for Critical Infrastructure Operators</w:t>
      </w:r>
    </w:p>
    <w:p>
      <w:pPr>
        <w:spacing w:after="240" w:before="0"/>
      </w:pPr>
      <w:r>
        <w:rPr>
          <w:rFonts w:ascii="Calibri" w:cs="Calibri" w:eastAsia="Calibri" w:hAnsi="Calibri"/>
          <w:i/>
          <w:iCs/>
          <w:color w:val="1B1F26"/>
          <w:sz w:val="20"/>
          <w:szCs w:val="20"/>
        </w:rPr>
        <w:t xml:space="preserve">Final Project Costs — Innovate UK Contracts for Innovation Application 10203615</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Lead organisation</w:t>
            </w:r>
          </w:p>
        </w:tc>
        <w:tc>
          <w:tcPr>
            <w:tcW w:type="dxa" w:w="65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Tools of Tech UK Ltd, 124-128 City Road, London, England, EC1V 2NX</w:t>
            </w:r>
          </w:p>
        </w:tc>
      </w:tr>
      <w:tr>
        <w:tc>
          <w:tcPr>
            <w:tcW w:type="dxa" w:w="2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bCs/>
                <w:color w:val="1B1F26"/>
                <w:sz w:val="20"/>
                <w:szCs w:val="20"/>
              </w:rPr>
              <w:t xml:space="preserve">Total project cost</w:t>
            </w:r>
          </w:p>
        </w:tc>
        <w:tc>
          <w:tcPr>
            <w:tcW w:type="dxa" w:w="65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£175,000 (no VAT)</w:t>
            </w:r>
          </w:p>
        </w:tc>
      </w:tr>
      <w:tr>
        <w:tc>
          <w:tcPr>
            <w:tcW w:type="dxa" w:w="2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Project duration</w:t>
            </w:r>
          </w:p>
        </w:tc>
        <w:tc>
          <w:tcPr>
            <w:tcW w:type="dxa" w:w="65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12 months, starting 1 September 2026</w:t>
            </w:r>
          </w:p>
        </w:tc>
      </w:tr>
      <w:tr>
        <w:tc>
          <w:tcPr>
            <w:tcW w:type="dxa" w:w="2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bCs/>
                <w:color w:val="1B1F26"/>
                <w:sz w:val="20"/>
                <w:szCs w:val="20"/>
              </w:rPr>
              <w:t xml:space="preserve">Target sector</w:t>
            </w:r>
          </w:p>
        </w:tc>
        <w:tc>
          <w:tcPr>
            <w:tcW w:type="dxa" w:w="65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Transport Critical National Infrastructure</w:t>
            </w:r>
          </w:p>
        </w:tc>
      </w:tr>
      <w:tr>
        <w:tc>
          <w:tcPr>
            <w:tcW w:type="dxa" w:w="2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Document version</w:t>
            </w:r>
          </w:p>
        </w:tc>
        <w:tc>
          <w:tcPr>
            <w:tcW w:type="dxa" w:w="65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Final budget structure, prepared for Dr Athanasios Staveris-Polykalas, 17 May 2026</w:t>
            </w:r>
          </w:p>
        </w:tc>
      </w:tr>
    </w:tbl>
    <w:p>
      <w:pPr>
        <w:pStyle w:val="Heading2"/>
        <w:spacing w:after="160" w:before="320"/>
      </w:pPr>
      <w:r>
        <w:rPr>
          <w:rFonts w:ascii="Calibri" w:cs="Calibri" w:eastAsia="Calibri" w:hAnsi="Calibri"/>
          <w:b/>
          <w:bCs/>
          <w:color w:val="1B1F26"/>
          <w:sz w:val="26"/>
          <w:szCs w:val="26"/>
        </w:rPr>
        <w:t xml:space="preserve">1. Cost summary</w:t>
      </w:r>
    </w:p>
    <w:p>
      <w:pPr>
        <w:spacing w:after="60" w:before="60"/>
        <w:jc w:val="left"/>
      </w:pPr>
      <w:r>
        <w:rPr>
          <w:rFonts w:ascii="Calibri" w:cs="Calibri" w:eastAsia="Calibri" w:hAnsi="Calibri"/>
          <w:b w:val="false"/>
          <w:bCs w:val="false"/>
          <w:i w:val="false"/>
          <w:iCs w:val="false"/>
          <w:color w:val="1B1F26"/>
          <w:sz w:val="20"/>
          <w:szCs w:val="20"/>
        </w:rPr>
        <w:t xml:space="preserve">Total project cost of £175,000, all costs at fair market value, no profit, no VAT claimed. Payments requested in arrears against completed milestones.</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1660"/>
      </w:tblGrid>
      <w:tr>
        <w:tc>
          <w:tcPr>
            <w:tcW w:type="dxa" w:w="55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 category</w:t>
            </w:r>
          </w:p>
        </w:tc>
        <w:tc>
          <w:tcPr>
            <w:tcW w:type="dxa" w:w="18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Amount</w:t>
            </w:r>
          </w:p>
        </w:tc>
        <w:tc>
          <w:tcPr>
            <w:tcW w:type="dxa" w:w="16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 of total</w:t>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Labour</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£92,250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52.7%</w:t>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Overhead costs</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£6,000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3.4%</w:t>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Materials</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0.0%</w:t>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Capital usage</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0.0%</w:t>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Subcontracting</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£59,850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34.2%</w:t>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Travel and subsistence</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£3,900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2.2%</w:t>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Other costs</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£13,000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7.4%</w:t>
            </w:r>
          </w:p>
        </w:tc>
      </w:tr>
      <w:tr>
        <w:tc>
          <w:tcPr>
            <w:tcW w:type="dxa" w:w="55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PROJECT COST (no VAT)</w:t>
            </w:r>
          </w:p>
        </w:tc>
        <w:tc>
          <w:tcPr>
            <w:tcW w:type="dxa" w:w="18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£175,000</w:t>
            </w:r>
          </w:p>
        </w:tc>
        <w:tc>
          <w:tcPr>
            <w:tcW w:type="dxa" w:w="16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100.0%</w:t>
            </w:r>
          </w:p>
        </w:tc>
      </w:tr>
    </w:tbl>
    <w:p>
      <w:pPr>
        <w:pStyle w:val="Heading2"/>
        <w:spacing w:after="160" w:before="320"/>
      </w:pPr>
      <w:r>
        <w:rPr>
          <w:rFonts w:ascii="Calibri" w:cs="Calibri" w:eastAsia="Calibri" w:hAnsi="Calibri"/>
          <w:b/>
          <w:bCs/>
          <w:color w:val="1B1F26"/>
          <w:sz w:val="26"/>
          <w:szCs w:val="26"/>
        </w:rPr>
        <w:t xml:space="preserve">2. Labour</w:t>
      </w:r>
    </w:p>
    <w:p>
      <w:pPr>
        <w:spacing w:after="60" w:before="60"/>
        <w:jc w:val="left"/>
      </w:pPr>
      <w:r>
        <w:rPr>
          <w:rFonts w:ascii="Calibri" w:cs="Calibri" w:eastAsia="Calibri" w:hAnsi="Calibri"/>
          <w:b w:val="false"/>
          <w:bCs w:val="false"/>
          <w:i w:val="false"/>
          <w:iCs w:val="false"/>
          <w:color w:val="1B1F26"/>
          <w:sz w:val="20"/>
          <w:szCs w:val="20"/>
        </w:rPr>
        <w:t xml:space="preserve">Tools of Tech UK Ltd operates a PAYE scheme. Both labour roles are employed (or to be employed) on PAYE. Working days per year: 232.</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300"/>
        <w:gridCol w:w="1100"/>
        <w:gridCol w:w="1660"/>
      </w:tblGrid>
      <w:tr>
        <w:tc>
          <w:tcPr>
            <w:tcW w:type="dxa" w:w="34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 within project</w:t>
            </w:r>
          </w:p>
        </w:tc>
        <w:tc>
          <w:tcPr>
            <w:tcW w:type="dxa" w:w="15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Gross employee cost</w:t>
            </w:r>
          </w:p>
        </w:tc>
        <w:tc>
          <w:tcPr>
            <w:tcW w:type="dxa" w:w="13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Rate (£/day)</w:t>
            </w:r>
          </w:p>
        </w:tc>
        <w:tc>
          <w:tcPr>
            <w:tcW w:type="dxa" w:w="11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Days</w:t>
            </w:r>
          </w:p>
        </w:tc>
        <w:tc>
          <w:tcPr>
            <w:tcW w:type="dxa" w:w="16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Total</w:t>
            </w:r>
          </w:p>
        </w:tc>
      </w:tr>
      <w:tr>
        <w:tc>
          <w:tcPr>
            <w:tcW w:type="dxa" w:w="3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Project Director and Cyber Resilience Architect (Dr Athanasios Staveris-Polykalas)</w:t>
            </w:r>
          </w:p>
        </w:tc>
        <w:tc>
          <w:tcPr>
            <w:tcW w:type="dxa" w:w="1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£104,400</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£450</w:t>
            </w:r>
          </w:p>
        </w:tc>
        <w:tc>
          <w:tcPr>
            <w:tcW w:type="dxa" w:w="1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140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£63,000</w:t>
            </w:r>
          </w:p>
        </w:tc>
      </w:tr>
      <w:tr>
        <w:tc>
          <w:tcPr>
            <w:tcW w:type="dxa" w:w="3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Senior Full-Stack Engineer (to be recruited before project start)</w:t>
            </w:r>
          </w:p>
        </w:tc>
        <w:tc>
          <w:tcPr>
            <w:tcW w:type="dxa" w:w="1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£104,400</w:t>
            </w:r>
          </w:p>
        </w:tc>
        <w:tc>
          <w:tcPr>
            <w:tcW w:type="dxa" w:w="1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£450</w:t>
            </w:r>
          </w:p>
        </w:tc>
        <w:tc>
          <w:tcPr>
            <w:tcW w:type="dxa" w:w="1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65</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£29,250</w:t>
            </w:r>
          </w:p>
        </w:tc>
      </w:tr>
      <w:tr>
        <w:tc>
          <w:tcPr>
            <w:tcW w:type="dxa" w:w="73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labour costs</w:t>
            </w:r>
          </w:p>
        </w:tc>
        <w:tc>
          <w:tcPr>
            <w:tcW w:type="dxa" w:w="16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£92,250</w:t>
            </w:r>
          </w:p>
        </w:tc>
      </w:tr>
    </w:tbl>
    <w:p>
      <w:pPr>
        <w:spacing w:after="60" w:before="60"/>
        <w:jc w:val="left"/>
      </w:pPr>
      <w:r>
        <w:rPr>
          <w:rFonts w:ascii="Calibri" w:cs="Calibri" w:eastAsia="Calibri" w:hAnsi="Calibri"/>
          <w:b w:val="false"/>
          <w:bCs w:val="false"/>
          <w:i/>
          <w:iCs/>
          <w:color w:val="1B1F26"/>
          <w:sz w:val="20"/>
          <w:szCs w:val="20"/>
        </w:rPr>
        <w:t xml:space="preserve">PAYE confirmation in IFS: tick "Yes, the people listed in the Labour costs are registered on the PAYE scheme".</w:t>
      </w:r>
    </w:p>
    <w:p>
      <w:pPr>
        <w:pStyle w:val="Heading2"/>
        <w:spacing w:after="160" w:before="320"/>
      </w:pPr>
      <w:r>
        <w:rPr>
          <w:rFonts w:ascii="Calibri" w:cs="Calibri" w:eastAsia="Calibri" w:hAnsi="Calibri"/>
          <w:b/>
          <w:bCs/>
          <w:color w:val="1B1F26"/>
          <w:sz w:val="26"/>
          <w:szCs w:val="26"/>
        </w:rPr>
        <w:t xml:space="preserve">3. Overhead costs</w:t>
      </w:r>
    </w:p>
    <w:p>
      <w:pPr>
        <w:spacing w:after="60" w:before="60"/>
        <w:jc w:val="left"/>
      </w:pPr>
      <w:r>
        <w:rPr>
          <w:rFonts w:ascii="Calibri" w:cs="Calibri" w:eastAsia="Calibri" w:hAnsi="Calibri"/>
          <w:b w:val="false"/>
          <w:bCs w:val="false"/>
          <w:i w:val="false"/>
          <w:iCs w:val="false"/>
          <w:color w:val="1B1F26"/>
          <w:sz w:val="20"/>
          <w:szCs w:val="20"/>
        </w:rPr>
        <w:t xml:space="preserve">Indirect costs attributable to the project. All items at 100% project allocation. Project-specific tooling licences are listed under Other costs to avoid double-counting.</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1400"/>
        <w:gridCol w:w="1160"/>
      </w:tblGrid>
      <w:tr>
        <w:tc>
          <w:tcPr>
            <w:tcW w:type="dxa" w:w="46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Item</w:t>
            </w:r>
          </w:p>
        </w:tc>
        <w:tc>
          <w:tcPr>
            <w:tcW w:type="dxa" w:w="18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 cost (£)</w:t>
            </w:r>
          </w:p>
        </w:tc>
        <w:tc>
          <w:tcPr>
            <w:tcW w:type="dxa" w:w="14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 to project (%)</w:t>
            </w:r>
          </w:p>
        </w:tc>
        <w:tc>
          <w:tcPr>
            <w:tcW w:type="dxa" w:w="11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Total claimed</w:t>
            </w:r>
          </w:p>
        </w:tc>
      </w:tr>
      <w:tr>
        <w:tc>
          <w:tcPr>
            <w:tcW w:type="dxa" w:w="46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Secure cloud development and test environment (AWS or Azure project tenancy)</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2,500</w:t>
            </w:r>
          </w:p>
        </w:tc>
        <w:tc>
          <w:tcPr>
            <w:tcW w:type="dxa" w:w="1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w:t>
            </w:r>
          </w:p>
        </w:tc>
        <w:tc>
          <w:tcPr>
            <w:tcW w:type="dxa" w:w="11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£2,500</w:t>
            </w:r>
          </w:p>
        </w:tc>
      </w:tr>
      <w:tr>
        <w:tc>
          <w:tcPr>
            <w:tcW w:type="dxa" w:w="46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Secure code repository and CI/CD pipeline (GitHub Enterprise, build tooling)</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1,000</w:t>
            </w:r>
          </w:p>
        </w:tc>
        <w:tc>
          <w:tcPr>
            <w:tcW w:type="dxa" w:w="1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w:t>
            </w:r>
          </w:p>
        </w:tc>
        <w:tc>
          <w:tcPr>
            <w:tcW w:type="dxa" w:w="11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£1,000</w:t>
            </w:r>
          </w:p>
        </w:tc>
      </w:tr>
      <w:tr>
        <w:tc>
          <w:tcPr>
            <w:tcW w:type="dxa" w:w="46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Issue tracking and project documentation workspace (Jira, Confluence)</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800</w:t>
            </w:r>
          </w:p>
        </w:tc>
        <w:tc>
          <w:tcPr>
            <w:tcW w:type="dxa" w:w="1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w:t>
            </w:r>
          </w:p>
        </w:tc>
        <w:tc>
          <w:tcPr>
            <w:tcW w:type="dxa" w:w="11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£800</w:t>
            </w:r>
          </w:p>
        </w:tc>
      </w:tr>
      <w:tr>
        <w:tc>
          <w:tcPr>
            <w:tcW w:type="dxa" w:w="46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Identity, access management and backup for project assets</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900</w:t>
            </w:r>
          </w:p>
        </w:tc>
        <w:tc>
          <w:tcPr>
            <w:tcW w:type="dxa" w:w="1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w:t>
            </w:r>
          </w:p>
        </w:tc>
        <w:tc>
          <w:tcPr>
            <w:tcW w:type="dxa" w:w="11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£900</w:t>
            </w:r>
          </w:p>
        </w:tc>
      </w:tr>
      <w:tr>
        <w:tc>
          <w:tcPr>
            <w:tcW w:type="dxa" w:w="46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Compliance and assurance tooling allocation</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800</w:t>
            </w:r>
          </w:p>
        </w:tc>
        <w:tc>
          <w:tcPr>
            <w:tcW w:type="dxa" w:w="1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100</w:t>
            </w:r>
          </w:p>
        </w:tc>
        <w:tc>
          <w:tcPr>
            <w:tcW w:type="dxa" w:w="11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£800</w:t>
            </w:r>
          </w:p>
        </w:tc>
      </w:tr>
      <w:tr>
        <w:tc>
          <w:tcPr>
            <w:tcW w:type="dxa" w:w="78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overheads</w:t>
            </w:r>
          </w:p>
        </w:tc>
        <w:tc>
          <w:tcPr>
            <w:tcW w:type="dxa" w:w="11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£6,000</w:t>
            </w:r>
          </w:p>
        </w:tc>
      </w:tr>
    </w:tbl>
    <w:p>
      <w:pPr>
        <w:pStyle w:val="Heading2"/>
        <w:spacing w:after="160" w:before="320"/>
      </w:pPr>
      <w:r>
        <w:rPr>
          <w:rFonts w:ascii="Calibri" w:cs="Calibri" w:eastAsia="Calibri" w:hAnsi="Calibri"/>
          <w:b/>
          <w:bCs/>
          <w:color w:val="1B1F26"/>
          <w:sz w:val="26"/>
          <w:szCs w:val="26"/>
        </w:rPr>
        <w:t xml:space="preserve">4. Materials, capital usage, and other zero lines</w:t>
      </w:r>
    </w:p>
    <w:p>
      <w:pPr>
        <w:spacing w:after="60" w:before="60"/>
        <w:jc w:val="left"/>
      </w:pPr>
      <w:r>
        <w:rPr>
          <w:rFonts w:ascii="Calibri" w:cs="Calibri" w:eastAsia="Calibri" w:hAnsi="Calibri"/>
          <w:b w:val="false"/>
          <w:bCs w:val="false"/>
          <w:i w:val="false"/>
          <w:iCs w:val="false"/>
          <w:color w:val="1B1F26"/>
          <w:sz w:val="20"/>
          <w:szCs w:val="20"/>
        </w:rPr>
        <w:t xml:space="preserve">Materials: £0. The project is software and platform-based; no physical materials are claimed.</w:t>
      </w:r>
    </w:p>
    <w:p>
      <w:pPr>
        <w:spacing w:after="60" w:before="60"/>
        <w:jc w:val="left"/>
      </w:pPr>
      <w:r>
        <w:rPr>
          <w:rFonts w:ascii="Calibri" w:cs="Calibri" w:eastAsia="Calibri" w:hAnsi="Calibri"/>
          <w:b w:val="false"/>
          <w:bCs w:val="false"/>
          <w:i w:val="false"/>
          <w:iCs w:val="false"/>
          <w:color w:val="1B1F26"/>
          <w:sz w:val="20"/>
          <w:szCs w:val="20"/>
        </w:rPr>
        <w:t xml:space="preserve">Capital usage: £0. No capital asset usage claimed; existing equipment and cloud-based environments will be used.</w:t>
      </w:r>
    </w:p>
    <w:p>
      <w:pPr>
        <w:pStyle w:val="Heading2"/>
        <w:spacing w:after="160" w:before="320"/>
      </w:pPr>
      <w:r>
        <w:rPr>
          <w:rFonts w:ascii="Calibri" w:cs="Calibri" w:eastAsia="Calibri" w:hAnsi="Calibri"/>
          <w:b/>
          <w:bCs/>
          <w:color w:val="1B1F26"/>
          <w:sz w:val="26"/>
          <w:szCs w:val="26"/>
        </w:rPr>
        <w:t xml:space="preserve">5. Subcontracting</w:t>
      </w:r>
    </w:p>
    <w:p>
      <w:pPr>
        <w:spacing w:after="60" w:before="60"/>
        <w:jc w:val="left"/>
      </w:pPr>
      <w:r>
        <w:rPr>
          <w:rFonts w:ascii="Calibri" w:cs="Calibri" w:eastAsia="Calibri" w:hAnsi="Calibri"/>
          <w:b w:val="false"/>
          <w:bCs w:val="false"/>
          <w:i w:val="false"/>
          <w:iCs w:val="false"/>
          <w:color w:val="1B1F26"/>
          <w:sz w:val="20"/>
          <w:szCs w:val="20"/>
        </w:rPr>
        <w:t xml:space="preserve">Two UK-based specialist subcontractors. Both used for specialist skills only, as required by Innovate UK Contracts for Innovation rules. The Enso Digital subcontract reflects a related-party relationship which is disclosed transparently.</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100"/>
        <w:gridCol w:w="1560"/>
      </w:tblGrid>
      <w:tr>
        <w:tc>
          <w:tcPr>
            <w:tcW w:type="dxa" w:w="19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Subcontractor</w:t>
            </w:r>
          </w:p>
        </w:tc>
        <w:tc>
          <w:tcPr>
            <w:tcW w:type="dxa" w:w="14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UK location</w:t>
            </w:r>
          </w:p>
        </w:tc>
        <w:tc>
          <w:tcPr>
            <w:tcW w:type="dxa" w:w="41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Specialist role</w:t>
            </w:r>
          </w:p>
        </w:tc>
        <w:tc>
          <w:tcPr>
            <w:tcW w:type="dxa" w:w="15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w:t>
            </w:r>
          </w:p>
        </w:tc>
      </w:tr>
      <w:tr>
        <w:tc>
          <w:tcPr>
            <w:tcW w:type="dxa" w:w="19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bCs/>
                <w:color w:val="1B1F26"/>
                <w:sz w:val="20"/>
                <w:szCs w:val="20"/>
              </w:rPr>
              <w:t xml:space="preserve">Enso Digital Ltd</w:t>
            </w:r>
          </w:p>
        </w:tc>
        <w:tc>
          <w:tcPr>
            <w:tcW w:type="dxa" w:w="14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Bromley, Kent, UK</w:t>
            </w:r>
          </w:p>
        </w:tc>
        <w:tc>
          <w:tcPr>
            <w:tcW w:type="dxa" w:w="4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Specialist commercialisation, validation and reporting: UK Transport CNI market positioning, customer engagement strategy, executive reporting design, structured user-validation methodology, benefits evidence capture, pricing and packaging review, onboarding material, go-to-market plan. Led by Nicholas Kokkinos. Disclosure: Nicholas Kokkinos is a 50% shareholder of Tools of Tech UK Ltd; subcontracted services provided at arm's length market rates.</w:t>
            </w:r>
          </w:p>
        </w:tc>
        <w:tc>
          <w:tcPr>
            <w:tcW w:type="dxa" w:w="15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£43,050</w:t>
            </w:r>
          </w:p>
        </w:tc>
      </w:tr>
      <w:tr>
        <w:tc>
          <w:tcPr>
            <w:tcW w:type="dxa" w:w="19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UK QA and Security Testing Ltd (selection in progress)</w:t>
            </w:r>
          </w:p>
        </w:tc>
        <w:tc>
          <w:tcPr>
            <w:tcW w:type="dxa" w:w="14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UK (TBC)</w:t>
            </w:r>
          </w:p>
        </w:tc>
        <w:tc>
          <w:tcPr>
            <w:tcW w:type="dxa" w:w="4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Specialist QA and security testing: functional testing, security review, vulnerability assessment, penetration testing, scenario-based validation for the Transport CNI demonstration. Selection completed before project start through a quality-led procurement focused on UK firms with verified cybersecurity testing accreditations.</w:t>
            </w:r>
          </w:p>
        </w:tc>
        <w:tc>
          <w:tcPr>
            <w:tcW w:type="dxa" w:w="15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£16,800</w:t>
            </w:r>
          </w:p>
        </w:tc>
      </w:tr>
      <w:tr>
        <w:tc>
          <w:tcPr>
            <w:tcW w:type="dxa" w:w="74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subcontracting</w:t>
            </w:r>
          </w:p>
        </w:tc>
        <w:tc>
          <w:tcPr>
            <w:tcW w:type="dxa" w:w="15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£59,850</w:t>
            </w:r>
          </w:p>
        </w:tc>
      </w:tr>
    </w:tbl>
    <w:p>
      <w:pPr>
        <w:pStyle w:val="Heading2"/>
        <w:spacing w:after="160" w:before="320"/>
      </w:pPr>
      <w:r>
        <w:rPr>
          <w:rFonts w:ascii="Calibri" w:cs="Calibri" w:eastAsia="Calibri" w:hAnsi="Calibri"/>
          <w:b/>
          <w:bCs/>
          <w:color w:val="1B1F26"/>
          <w:sz w:val="26"/>
          <w:szCs w:val="26"/>
        </w:rPr>
        <w:t xml:space="preserve">6. Travel and subsistence</w:t>
      </w:r>
    </w:p>
    <w:p>
      <w:pPr>
        <w:spacing w:after="60" w:before="60"/>
        <w:jc w:val="left"/>
      </w:pPr>
      <w:r>
        <w:rPr>
          <w:rFonts w:ascii="Calibri" w:cs="Calibri" w:eastAsia="Calibri" w:hAnsi="Calibri"/>
          <w:b w:val="false"/>
          <w:bCs w:val="false"/>
          <w:i w:val="false"/>
          <w:iCs w:val="false"/>
          <w:color w:val="1B1F26"/>
          <w:sz w:val="20"/>
          <w:szCs w:val="20"/>
        </w:rPr>
        <w:t xml:space="preserve">Project-related UK travel for stakeholder engagement, demonstration setup and user validation activities. Off-peak rail rates used.</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300"/>
        <w:gridCol w:w="1300"/>
        <w:gridCol w:w="1300"/>
        <w:gridCol w:w="1060"/>
      </w:tblGrid>
      <w:tr>
        <w:tc>
          <w:tcPr>
            <w:tcW w:type="dxa" w:w="53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 of journey or subsistence cost</w:t>
            </w:r>
          </w:p>
        </w:tc>
        <w:tc>
          <w:tcPr>
            <w:tcW w:type="dxa" w:w="13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Number</w:t>
            </w:r>
          </w:p>
        </w:tc>
        <w:tc>
          <w:tcPr>
            <w:tcW w:type="dxa" w:w="13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 each (£)</w:t>
            </w:r>
          </w:p>
        </w:tc>
        <w:tc>
          <w:tcPr>
            <w:tcW w:type="dxa" w:w="10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Total</w:t>
            </w:r>
          </w:p>
        </w:tc>
      </w:tr>
      <w:tr>
        <w:tc>
          <w:tcPr>
            <w:tcW w:type="dxa" w:w="5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UK Transport CNI stakeholder visits (off-peak rail)</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150</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£1,500</w:t>
            </w:r>
          </w:p>
        </w:tc>
      </w:tr>
      <w:tr>
        <w:tc>
          <w:tcPr>
            <w:tcW w:type="dxa" w:w="5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Subsistence on stakeholder visit days</w:t>
            </w:r>
          </w:p>
        </w:tc>
        <w:tc>
          <w:tcPr>
            <w:tcW w:type="dxa" w:w="1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10</w:t>
            </w:r>
          </w:p>
        </w:tc>
        <w:tc>
          <w:tcPr>
            <w:tcW w:type="dxa" w:w="1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40</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£400</w:t>
            </w:r>
          </w:p>
        </w:tc>
      </w:tr>
      <w:tr>
        <w:tc>
          <w:tcPr>
            <w:tcW w:type="dxa" w:w="5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Accommodation for multi-day UK visits</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4</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150</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£600</w:t>
            </w:r>
          </w:p>
        </w:tc>
      </w:tr>
      <w:tr>
        <w:tc>
          <w:tcPr>
            <w:tcW w:type="dxa" w:w="5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Demonstration event venue and refreshments</w:t>
            </w:r>
          </w:p>
        </w:tc>
        <w:tc>
          <w:tcPr>
            <w:tcW w:type="dxa" w:w="1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2</w:t>
            </w:r>
          </w:p>
        </w:tc>
        <w:tc>
          <w:tcPr>
            <w:tcW w:type="dxa" w:w="13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500</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£1,000</w:t>
            </w:r>
          </w:p>
        </w:tc>
      </w:tr>
      <w:tr>
        <w:tc>
          <w:tcPr>
            <w:tcW w:type="dxa" w:w="5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User validation workshop venue (UK Transport CNI)</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1</w:t>
            </w:r>
          </w:p>
        </w:tc>
        <w:tc>
          <w:tcPr>
            <w:tcW w:type="dxa" w:w="13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val="false"/>
                <w:bCs w:val="false"/>
                <w:color w:val="1B1F26"/>
                <w:sz w:val="20"/>
                <w:szCs w:val="20"/>
              </w:rPr>
              <w:t xml:space="preserve">400</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£400</w:t>
            </w:r>
          </w:p>
        </w:tc>
      </w:tr>
      <w:tr>
        <w:tc>
          <w:tcPr>
            <w:tcW w:type="dxa" w:w="79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travel and subsistence</w:t>
            </w:r>
          </w:p>
        </w:tc>
        <w:tc>
          <w:tcPr>
            <w:tcW w:type="dxa" w:w="10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£3,900</w:t>
            </w:r>
          </w:p>
        </w:tc>
      </w:tr>
    </w:tbl>
    <w:p>
      <w:pPr>
        <w:pStyle w:val="Heading2"/>
        <w:spacing w:after="160" w:before="320"/>
      </w:pPr>
      <w:r>
        <w:rPr>
          <w:rFonts w:ascii="Calibri" w:cs="Calibri" w:eastAsia="Calibri" w:hAnsi="Calibri"/>
          <w:b/>
          <w:bCs/>
          <w:color w:val="1B1F26"/>
          <w:sz w:val="26"/>
          <w:szCs w:val="26"/>
        </w:rPr>
        <w:t xml:space="preserve">7. Other costs</w:t>
      </w:r>
    </w:p>
    <w:p>
      <w:pPr>
        <w:spacing w:after="60" w:before="60"/>
        <w:jc w:val="left"/>
      </w:pPr>
      <w:r>
        <w:rPr>
          <w:rFonts w:ascii="Calibri" w:cs="Calibri" w:eastAsia="Calibri" w:hAnsi="Calibri"/>
          <w:b w:val="false"/>
          <w:bCs w:val="false"/>
          <w:i w:val="false"/>
          <w:iCs w:val="false"/>
          <w:color w:val="1B1F26"/>
          <w:sz w:val="20"/>
          <w:szCs w:val="20"/>
        </w:rPr>
        <w:t xml:space="preserve">Specific project-related costs that do not fit other headings.</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100"/>
        <w:gridCol w:w="1860"/>
      </w:tblGrid>
      <w:tr>
        <w:tc>
          <w:tcPr>
            <w:tcW w:type="dxa" w:w="71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 and justification of the cost</w:t>
            </w:r>
          </w:p>
        </w:tc>
        <w:tc>
          <w:tcPr>
            <w:tcW w:type="dxa" w:w="18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Estimated cost (£)</w:t>
            </w:r>
          </w:p>
        </w:tc>
      </w:tr>
      <w:tr>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Security test tooling (Burp Suite Pro, SAST and DAST licences, dependency scanning)</w:t>
            </w:r>
          </w:p>
        </w:tc>
        <w:tc>
          <w:tcPr>
            <w:tcW w:type="dxa" w:w="18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£2,500</w:t>
            </w:r>
          </w:p>
        </w:tc>
      </w:tr>
      <w:tr>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IP and licensing legal review (foreground IP, background IP licence from established Greek operation to Tools of Tech UK Ltd, freedom-to-operate)</w:t>
            </w:r>
          </w:p>
        </w:tc>
        <w:tc>
          <w:tcPr>
            <w:tcW w:type="dxa" w:w="18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£2,500</w:t>
            </w:r>
          </w:p>
        </w:tc>
      </w:tr>
      <w:tr>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Anonymised and synthetic data preparation for Transport CNI scenarios</w:t>
            </w:r>
          </w:p>
        </w:tc>
        <w:tc>
          <w:tcPr>
            <w:tcW w:type="dxa" w:w="18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£1,500</w:t>
            </w:r>
          </w:p>
        </w:tc>
      </w:tr>
      <w:tr>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Demonstration preparation and validation materials</w:t>
            </w:r>
          </w:p>
        </w:tc>
        <w:tc>
          <w:tcPr>
            <w:tcW w:type="dxa" w:w="18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£1,500</w:t>
            </w:r>
          </w:p>
        </w:tc>
      </w:tr>
      <w:tr>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User validation participant honoraria (10 sessions at £200 per senior cyber security professional)</w:t>
            </w:r>
          </w:p>
        </w:tc>
        <w:tc>
          <w:tcPr>
            <w:tcW w:type="dxa" w:w="18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£2,000</w:t>
            </w:r>
          </w:p>
        </w:tc>
      </w:tr>
      <w:tr>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Compliance and assurance documentation (DPIA, security risk assessment, evidence pack)</w:t>
            </w:r>
          </w:p>
        </w:tc>
        <w:tc>
          <w:tcPr>
            <w:tcW w:type="dxa" w:w="18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£1,500</w:t>
            </w:r>
          </w:p>
        </w:tc>
      </w:tr>
      <w:tr>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Project financial setup, milestone evidence preparation and R&amp;D cost tracking (AXIL Accountants)</w:t>
            </w:r>
          </w:p>
        </w:tc>
        <w:tc>
          <w:tcPr>
            <w:tcW w:type="dxa" w:w="18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£1,500</w:t>
            </w:r>
          </w:p>
        </w:tc>
      </w:tr>
      <w:tr>
        <w:tc>
          <w:tcPr>
            <w:tcW w:type="dxa" w:w="71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Total other costs</w:t>
            </w:r>
          </w:p>
        </w:tc>
        <w:tc>
          <w:tcPr>
            <w:tcW w:type="dxa" w:w="18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£13,000</w:t>
            </w:r>
          </w:p>
        </w:tc>
      </w:tr>
    </w:tbl>
    <w:p>
      <w:pPr>
        <w:pStyle w:val="Heading2"/>
        <w:spacing w:after="160" w:before="320"/>
      </w:pPr>
      <w:r>
        <w:rPr>
          <w:rFonts w:ascii="Calibri" w:cs="Calibri" w:eastAsia="Calibri" w:hAnsi="Calibri"/>
          <w:b/>
          <w:bCs/>
          <w:color w:val="1B1F26"/>
          <w:sz w:val="26"/>
          <w:szCs w:val="26"/>
        </w:rPr>
        <w:t xml:space="preserve">8. R&amp;D content check</w:t>
      </w:r>
    </w:p>
    <w:p>
      <w:pPr>
        <w:spacing w:after="60" w:before="60"/>
        <w:jc w:val="left"/>
      </w:pPr>
      <w:r>
        <w:rPr>
          <w:rFonts w:ascii="Calibri" w:cs="Calibri" w:eastAsia="Calibri" w:hAnsi="Calibri"/>
          <w:b w:val="false"/>
          <w:bCs w:val="false"/>
          <w:i w:val="false"/>
          <w:iCs w:val="false"/>
          <w:color w:val="1B1F26"/>
          <w:sz w:val="20"/>
          <w:szCs w:val="20"/>
        </w:rPr>
        <w:t xml:space="preserve">Innovate UK Contracts for Innovation requires at least 50% of contract value to be directly and exclusively R&amp;D services.</w:t>
      </w:r>
    </w:p>
    <w:p>
      <w:pPr>
        <w:spacing w:after="80" w:before="120"/>
      </w:pPr>
      <w:r>
        <w:rPr>
          <w:rFonts w:ascii="Calibri" w:cs="Calibri" w:eastAsia="Calibri" w:hAnsi="Calibri"/>
          <w:b/>
          <w:bCs/>
          <w:color w:val="1B1F26"/>
          <w:sz w:val="22"/>
          <w:szCs w:val="22"/>
        </w:rPr>
        <w:t xml:space="preserve">Conservative calculation of R&amp;D-eligible spend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1660"/>
      </w:tblGrid>
      <w:tr>
        <w:tc>
          <w:tcPr>
            <w:tcW w:type="dxa" w:w="55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 line</w:t>
            </w:r>
          </w:p>
        </w:tc>
        <w:tc>
          <w:tcPr>
            <w:tcW w:type="dxa" w:w="18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R&amp;D-eligible</w:t>
            </w:r>
          </w:p>
        </w:tc>
        <w:tc>
          <w:tcPr>
            <w:tcW w:type="dxa" w:w="16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Athanasios (90% R&amp;D content)</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£56,700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Senior Full-Stack Engineer (95% R&amp;D content)</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£27,800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Enso Digital subcontract (50% R&amp;D, validation-related)</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£21,500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UK QA subcontract (90% R&amp;D content)</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£15,100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Travel (70% R&amp;D content)</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£2,700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Other costs R&amp;D-relevant (security testing, data prep, validation, DPIA)</w:t>
            </w:r>
          </w:p>
        </w:tc>
        <w:tc>
          <w:tcPr>
            <w:tcW w:type="dxa" w:w="1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£9,100</w:t>
            </w:r>
          </w:p>
        </w:tc>
        <w:tc>
          <w:tcPr>
            <w:tcW w:type="dxa" w:w="16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Overheads (excluded from R&amp;D)</w:t>
            </w:r>
          </w:p>
        </w:tc>
        <w:tc>
          <w:tcPr>
            <w:tcW w:type="dxa" w:w="1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£0</w:t>
            </w:r>
          </w:p>
        </w:tc>
        <w:tc>
          <w:tcPr>
            <w:tcW w:type="dxa" w:w="16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
            </w:r>
          </w:p>
        </w:tc>
      </w:tr>
      <w:tr>
        <w:tc>
          <w:tcPr>
            <w:tcW w:type="dxa" w:w="55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left"/>
            </w:pPr>
            <w:r>
              <w:rPr>
                <w:rFonts w:ascii="Calibri" w:cs="Calibri" w:eastAsia="Calibri" w:hAnsi="Calibri"/>
                <w:b/>
                <w:bCs/>
                <w:color w:val="1B1F26"/>
                <w:sz w:val="20"/>
                <w:szCs w:val="20"/>
              </w:rPr>
              <w:t xml:space="preserve">R&amp;D-eligible total of £175,000</w:t>
            </w:r>
          </w:p>
        </w:tc>
        <w:tc>
          <w:tcPr>
            <w:tcW w:type="dxa" w:w="180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£132,900</w:t>
            </w:r>
          </w:p>
        </w:tc>
        <w:tc>
          <w:tcPr>
            <w:tcW w:type="dxa" w:w="1660"/>
            <w:tcBorders>
              <w:top w:val="single" w:color="BFC7D1" w:sz="4"/>
              <w:left w:val="single" w:color="BFC7D1" w:sz="4"/>
              <w:bottom w:val="single" w:color="BFC7D1" w:sz="4"/>
              <w:right w:val="single" w:color="BFC7D1" w:sz="4"/>
            </w:tcBorders>
            <w:shd w:fill="E8EEF7" w:val="clear"/>
            <w:tcMar>
              <w:top w:type="dxa" w:w="100"/>
              <w:left w:type="dxa" w:w="140"/>
              <w:bottom w:type="dxa" w:w="100"/>
              <w:right w:type="dxa" w:w="140"/>
            </w:tcMar>
          </w:tcPr>
          <w:p>
            <w:pPr>
              <w:jc w:val="right"/>
            </w:pPr>
            <w:r>
              <w:rPr>
                <w:rFonts w:ascii="Calibri" w:cs="Calibri" w:eastAsia="Calibri" w:hAnsi="Calibri"/>
                <w:b/>
                <w:bCs/>
                <w:color w:val="1B1F26"/>
                <w:sz w:val="20"/>
                <w:szCs w:val="20"/>
              </w:rPr>
              <w:t xml:space="preserve">76%</w:t>
            </w:r>
          </w:p>
        </w:tc>
      </w:tr>
    </w:tbl>
    <w:p>
      <w:pPr>
        <w:spacing w:after="80" w:before="120"/>
        <w:jc w:val="left"/>
      </w:pPr>
      <w:r>
        <w:rPr>
          <w:rFonts w:ascii="Calibri" w:cs="Calibri" w:eastAsia="Calibri" w:hAnsi="Calibri"/>
          <w:b/>
          <w:bCs/>
          <w:i w:val="false"/>
          <w:iCs w:val="false"/>
          <w:color w:val="1B1F26"/>
          <w:sz w:val="20"/>
          <w:szCs w:val="20"/>
        </w:rPr>
        <w:t xml:space="preserve">Result: 76% R&amp;D content. Comfortably above the 50% requirement.</w:t>
      </w:r>
    </w:p>
    <w:p>
      <w:pPr>
        <w:pStyle w:val="Heading2"/>
        <w:spacing w:after="160" w:before="320"/>
      </w:pPr>
      <w:r>
        <w:rPr>
          <w:rFonts w:ascii="Calibri" w:cs="Calibri" w:eastAsia="Calibri" w:hAnsi="Calibri"/>
          <w:b/>
          <w:bCs/>
          <w:color w:val="1B1F26"/>
          <w:sz w:val="26"/>
          <w:szCs w:val="26"/>
        </w:rPr>
        <w:t xml:space="preserve">9. Reconciliation with Q12 narrative</w:t>
      </w:r>
    </w:p>
    <w:p>
      <w:pPr>
        <w:spacing w:after="60" w:before="60"/>
        <w:jc w:val="left"/>
      </w:pPr>
      <w:r>
        <w:rPr>
          <w:rFonts w:ascii="Calibri" w:cs="Calibri" w:eastAsia="Calibri" w:hAnsi="Calibri"/>
          <w:b w:val="false"/>
          <w:bCs w:val="false"/>
          <w:i w:val="false"/>
          <w:iCs w:val="false"/>
          <w:color w:val="1B1F26"/>
          <w:sz w:val="20"/>
          <w:szCs w:val="20"/>
        </w:rPr>
        <w:t xml:space="preserve">The Q12 narrative as drafted is consistent with this budget: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460"/>
      </w:tblGrid>
      <w:tr>
        <w:tc>
          <w:tcPr>
            <w:tcW w:type="dxa" w:w="30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Person or entity</w:t>
            </w:r>
          </w:p>
        </w:tc>
        <w:tc>
          <w:tcPr>
            <w:tcW w:type="dxa" w:w="25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Engagement type</w:t>
            </w:r>
          </w:p>
        </w:tc>
        <w:tc>
          <w:tcPr>
            <w:tcW w:type="dxa" w:w="34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Time and cost</w:t>
            </w:r>
          </w:p>
        </w:tc>
      </w:tr>
      <w:tr>
        <w:tc>
          <w:tcPr>
            <w:tcW w:type="dxa" w:w="30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bCs/>
                <w:color w:val="1B1F26"/>
                <w:sz w:val="20"/>
                <w:szCs w:val="20"/>
              </w:rPr>
              <w:t xml:space="preserve">Athanasios Staveris-Polykalas</w:t>
            </w:r>
          </w:p>
        </w:tc>
        <w:tc>
          <w:tcPr>
            <w:tcW w:type="dxa" w:w="2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PAYE employee</w:t>
            </w:r>
          </w:p>
        </w:tc>
        <w:tc>
          <w:tcPr>
            <w:tcW w:type="dxa" w:w="34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140 days, 60% time, £63,000</w:t>
            </w:r>
          </w:p>
        </w:tc>
      </w:tr>
      <w:tr>
        <w:tc>
          <w:tcPr>
            <w:tcW w:type="dxa" w:w="30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Senior Full-Stack Engineer</w:t>
            </w:r>
          </w:p>
        </w:tc>
        <w:tc>
          <w:tcPr>
            <w:tcW w:type="dxa" w:w="2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PAYE employee (to be recruited)</w:t>
            </w:r>
          </w:p>
        </w:tc>
        <w:tc>
          <w:tcPr>
            <w:tcW w:type="dxa" w:w="34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65 days, support role, £29,250</w:t>
            </w:r>
          </w:p>
        </w:tc>
      </w:tr>
      <w:tr>
        <w:tc>
          <w:tcPr>
            <w:tcW w:type="dxa" w:w="30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bCs/>
                <w:color w:val="1B1F26"/>
                <w:sz w:val="20"/>
                <w:szCs w:val="20"/>
              </w:rPr>
              <w:t xml:space="preserve">Nicholas Kokkinos via Enso Digital Ltd</w:t>
            </w:r>
          </w:p>
        </w:tc>
        <w:tc>
          <w:tcPr>
            <w:tcW w:type="dxa" w:w="25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Subcontracted (UK)</w:t>
            </w:r>
          </w:p>
        </w:tc>
        <w:tc>
          <w:tcPr>
            <w:tcW w:type="dxa" w:w="34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105 days, £43,050</w:t>
            </w:r>
          </w:p>
        </w:tc>
      </w:tr>
      <w:tr>
        <w:tc>
          <w:tcPr>
            <w:tcW w:type="dxa" w:w="30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bCs/>
                <w:color w:val="1B1F26"/>
                <w:sz w:val="20"/>
                <w:szCs w:val="20"/>
              </w:rPr>
              <w:t xml:space="preserve">UK QA and Security Testing firm</w:t>
            </w:r>
          </w:p>
        </w:tc>
        <w:tc>
          <w:tcPr>
            <w:tcW w:type="dxa" w:w="25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Subcontracted (UK)</w:t>
            </w:r>
          </w:p>
        </w:tc>
        <w:tc>
          <w:tcPr>
            <w:tcW w:type="dxa" w:w="34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42 days, £16,800</w:t>
            </w:r>
          </w:p>
        </w:tc>
      </w:tr>
    </w:tbl>
    <w:p>
      <w:pPr>
        <w:pStyle w:val="Heading2"/>
        <w:spacing w:after="160" w:before="320"/>
      </w:pPr>
      <w:r>
        <w:rPr>
          <w:rFonts w:ascii="Calibri" w:cs="Calibri" w:eastAsia="Calibri" w:hAnsi="Calibri"/>
          <w:b/>
          <w:bCs/>
          <w:color w:val="1B1F26"/>
          <w:sz w:val="26"/>
          <w:szCs w:val="26"/>
        </w:rPr>
        <w:t xml:space="preserve">10. Steps required in IFS before submission</w:t>
      </w:r>
    </w:p>
    <w:p>
      <w:pPr>
        <w:spacing w:after="60" w:before="60"/>
        <w:jc w:val="left"/>
      </w:pPr>
      <w:r>
        <w:rPr>
          <w:rFonts w:ascii="Calibri" w:cs="Calibri" w:eastAsia="Calibri" w:hAnsi="Calibri"/>
          <w:b w:val="false"/>
          <w:bCs w:val="false"/>
          <w:i w:val="false"/>
          <w:iCs w:val="false"/>
          <w:color w:val="1B1F26"/>
          <w:sz w:val="20"/>
          <w:szCs w:val="20"/>
        </w:rPr>
        <w:t xml:space="preserve">The current submitted finance section in IFS does not yet reflect these numbers. The following steps must be completed before the application is resubmitted.</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7100"/>
        <w:gridCol w:w="1060"/>
      </w:tblGrid>
      <w:tr>
        <w:tc>
          <w:tcPr>
            <w:tcW w:type="dxa" w:w="8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t>
            </w:r>
          </w:p>
        </w:tc>
        <w:tc>
          <w:tcPr>
            <w:tcW w:type="dxa" w:w="710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Step</w:t>
            </w:r>
          </w:p>
        </w:tc>
        <w:tc>
          <w:tcPr>
            <w:tcW w:type="dxa" w:w="1060"/>
            <w:tcBorders>
              <w:top w:val="single" w:color="BFC7D1" w:sz="4"/>
              <w:left w:val="single" w:color="BFC7D1" w:sz="4"/>
              <w:bottom w:val="single" w:color="BFC7D1" w:sz="4"/>
              <w:right w:val="single" w:color="BFC7D1" w:sz="4"/>
            </w:tcBorders>
            <w:shd w:fill="1F3A93"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r>
      <w:tr>
        <w:tc>
          <w:tcPr>
            <w:tcW w:type="dxa" w:w="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1</w:t>
            </w:r>
          </w:p>
        </w:tc>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Labour: remove the previous Commercialisation row and the QA row. Replace with the two PAYE rows above (Athanasios at 140 days, Engineer at 65 days). Total: £92,250.</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2</w:t>
            </w:r>
          </w:p>
        </w:tc>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PAYE question: tick "Yes, the people listed in the Labour costs are registered on the PAYE scheme".</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3</w:t>
            </w:r>
          </w:p>
        </w:tc>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Overheads: trim from £12,500 to £6,000 using the five lines above. Remove duplicates with Other costs.</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4</w:t>
            </w:r>
          </w:p>
        </w:tc>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Subcontracting: add Enso Digital Ltd at £43,050 with the shareholder disclosure in the description field. Add the UK QA firm at £16,800.</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5</w:t>
            </w:r>
          </w:p>
        </w:tc>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Travel and subsistence: update to £3,900 using the five lines above.</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6</w:t>
            </w:r>
          </w:p>
        </w:tc>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Other costs: update to £13,000 using the seven lines above. Remove the contingency line.</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r>
        <w:tc>
          <w:tcPr>
            <w:tcW w:type="dxa" w:w="8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right"/>
            </w:pPr>
            <w:r>
              <w:rPr>
                <w:rFonts w:ascii="Calibri" w:cs="Calibri" w:eastAsia="Calibri" w:hAnsi="Calibri"/>
                <w:b/>
                <w:bCs/>
                <w:color w:val="1B1F26"/>
                <w:sz w:val="20"/>
                <w:szCs w:val="20"/>
              </w:rPr>
              <w:t xml:space="preserve">7</w:t>
            </w:r>
          </w:p>
        </w:tc>
        <w:tc>
          <w:tcPr>
            <w:tcW w:type="dxa" w:w="710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VAT registered: confirm Yes or No before submission. Recommendation: register voluntarily to avoid forced mid-project registration.</w:t>
            </w:r>
          </w:p>
        </w:tc>
        <w:tc>
          <w:tcPr>
            <w:tcW w:type="dxa" w:w="1060"/>
            <w:tcBorders>
              <w:top w:val="single" w:color="BFC7D1" w:sz="4"/>
              <w:left w:val="single" w:color="BFC7D1" w:sz="4"/>
              <w:bottom w:val="single" w:color="BFC7D1" w:sz="4"/>
              <w:right w:val="single" w:color="BFC7D1" w:sz="4"/>
            </w:tcBorders>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Decision</w:t>
            </w:r>
          </w:p>
        </w:tc>
      </w:tr>
      <w:tr>
        <w:tc>
          <w:tcPr>
            <w:tcW w:type="dxa" w:w="8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right"/>
            </w:pPr>
            <w:r>
              <w:rPr>
                <w:rFonts w:ascii="Calibri" w:cs="Calibri" w:eastAsia="Calibri" w:hAnsi="Calibri"/>
                <w:b/>
                <w:bCs/>
                <w:color w:val="1B1F26"/>
                <w:sz w:val="20"/>
                <w:szCs w:val="20"/>
              </w:rPr>
              <w:t xml:space="preserve">8</w:t>
            </w:r>
          </w:p>
        </w:tc>
        <w:tc>
          <w:tcPr>
            <w:tcW w:type="dxa" w:w="710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Eligibility tick box: tick only once all sections above are complete and consistent with Q12 and Q13 narrative text.</w:t>
            </w:r>
          </w:p>
        </w:tc>
        <w:tc>
          <w:tcPr>
            <w:tcW w:type="dxa" w:w="1060"/>
            <w:tcBorders>
              <w:top w:val="single" w:color="BFC7D1" w:sz="4"/>
              <w:left w:val="single" w:color="BFC7D1" w:sz="4"/>
              <w:bottom w:val="single" w:color="BFC7D1" w:sz="4"/>
              <w:right w:val="single" w:color="BFC7D1" w:sz="4"/>
            </w:tcBorders>
            <w:shd w:fill="F5F7FB" w:val="clear"/>
            <w:tcMar>
              <w:top w:type="dxa" w:w="90"/>
              <w:left w:type="dxa" w:w="140"/>
              <w:bottom w:type="dxa" w:w="90"/>
              <w:right w:type="dxa" w:w="140"/>
            </w:tcMar>
          </w:tcPr>
          <w:p>
            <w:pPr>
              <w:jc w:val="left"/>
            </w:pPr>
            <w:r>
              <w:rPr>
                <w:rFonts w:ascii="Calibri" w:cs="Calibri" w:eastAsia="Calibri" w:hAnsi="Calibri"/>
                <w:b w:val="false"/>
                <w:bCs w:val="false"/>
                <w:color w:val="1B1F26"/>
                <w:sz w:val="20"/>
                <w:szCs w:val="20"/>
              </w:rPr>
              <w:t xml:space="preserve">Action</w:t>
            </w:r>
          </w:p>
        </w:tc>
      </w:tr>
    </w:tbl>
    <w:p>
      <w:pPr>
        <w:pStyle w:val="Heading2"/>
        <w:spacing w:after="160" w:before="320"/>
      </w:pPr>
      <w:r>
        <w:rPr>
          <w:rFonts w:ascii="Calibri" w:cs="Calibri" w:eastAsia="Calibri" w:hAnsi="Calibri"/>
          <w:b/>
          <w:bCs/>
          <w:color w:val="1B1F26"/>
          <w:sz w:val="26"/>
          <w:szCs w:val="26"/>
        </w:rPr>
        <w:t xml:space="preserve">Notes</w:t>
      </w:r>
    </w:p>
    <w:p>
      <w:pPr>
        <w:spacing w:after="60" w:before="60"/>
        <w:jc w:val="left"/>
      </w:pPr>
      <w:r>
        <w:rPr>
          <w:rFonts w:ascii="Calibri" w:cs="Calibri" w:eastAsia="Calibri" w:hAnsi="Calibri"/>
          <w:b w:val="false"/>
          <w:bCs w:val="false"/>
          <w:i w:val="false"/>
          <w:iCs w:val="false"/>
          <w:color w:val="1B1F26"/>
          <w:sz w:val="18"/>
          <w:szCs w:val="18"/>
        </w:rPr>
        <w:t xml:space="preserve">1. All costs are at fair market value and exclude profit, as required by Innovate UK Contracts for Innovation rules.</w:t>
      </w:r>
    </w:p>
    <w:p>
      <w:pPr>
        <w:spacing w:after="60" w:before="60"/>
        <w:jc w:val="left"/>
      </w:pPr>
      <w:r>
        <w:rPr>
          <w:rFonts w:ascii="Calibri" w:cs="Calibri" w:eastAsia="Calibri" w:hAnsi="Calibri"/>
          <w:b w:val="false"/>
          <w:bCs w:val="false"/>
          <w:i w:val="false"/>
          <w:iCs w:val="false"/>
          <w:color w:val="1B1F26"/>
          <w:sz w:val="18"/>
          <w:szCs w:val="18"/>
        </w:rPr>
        <w:t xml:space="preserve">2. Payments are requested monthly in arrears against completed milestones, with quarterly invoicing in line with standard Innovate UK monitoring.</w:t>
      </w:r>
    </w:p>
    <w:p>
      <w:pPr>
        <w:spacing w:after="60" w:before="60"/>
        <w:jc w:val="left"/>
      </w:pPr>
      <w:r>
        <w:rPr>
          <w:rFonts w:ascii="Calibri" w:cs="Calibri" w:eastAsia="Calibri" w:hAnsi="Calibri"/>
          <w:b w:val="false"/>
          <w:bCs w:val="false"/>
          <w:i w:val="false"/>
          <w:iCs w:val="false"/>
          <w:color w:val="1B1F26"/>
          <w:sz w:val="18"/>
          <w:szCs w:val="18"/>
        </w:rPr>
        <w:t xml:space="preserve">3. Nicholas Kokkinos is a 50% shareholder of Tools of Tech UK Ltd. Subcontracted services via Enso Digital Ltd are provided at arm's length market rates and are disclosed transparently in the application narrative and finance section.</w:t>
      </w:r>
    </w:p>
    <w:p>
      <w:pPr>
        <w:spacing w:after="60" w:before="60"/>
        <w:jc w:val="left"/>
      </w:pPr>
      <w:r>
        <w:rPr>
          <w:rFonts w:ascii="Calibri" w:cs="Calibri" w:eastAsia="Calibri" w:hAnsi="Calibri"/>
          <w:b w:val="false"/>
          <w:bCs w:val="false"/>
          <w:i w:val="false"/>
          <w:iCs w:val="false"/>
          <w:color w:val="1B1F26"/>
          <w:sz w:val="18"/>
          <w:szCs w:val="18"/>
        </w:rPr>
        <w:t xml:space="preserve">4. The UK QA and Security Testing subcontractor will be confirmed before project start through a quality-led procurement process focused on UK firms with verified cybersecurity testing accreditations.</w:t>
      </w:r>
    </w:p>
    <w:p>
      <w:pPr>
        <w:spacing w:after="60" w:before="60"/>
        <w:jc w:val="left"/>
      </w:pPr>
      <w:r>
        <w:rPr>
          <w:rFonts w:ascii="Calibri" w:cs="Calibri" w:eastAsia="Calibri" w:hAnsi="Calibri"/>
          <w:b w:val="false"/>
          <w:bCs w:val="false"/>
          <w:i/>
          <w:iCs/>
          <w:color w:val="1B1F26"/>
          <w:sz w:val="18"/>
          <w:szCs w:val="18"/>
        </w:rPr>
        <w:t xml:space="preserve">5. Budget rebalancing from earlier draft: the Senior Full-Stack Engineer is now framed as a support hire (65 days) rather than a co-lead builder (160 days). Athanasios reduced from 80% to 60% time on project to fit £175,000 cap.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CRISP-CI Final Project Costs</dc:title>
  <dc:creator>Tools of Tech UK Ltd</dc:creator>
  <cp:lastModifiedBy>Un-named</cp:lastModifiedBy>
  <cp:revision>1</cp:revision>
  <dcterms:created xsi:type="dcterms:W3CDTF">2026-05-17T16:52:15.214Z</dcterms:created>
  <dcterms:modified xsi:type="dcterms:W3CDTF">2026-05-17T16:52:15.214Z</dcterms:modified>
</cp:coreProperties>
</file>

<file path=docProps/custom.xml><?xml version="1.0" encoding="utf-8"?>
<Properties xmlns="http://schemas.openxmlformats.org/officeDocument/2006/custom-properties" xmlns:vt="http://schemas.openxmlformats.org/officeDocument/2006/docPropsVTypes"/>
</file>