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צעדים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לניתוח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דאטא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בניסוי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EMA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דמוגרפיה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')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הסקרים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בסקרי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והערב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הקטגוריה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אינהיביציה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רוגזנות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יינתנו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6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דאטא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MLM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2)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וילד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המשתתף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#7331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#7332.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המשתתף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הסקר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Expiwell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720" w:firstLine="0"/>
        <w:rPr/>
      </w:pPr>
      <w:bookmarkStart w:colFirst="0" w:colLast="0" w:name="_heading=h.uspau2xgi2j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470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yKE8gtfs21Dj0SBfbHKYns0q7w==">CgMxLjAyDmgudXNwYXUyeGdpMmpxOAByITFkcmJ3aHMtZ05YTWtEeFZELVJHMW91aG5UaHB3T3NoWg==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2025-02-19T15:11:00Z</dcterms:created>
  <dc:creator>יותם</dc:creator>
</cp:coreProperties>
</file>