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120"/>
        <w:jc w:val="center"/>
      </w:pPr>
      <w:r>
        <w:rPr>
          <w:rFonts w:ascii="Arial" w:cs="Arial" w:eastAsia="Arial" w:hAnsi="Arial"/>
          <w:b/>
          <w:bCs/>
          <w:color w:val="1a1d27"/>
          <w:sz w:val="56"/>
          <w:szCs w:val="56"/>
        </w:rPr>
        <w:t xml:space="preserve">SelfAssessPro</w:t>
      </w:r>
    </w:p>
    <w:p>
      <w:pPr>
        <w:spacing w:after="400"/>
        <w:jc w:val="center"/>
      </w:pPr>
      <w:r>
        <w:rPr>
          <w:rFonts w:ascii="Arial" w:cs="Arial" w:eastAsia="Arial" w:hAnsi="Arial"/>
          <w:color w:val="5f6577"/>
          <w:sz w:val="26"/>
          <w:szCs w:val="26"/>
        </w:rPr>
        <w:t xml:space="preserve">A reflective self-assessment and quality improvement tool for early childhood education</w:t>
      </w:r>
    </w:p>
    <w:p>
      <w:pPr>
        <w:spacing w:after="100"/>
        <w:jc w:val="center"/>
      </w:pPr>
      <w:r>
        <w:rPr>
          <w:rFonts w:ascii="Arial" w:cs="Arial" w:eastAsia="Arial" w:hAnsi="Arial"/>
          <w:b/>
          <w:bCs/>
          <w:color w:val="2563eb"/>
          <w:sz w:val="28"/>
          <w:szCs w:val="28"/>
        </w:rPr>
        <w:t xml:space="preserve">Plain English Overview</w:t>
      </w:r>
    </w:p>
    <w:p>
      <w:pPr>
        <w:spacing w:after="2000"/>
      </w:pPr>
    </w:p>
    <w:p>
      <w:pPr>
        <w:spacing w:after="60"/>
        <w:jc w:val="center"/>
      </w:pPr>
      <w:r>
        <w:rPr>
          <w:rFonts w:ascii="Arial" w:cs="Arial" w:eastAsia="Arial" w:hAnsi="Arial"/>
          <w:color w:val="5f6577"/>
          <w:sz w:val="22"/>
          <w:szCs w:val="22"/>
        </w:rPr>
        <w:t xml:space="preserve">Prepared by Stavros Panoutsopoulos</w:t>
      </w:r>
    </w:p>
    <w:p>
      <w:pPr>
        <w:spacing w:after="60"/>
        <w:jc w:val="center"/>
      </w:pPr>
      <w:r>
        <w:rPr>
          <w:rFonts w:ascii="Arial" w:cs="Arial" w:eastAsia="Arial" w:hAnsi="Arial"/>
          <w:color w:val="5f6577"/>
          <w:sz w:val="22"/>
          <w:szCs w:val="22"/>
        </w:rPr>
        <w:t xml:space="preserve">The Green Elephant Early Learning Centre</w:t>
      </w:r>
    </w:p>
    <w:p>
      <w:pPr>
        <w:jc w:val="center"/>
      </w:pPr>
      <w:r>
        <w:rPr>
          <w:rFonts w:ascii="Arial" w:cs="Arial" w:eastAsia="Arial" w:hAnsi="Arial"/>
          <w:color w:val="5f6577"/>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What Is SelfAssessPro?</w:t>
      </w:r>
    </w:p>
    <w:p>
      <w:pPr>
        <w:spacing w:after="180"/>
      </w:pPr>
      <w:r>
        <w:rPr>
          <w:rFonts w:ascii="Arial" w:cs="Arial" w:eastAsia="Arial" w:hAnsi="Arial"/>
          <w:b w:val="false"/>
          <w:bCs w:val="false"/>
          <w:i w:val="false"/>
          <w:iCs w:val="false"/>
          <w:sz w:val="24"/>
          <w:szCs w:val="24"/>
        </w:rPr>
        <w:t xml:space="preserve">Every childcare centre in Australia has to prove to the government that they’re doing a good job looking after children. They do this by writing documents that describe what they actually do every day — things like how they keep children safe, how they help them learn, how they involve families. These documents need to match up against a big official checklist called the National Quality Framework, which has 7 quality areas and dozens of specific things to cover.</w:t>
      </w:r>
    </w:p>
    <w:p>
      <w:pPr>
        <w:spacing w:after="180"/>
      </w:pPr>
      <w:r>
        <w:rPr>
          <w:rFonts w:ascii="Arial" w:cs="Arial" w:eastAsia="Arial" w:hAnsi="Arial"/>
          <w:b w:val="false"/>
          <w:bCs w:val="false"/>
          <w:i w:val="false"/>
          <w:iCs w:val="false"/>
          <w:sz w:val="24"/>
          <w:szCs w:val="24"/>
        </w:rPr>
        <w:t xml:space="preserve">SelfAssessPro is a web-based tool that helps childcare centres do this documentation work — faster, better, and without the frustration that currently comes with it.</w:t>
      </w:r>
    </w:p>
    <w:p>
      <w:pPr>
        <w:pStyle w:val="Heading1"/>
        <w:spacing w:after="200" w:before="360"/>
      </w:pPr>
      <w:r>
        <w:rPr>
          <w:rFonts w:ascii="Arial" w:cs="Arial" w:eastAsia="Arial" w:hAnsi="Arial"/>
        </w:rPr>
        <w:t xml:space="preserve">The Problem It Solves</w:t>
      </w:r>
    </w:p>
    <w:p>
      <w:pPr>
        <w:spacing w:after="180"/>
      </w:pPr>
      <w:r>
        <w:rPr>
          <w:rFonts w:ascii="Arial" w:cs="Arial" w:eastAsia="Arial" w:hAnsi="Arial"/>
          <w:b w:val="false"/>
          <w:bCs w:val="false"/>
          <w:i w:val="false"/>
          <w:iCs w:val="false"/>
          <w:sz w:val="24"/>
          <w:szCs w:val="24"/>
        </w:rPr>
        <w:t xml:space="preserve">The people running childcare centres — the directors and educators — are incredibly busy actually looking after children. They often don’t have time to sit down and write all this documentation properly. And even when they do, many of them struggle with three things:</w:t>
      </w:r>
    </w:p>
    <w:p>
      <w:pPr>
        <w:spacing w:after="180"/>
      </w:pPr>
      <w:r>
        <w:rPr>
          <w:rFonts w:ascii="Arial" w:cs="Arial" w:eastAsia="Arial" w:hAnsi="Arial"/>
          <w:b/>
          <w:bCs/>
          <w:sz w:val="24"/>
          <w:szCs w:val="24"/>
        </w:rPr>
        <w:t xml:space="preserve">Knowing where their practice fits. </w:t>
      </w:r>
      <w:r>
        <w:rPr>
          <w:rFonts w:ascii="Arial" w:cs="Arial" w:eastAsia="Arial" w:hAnsi="Arial"/>
          <w:sz w:val="24"/>
          <w:szCs w:val="24"/>
        </w:rPr>
        <w:t xml:space="preserve">Most educators can talk about what they do, but struggle to connect their everyday work to the specific elements of the official quality checklist (NQF). They do great work but can’t map it to the right Quality Area or Element.</w:t>
      </w:r>
    </w:p>
    <w:p>
      <w:pPr>
        <w:spacing w:after="180"/>
      </w:pPr>
      <w:r>
        <w:rPr>
          <w:rFonts w:ascii="Arial" w:cs="Arial" w:eastAsia="Arial" w:hAnsi="Arial"/>
          <w:b/>
          <w:bCs/>
          <w:sz w:val="24"/>
          <w:szCs w:val="24"/>
        </w:rPr>
        <w:t xml:space="preserve">Writing it up properly. </w:t>
      </w:r>
      <w:r>
        <w:rPr>
          <w:rFonts w:ascii="Arial" w:cs="Arial" w:eastAsia="Arial" w:hAnsi="Arial"/>
          <w:sz w:val="24"/>
          <w:szCs w:val="24"/>
        </w:rPr>
        <w:t xml:space="preserve">Even when they know what to say, writing a clear, concise, NQF-aligned Key Practice is a skill many haven’t been trained in. The result is documentation that doesn’t reflect the true quality of what’s happening in the rooms.</w:t>
      </w:r>
    </w:p>
    <w:p>
      <w:pPr>
        <w:spacing w:after="180"/>
      </w:pPr>
      <w:r>
        <w:rPr>
          <w:rFonts w:ascii="Arial" w:cs="Arial" w:eastAsia="Arial" w:hAnsi="Arial"/>
          <w:b/>
          <w:bCs/>
          <w:sz w:val="24"/>
          <w:szCs w:val="24"/>
        </w:rPr>
        <w:t xml:space="preserve">Keeping it alive. </w:t>
      </w:r>
      <w:r>
        <w:rPr>
          <w:rFonts w:ascii="Arial" w:cs="Arial" w:eastAsia="Arial" w:hAnsi="Arial"/>
          <w:sz w:val="24"/>
          <w:szCs w:val="24"/>
        </w:rPr>
        <w:t xml:space="preserve">Self-assessment documents are supposed to be living, working documents — updated regularly, revisited by the team. In practice, they’re often written once and forgotten until the next assessment visit.</w:t>
      </w:r>
    </w:p>
    <w:p>
      <w:pPr>
        <w:spacing w:after="180"/>
      </w:pPr>
      <w:r>
        <w:rPr>
          <w:rFonts w:ascii="Arial" w:cs="Arial" w:eastAsia="Arial" w:hAnsi="Arial"/>
          <w:b w:val="false"/>
          <w:bCs w:val="false"/>
          <w:i w:val="false"/>
          <w:iCs w:val="false"/>
          <w:sz w:val="24"/>
          <w:szCs w:val="24"/>
        </w:rPr>
        <w:t xml:space="preserve">Right now there is no dedicated software that helps with this. Some centres hire consultants, but that’s expensive and doesn’t scale. Others try using ChatGPT, but most people don’t know how to prompt it well enough to get usable, compliant results.</w:t>
      </w:r>
    </w:p>
    <w:p>
      <w:pPr>
        <w:pStyle w:val="Heading1"/>
        <w:spacing w:after="200" w:before="360"/>
      </w:pPr>
      <w:r>
        <w:rPr>
          <w:rFonts w:ascii="Arial" w:cs="Arial" w:eastAsia="Arial" w:hAnsi="Arial"/>
        </w:rPr>
        <w:t xml:space="preserve">What SelfAssessPro Does</w:t>
      </w:r>
    </w:p>
    <w:p>
      <w:pPr>
        <w:spacing w:after="180"/>
      </w:pPr>
      <w:r>
        <w:rPr>
          <w:rFonts w:ascii="Arial" w:cs="Arial" w:eastAsia="Arial" w:hAnsi="Arial"/>
          <w:b w:val="false"/>
          <w:bCs w:val="false"/>
          <w:i w:val="false"/>
          <w:iCs w:val="false"/>
          <w:sz w:val="24"/>
          <w:szCs w:val="24"/>
        </w:rPr>
        <w:t xml:space="preserve">The platform has three main tools, each designed to support a different part of the self-assessment process.</w:t>
      </w:r>
    </w:p>
    <w:p>
      <w:pPr>
        <w:pStyle w:val="Heading2"/>
        <w:spacing w:after="200" w:before="240"/>
      </w:pPr>
      <w:r>
        <w:rPr>
          <w:rFonts w:ascii="Arial" w:cs="Arial" w:eastAsia="Arial" w:hAnsi="Arial"/>
        </w:rPr>
        <w:t xml:space="preserve">1. NQF Mapping Studio</w:t>
      </w:r>
    </w:p>
    <w:p>
      <w:pPr>
        <w:spacing w:after="180"/>
      </w:pPr>
      <w:r>
        <w:rPr>
          <w:rFonts w:ascii="Arial" w:cs="Arial" w:eastAsia="Arial" w:hAnsi="Arial"/>
          <w:b w:val="false"/>
          <w:bCs w:val="false"/>
          <w:i w:val="false"/>
          <w:iCs w:val="false"/>
          <w:sz w:val="24"/>
          <w:szCs w:val="24"/>
        </w:rPr>
        <w:t xml:space="preserve">You describe something your centre does — in plain language. The tool guides you through a short series of questions to understand the practice, then figures out which parts of the NQF it connects to. It suggests the best-fit Quality Area(s) and Element(s), gives a short rationale explaining why, and offers a suggested Key Practice idea you can use straight away or save for later.</w:t>
      </w:r>
    </w:p>
    <w:p>
      <w:pPr>
        <w:pStyle w:val="Heading2"/>
        <w:spacing w:after="200" w:before="240"/>
      </w:pPr>
      <w:r>
        <w:rPr>
          <w:rFonts w:ascii="Arial" w:cs="Arial" w:eastAsia="Arial" w:hAnsi="Arial"/>
        </w:rPr>
        <w:t xml:space="preserve">2. Key Practice Writing Studio</w:t>
      </w:r>
    </w:p>
    <w:p>
      <w:pPr>
        <w:spacing w:after="180"/>
      </w:pPr>
      <w:r>
        <w:rPr>
          <w:rFonts w:ascii="Arial" w:cs="Arial" w:eastAsia="Arial" w:hAnsi="Arial"/>
          <w:b w:val="false"/>
          <w:bCs w:val="false"/>
          <w:i w:val="false"/>
          <w:iCs w:val="false"/>
          <w:sz w:val="24"/>
          <w:szCs w:val="24"/>
        </w:rPr>
        <w:t xml:space="preserve">You provide what your centre actually does (the embedded practice), select or let the tool suggest an NQF element, and optionally add how the practice was informed by critical reflection or family input. The tool then helps you shape that into a polished, concise Key Practice — a maximum of 480 characters, written in first-person plural, strictly based on what you provided. You can refine and regenerate as many times as needed before saving.</w:t>
      </w:r>
    </w:p>
    <w:p>
      <w:pPr>
        <w:pStyle w:val="Heading2"/>
        <w:spacing w:after="200" w:before="240"/>
      </w:pPr>
      <w:r>
        <w:rPr>
          <w:rFonts w:ascii="Arial" w:cs="Arial" w:eastAsia="Arial" w:hAnsi="Arial"/>
        </w:rPr>
        <w:t xml:space="preserve">3. Quality Improvement Planning Assistant</w:t>
      </w:r>
    </w:p>
    <w:p>
      <w:pPr>
        <w:spacing w:after="180"/>
      </w:pPr>
      <w:r>
        <w:rPr>
          <w:rFonts w:ascii="Arial" w:cs="Arial" w:eastAsia="Arial" w:hAnsi="Arial"/>
          <w:b w:val="false"/>
          <w:bCs w:val="false"/>
          <w:i w:val="false"/>
          <w:iCs w:val="false"/>
          <w:sz w:val="24"/>
          <w:szCs w:val="24"/>
        </w:rPr>
        <w:t xml:space="preserve">You describe an issue or area you want to improve. The tool helps you structure that into a clear goal statement, 5–10 suggested next steps, a success measure, priority level, and timeframe. Everything is editable, and you can add progress notes over time as the improvement work unfolds.</w:t>
      </w:r>
    </w:p>
    <w:p>
      <w:pPr>
        <w:pStyle w:val="Heading2"/>
        <w:spacing w:after="200" w:before="240"/>
      </w:pPr>
      <w:r>
        <w:rPr>
          <w:rFonts w:ascii="Arial" w:cs="Arial" w:eastAsia="Arial" w:hAnsi="Arial"/>
        </w:rPr>
        <w:t xml:space="preserve">Saved Library</w:t>
      </w:r>
    </w:p>
    <w:p>
      <w:pPr>
        <w:spacing w:after="180"/>
      </w:pPr>
      <w:r>
        <w:rPr>
          <w:rFonts w:ascii="Arial" w:cs="Arial" w:eastAsia="Arial" w:hAnsi="Arial"/>
          <w:b w:val="false"/>
          <w:bCs w:val="false"/>
          <w:i w:val="false"/>
          <w:iCs w:val="false"/>
          <w:sz w:val="24"/>
          <w:szCs w:val="24"/>
        </w:rPr>
        <w:t xml:space="preserve">Everything gets saved into a private library — searchable and filterable by Quality Area, Element, or keyword. Multiple educators can contribute, with directors reviewing and approving what goes in. The library becomes the centre’s living self-assessment evidence base.</w:t>
      </w:r>
    </w:p>
    <w:p>
      <w:pPr>
        <w:pStyle w:val="Heading1"/>
        <w:spacing w:after="200" w:before="360"/>
      </w:pPr>
      <w:r>
        <w:rPr>
          <w:rFonts w:ascii="Arial" w:cs="Arial" w:eastAsia="Arial" w:hAnsi="Arial"/>
        </w:rPr>
        <w:t xml:space="preserve">How It Actually Works — The Guided Approach</w:t>
      </w:r>
    </w:p>
    <w:p>
      <w:pPr>
        <w:spacing w:after="180"/>
      </w:pPr>
      <w:r>
        <w:rPr>
          <w:rFonts w:ascii="Arial" w:cs="Arial" w:eastAsia="Arial" w:hAnsi="Arial"/>
          <w:b/>
          <w:bCs/>
          <w:sz w:val="24"/>
          <w:szCs w:val="24"/>
        </w:rPr>
        <w:t xml:space="preserve">This is the most important part of the product design. </w:t>
      </w:r>
      <w:r>
        <w:rPr>
          <w:rFonts w:ascii="Arial" w:cs="Arial" w:eastAsia="Arial" w:hAnsi="Arial"/>
          <w:sz w:val="24"/>
          <w:szCs w:val="24"/>
        </w:rPr>
        <w:t xml:space="preserve">SelfAssessPro is not a tool that writes documentation for educators. It’s a tool that guides them through the thinking, then captures that thinking as documentation.</w:t>
      </w:r>
    </w:p>
    <w:p>
      <w:pPr>
        <w:spacing w:after="180"/>
      </w:pPr>
      <w:r>
        <w:rPr>
          <w:rFonts w:ascii="Arial" w:cs="Arial" w:eastAsia="Arial" w:hAnsi="Arial"/>
          <w:b w:val="false"/>
          <w:bCs w:val="false"/>
          <w:i w:val="false"/>
          <w:iCs w:val="false"/>
          <w:sz w:val="24"/>
          <w:szCs w:val="24"/>
        </w:rPr>
        <w:t xml:space="preserve">The difference matters. The National Quality Framework values reflective practice. Assessors want to see that educators have genuinely thought about what they do, why they do it, and how they could improve. A tool that takes “we have a garden” and spits out a polished paragraph short-circuits the reflection the framework is designed to encourage.</w:t>
      </w:r>
    </w:p>
    <w:p>
      <w:pPr>
        <w:spacing w:after="180"/>
      </w:pPr>
      <w:r>
        <w:rPr>
          <w:rFonts w:ascii="Arial" w:cs="Arial" w:eastAsia="Arial" w:hAnsi="Arial"/>
          <w:b w:val="false"/>
          <w:bCs w:val="false"/>
          <w:i w:val="false"/>
          <w:iCs w:val="false"/>
          <w:sz w:val="24"/>
          <w:szCs w:val="24"/>
        </w:rPr>
        <w:t xml:space="preserve">Instead, SelfAssessPro walks educators through a structured conversation. The tool asks questions, the educator thinks and responds, and the documentation emerges from that exchange. The educator builds the Key Practice from their own reflections, step by step. The documentation is inherently grounded in real practice because the educator constructed it from their own thinking.</w:t>
      </w:r>
    </w:p>
    <w:p>
      <w:r>
        <w:br w:type="page"/>
      </w:r>
    </w:p>
    <w:p>
      <w:pPr>
        <w:pStyle w:val="Heading1"/>
        <w:spacing w:after="200" w:before="360"/>
      </w:pPr>
      <w:r>
        <w:rPr>
          <w:rFonts w:ascii="Arial" w:cs="Arial" w:eastAsia="Arial" w:hAnsi="Arial"/>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6"/>
              <w:bottom w:val="single" w:color="2563eb" w:sz="1"/>
              <w:right w:val="single" w:color="2563eb" w:sz="1"/>
            </w:tcBorders>
            <w:shd w:fill="EFF4FF" w:val="clear"/>
            <w:tcMar>
              <w:top w:type="dxa" w:w="160"/>
              <w:left w:type="dxa" w:w="200"/>
              <w:bottom w:type="dxa" w:w="160"/>
              <w:right w:type="dxa" w:w="200"/>
            </w:tcMar>
          </w:tcPr>
          <w:p>
            <w:pPr>
              <w:spacing w:after="100"/>
            </w:pPr>
            <w:r>
              <w:rPr>
                <w:rFonts w:ascii="Arial" w:cs="Arial" w:eastAsia="Arial" w:hAnsi="Arial"/>
                <w:b/>
                <w:bCs/>
                <w:color w:val="2563eb"/>
                <w:sz w:val="20"/>
                <w:szCs w:val="20"/>
              </w:rPr>
              <w:t xml:space="preserve">DESIGN NOTE</w:t>
            </w:r>
          </w:p>
          <w:p>
            <w:pPr>
              <w:spacing w:after="160"/>
            </w:pPr>
            <w:r>
              <w:rPr>
                <w:rFonts w:ascii="Arial" w:cs="Arial" w:eastAsia="Arial" w:hAnsi="Arial"/>
                <w:b/>
                <w:bCs/>
                <w:color w:val="1a1d27"/>
                <w:sz w:val="28"/>
                <w:szCs w:val="28"/>
              </w:rPr>
              <w:t xml:space="preserve">Guided Multiple-Choice Interaction Model</w:t>
            </w:r>
          </w:p>
          <w:p>
            <w:pPr>
              <w:spacing w:after="140"/>
            </w:pPr>
            <w:r>
              <w:rPr>
                <w:rFonts w:ascii="Arial" w:cs="Arial" w:eastAsia="Arial" w:hAnsi="Arial"/>
                <w:sz w:val="24"/>
                <w:szCs w:val="24"/>
              </w:rPr>
              <w:t xml:space="preserve">A core design decision for SelfAssessPro is that the guided reflection process should use structured multiple-choice questions rather than open-ended prompts. This should be considered a foundational feature of the product, not a nice-to-have.</w:t>
            </w:r>
          </w:p>
        </w:tc>
      </w:tr>
    </w:tbl>
    <w:p>
      <w:pPr>
        <w:spacing w:after="200"/>
      </w:pPr>
    </w:p>
    <w:p>
      <w:pPr>
        <w:pStyle w:val="Heading2"/>
        <w:spacing w:after="200" w:before="240"/>
      </w:pPr>
      <w:r>
        <w:rPr>
          <w:rFonts w:ascii="Arial" w:cs="Arial" w:eastAsia="Arial" w:hAnsi="Arial"/>
        </w:rPr>
        <w:t xml:space="preserve">The Problem with Open-Ended Questions</w:t>
      </w:r>
    </w:p>
    <w:p>
      <w:pPr>
        <w:spacing w:after="180"/>
      </w:pPr>
      <w:r>
        <w:rPr>
          <w:rFonts w:ascii="Arial" w:cs="Arial" w:eastAsia="Arial" w:hAnsi="Arial"/>
          <w:b w:val="false"/>
          <w:bCs w:val="false"/>
          <w:i w:val="false"/>
          <w:iCs w:val="false"/>
          <w:sz w:val="24"/>
          <w:szCs w:val="24"/>
        </w:rPr>
        <w:t xml:space="preserve">When you ask an educator an open-ended question like “How was this practice informed by critical reflection?” — many freeze. Not because they don’t reflect, but because they don’t know what critical reflection looks like in formal terms. They do it instinctively but can’t articulate it. The same applies to “How was this informed by families or community?” — educators chat with parents at pickup every day but don’t always recognise that as family input into practice.</w:t>
      </w:r>
    </w:p>
    <w:p>
      <w:pPr>
        <w:spacing w:after="180"/>
      </w:pPr>
      <w:r>
        <w:rPr>
          <w:rFonts w:ascii="Arial" w:cs="Arial" w:eastAsia="Arial" w:hAnsi="Arial"/>
          <w:b w:val="false"/>
          <w:bCs w:val="false"/>
          <w:i w:val="false"/>
          <w:iCs w:val="false"/>
          <w:sz w:val="24"/>
          <w:szCs w:val="24"/>
        </w:rPr>
        <w:t xml:space="preserve">Open-ended prompts create a blank-page problem. The educator stares at the screen, types something thin, and the resulting documentation is weak — not because the practice is weak, but because the capture mechanism failed them.</w:t>
      </w:r>
    </w:p>
    <w:p>
      <w:pPr>
        <w:pStyle w:val="Heading2"/>
        <w:spacing w:after="200" w:before="240"/>
      </w:pPr>
      <w:r>
        <w:rPr>
          <w:rFonts w:ascii="Arial" w:cs="Arial" w:eastAsia="Arial" w:hAnsi="Arial"/>
        </w:rPr>
        <w:t xml:space="preserve">How Multiple-Choice Solves This</w:t>
      </w:r>
    </w:p>
    <w:p>
      <w:pPr>
        <w:spacing w:after="180"/>
      </w:pPr>
      <w:r>
        <w:rPr>
          <w:rFonts w:ascii="Arial" w:cs="Arial" w:eastAsia="Arial" w:hAnsi="Arial"/>
          <w:b w:val="false"/>
          <w:bCs w:val="false"/>
          <w:i w:val="false"/>
          <w:iCs w:val="false"/>
          <w:sz w:val="24"/>
          <w:szCs w:val="24"/>
        </w:rPr>
        <w:t xml:space="preserve">Instead of asking “What prompted this practice?” as a freeform question, the tool presents structured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B" w:val="clear"/>
            <w:tcMar>
              <w:top w:type="dxa" w:w="160"/>
              <w:left w:type="dxa" w:w="200"/>
              <w:bottom w:type="dxa" w:w="160"/>
              <w:right w:type="dxa" w:w="200"/>
            </w:tcMar>
          </w:tcPr>
          <w:p>
            <w:pPr>
              <w:spacing w:after="140"/>
            </w:pPr>
            <w:r>
              <w:rPr>
                <w:rFonts w:ascii="Arial" w:cs="Arial" w:eastAsia="Arial" w:hAnsi="Arial"/>
                <w:b/>
                <w:bCs/>
                <w:i/>
                <w:iCs/>
                <w:color w:val="1a1d27"/>
                <w:sz w:val="24"/>
                <w:szCs w:val="24"/>
              </w:rPr>
              <w:t xml:space="preserve">Example: What prompted this practice?</w:t>
            </w:r>
          </w:p>
          <w:p>
            <w:pPr>
              <w:pStyle w:val="ListParagraph"/>
              <w:numPr>
                <w:ilvl w:val="0"/>
                <w:numId w:val="2"/>
              </w:numPr>
              <w:spacing w:after="80"/>
            </w:pPr>
            <w:r>
              <w:rPr>
                <w:rFonts w:ascii="Arial" w:cs="Arial" w:eastAsia="Arial" w:hAnsi="Arial"/>
                <w:sz w:val="24"/>
                <w:szCs w:val="24"/>
              </w:rPr>
              <w:t xml:space="preserve">Something I noticed in the children’s behaviour</w:t>
            </w:r>
          </w:p>
          <w:p>
            <w:pPr>
              <w:pStyle w:val="ListParagraph"/>
              <w:numPr>
                <w:ilvl w:val="0"/>
                <w:numId w:val="2"/>
              </w:numPr>
              <w:spacing w:after="80"/>
            </w:pPr>
            <w:r>
              <w:rPr>
                <w:rFonts w:ascii="Arial" w:cs="Arial" w:eastAsia="Arial" w:hAnsi="Arial"/>
                <w:sz w:val="24"/>
                <w:szCs w:val="24"/>
              </w:rPr>
              <w:t xml:space="preserve">A team discussion or meeting</w:t>
            </w:r>
          </w:p>
          <w:p>
            <w:pPr>
              <w:pStyle w:val="ListParagraph"/>
              <w:numPr>
                <w:ilvl w:val="0"/>
                <w:numId w:val="2"/>
              </w:numPr>
              <w:spacing w:after="80"/>
            </w:pPr>
            <w:r>
              <w:rPr>
                <w:rFonts w:ascii="Arial" w:cs="Arial" w:eastAsia="Arial" w:hAnsi="Arial"/>
                <w:sz w:val="24"/>
                <w:szCs w:val="24"/>
              </w:rPr>
              <w:t xml:space="preserve">Feedback from a family</w:t>
            </w:r>
          </w:p>
          <w:p>
            <w:pPr>
              <w:pStyle w:val="ListParagraph"/>
              <w:numPr>
                <w:ilvl w:val="0"/>
                <w:numId w:val="2"/>
              </w:numPr>
              <w:spacing w:after="80"/>
            </w:pPr>
            <w:r>
              <w:rPr>
                <w:rFonts w:ascii="Arial" w:cs="Arial" w:eastAsia="Arial" w:hAnsi="Arial"/>
                <w:sz w:val="24"/>
                <w:szCs w:val="24"/>
              </w:rPr>
              <w:t xml:space="preserve">Something I read or learned in professional development</w:t>
            </w:r>
          </w:p>
          <w:p>
            <w:pPr>
              <w:pStyle w:val="ListParagraph"/>
              <w:numPr>
                <w:ilvl w:val="0"/>
                <w:numId w:val="2"/>
              </w:numPr>
              <w:spacing w:after="40"/>
            </w:pPr>
            <w:r>
              <w:rPr>
                <w:rFonts w:ascii="Arial" w:cs="Arial" w:eastAsia="Arial" w:hAnsi="Arial"/>
                <w:sz w:val="24"/>
                <w:szCs w:val="24"/>
              </w:rPr>
              <w:t xml:space="preserve">A change in policy or regulations</w:t>
            </w:r>
          </w:p>
        </w:tc>
      </w:tr>
    </w:tbl>
    <w:p>
      <w:pPr>
        <w:spacing w:after="120"/>
      </w:pPr>
    </w:p>
    <w:p>
      <w:pPr>
        <w:spacing w:after="180"/>
      </w:pPr>
      <w:r>
        <w:rPr>
          <w:rFonts w:ascii="Arial" w:cs="Arial" w:eastAsia="Arial" w:hAnsi="Arial"/>
          <w:b w:val="false"/>
          <w:bCs w:val="false"/>
          <w:i w:val="false"/>
          <w:iCs w:val="false"/>
          <w:sz w:val="24"/>
          <w:szCs w:val="24"/>
        </w:rPr>
        <w:t xml:space="preserve">The educator picks one or two, and the tool follows up with a more targeted question based on what they selected. For example, if they choose “A team discussion or meeting”, the next question might be: “What was the key insight from that conversation that changed how you approach this?”</w:t>
      </w:r>
    </w:p>
    <w:p>
      <w:pPr>
        <w:pStyle w:val="Heading2"/>
        <w:spacing w:after="200" w:before="240"/>
      </w:pPr>
      <w:r>
        <w:rPr>
          <w:rFonts w:ascii="Arial" w:cs="Arial" w:eastAsia="Arial" w:hAnsi="Arial"/>
        </w:rPr>
        <w:t xml:space="preserve">Why This Must Be a Core Feature</w:t>
      </w:r>
    </w:p>
    <w:p>
      <w:pPr>
        <w:spacing w:after="180"/>
      </w:pPr>
      <w:r>
        <w:rPr>
          <w:rFonts w:ascii="Arial" w:cs="Arial" w:eastAsia="Arial" w:hAnsi="Arial"/>
          <w:b w:val="false"/>
          <w:bCs w:val="false"/>
          <w:i w:val="false"/>
          <w:iCs w:val="false"/>
          <w:sz w:val="24"/>
          <w:szCs w:val="24"/>
        </w:rPr>
        <w:t xml:space="preserve">The multiple-choice guided approach delivers three things simultaneously:</w:t>
      </w:r>
    </w:p>
    <w:p>
      <w:pPr>
        <w:spacing w:after="180"/>
      </w:pPr>
      <w:r>
        <w:rPr>
          <w:rFonts w:ascii="Arial" w:cs="Arial" w:eastAsia="Arial" w:hAnsi="Arial"/>
          <w:b/>
          <w:bCs/>
          <w:sz w:val="24"/>
          <w:szCs w:val="24"/>
        </w:rPr>
        <w:t xml:space="preserve">1. It teaches. </w:t>
      </w:r>
      <w:r>
        <w:rPr>
          <w:rFonts w:ascii="Arial" w:cs="Arial" w:eastAsia="Arial" w:hAnsi="Arial"/>
          <w:sz w:val="24"/>
          <w:szCs w:val="24"/>
        </w:rPr>
        <w:t xml:space="preserve">The options themselves show the educator what critical reflection, family input, and evidence-based practice actually look like in concrete terms. Every time they use the tool, they’re learning the vocabulary and frameworks of quality practice — without being lectured.</w:t>
      </w:r>
    </w:p>
    <w:p>
      <w:pPr>
        <w:spacing w:after="180"/>
      </w:pPr>
      <w:r>
        <w:rPr>
          <w:rFonts w:ascii="Arial" w:cs="Arial" w:eastAsia="Arial" w:hAnsi="Arial"/>
          <w:b/>
          <w:bCs/>
          <w:sz w:val="24"/>
          <w:szCs w:val="24"/>
        </w:rPr>
        <w:t xml:space="preserve">2. It reduces friction. </w:t>
      </w:r>
      <w:r>
        <w:rPr>
          <w:rFonts w:ascii="Arial" w:cs="Arial" w:eastAsia="Arial" w:hAnsi="Arial"/>
          <w:sz w:val="24"/>
          <w:szCs w:val="24"/>
        </w:rPr>
        <w:t xml:space="preserve">Selecting from options is faster and easier than composing freeform text. Educators are more likely to complete the process and less likely to abandon it halfway through. This is critical for a tool that needs to be used weekly alongside the actual job of looking after children.</w:t>
      </w:r>
    </w:p>
    <w:p>
      <w:pPr>
        <w:spacing w:after="180"/>
      </w:pPr>
      <w:r>
        <w:rPr>
          <w:rFonts w:ascii="Arial" w:cs="Arial" w:eastAsia="Arial" w:hAnsi="Arial"/>
          <w:b/>
          <w:bCs/>
          <w:sz w:val="24"/>
          <w:szCs w:val="24"/>
        </w:rPr>
        <w:t xml:space="preserve">3. It produces better data. </w:t>
      </w:r>
      <w:r>
        <w:rPr>
          <w:rFonts w:ascii="Arial" w:cs="Arial" w:eastAsia="Arial" w:hAnsi="Arial"/>
          <w:sz w:val="24"/>
          <w:szCs w:val="24"/>
        </w:rPr>
        <w:t xml:space="preserve">Structured responses capture the type of reflection (team discussion, family input, child observation) in a way that can be categorised, tracked, and reported on. The tool knows not just what the educator wrote, but what kind of thinking informed it. This opens the door to analytics — “Across your service, 80% of Key Practices were informed by child observations but only 15% reference family input” — which is genuinely actionable intelligence for quality improvement.</w:t>
      </w:r>
    </w:p>
    <w:p>
      <w:pPr>
        <w:pStyle w:val="Heading2"/>
        <w:spacing w:after="200" w:before="240"/>
      </w:pPr>
      <w:r>
        <w:rPr>
          <w:rFonts w:ascii="Arial" w:cs="Arial" w:eastAsia="Arial" w:hAnsi="Arial"/>
        </w:rPr>
        <w:t xml:space="preserve">What This Means for Competitive Positioning</w:t>
      </w:r>
    </w:p>
    <w:p>
      <w:pPr>
        <w:spacing w:after="180"/>
      </w:pPr>
      <w:r>
        <w:rPr>
          <w:rFonts w:ascii="Arial" w:cs="Arial" w:eastAsia="Arial" w:hAnsi="Arial"/>
          <w:b w:val="false"/>
          <w:bCs w:val="false"/>
          <w:i w:val="false"/>
          <w:iCs w:val="false"/>
          <w:sz w:val="24"/>
          <w:szCs w:val="24"/>
        </w:rPr>
        <w:t xml:space="preserve">This interaction model is the product’s moat. Anyone can build a prompt wrapper that takes text input and generates a Key Practice using AI. There is nothing defensible about that. But a guided reflection pathway that walks educators through the NQF thinking step by step, using structured choices that teach while they capture — that’s a fundamentally different product. It’s harder to build, harder to copy, and delivers a better outcome for the user.</w:t>
      </w:r>
    </w:p>
    <w:p>
      <w:pPr>
        <w:spacing w:after="180"/>
      </w:pPr>
      <w:r>
        <w:rPr>
          <w:rFonts w:ascii="Arial" w:cs="Arial" w:eastAsia="Arial" w:hAnsi="Arial"/>
          <w:b w:val="false"/>
          <w:bCs w:val="false"/>
          <w:i w:val="false"/>
          <w:iCs w:val="false"/>
          <w:sz w:val="24"/>
          <w:szCs w:val="24"/>
        </w:rPr>
        <w:t xml:space="preserve">It also aligns the product with what the NQF actually values. If an assessor sees documentation that was produced through a genuine reflection process (even an AI-guided one), that’s fundamentally different from documentation that was generated by AI from a brief text prompt. The process matters, not just the output.</w:t>
      </w:r>
    </w:p>
    <w:p>
      <w:pPr>
        <w:spacing w:after="300"/>
      </w:pPr>
    </w:p>
    <w:p>
      <w:pPr>
        <w:spacing w:before="2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SelfAssessPro — Plain English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d2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1a1d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2026-03-23T19:02:45.817Z</dcterms:created>
  <dcterms:modified xsi:type="dcterms:W3CDTF">2026-03-23T19:02:45.817Z</dcterms:modified>
</cp:coreProperties>
</file>

<file path=docProps/custom.xml><?xml version="1.0" encoding="utf-8"?>
<Properties xmlns="http://schemas.openxmlformats.org/officeDocument/2006/custom-properties" xmlns:vt="http://schemas.openxmlformats.org/officeDocument/2006/docPropsVTypes"/>
</file>