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23950" cy="63791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37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07080" w:space="2" w:sz="10" w:val="single"/>
        </w:pBdr>
        <w:spacing w:after="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03030"/>
          <w:sz w:val="28"/>
          <w:szCs w:val="28"/>
          <w:rtl w:val="0"/>
        </w:rPr>
        <w:t xml:space="preserve">Call for Proposals — HUCMED Seed Grant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07080"/>
          <w:sz w:val="22"/>
          <w:szCs w:val="22"/>
          <w:rtl w:val="0"/>
        </w:rPr>
        <w:t xml:space="preserve">Advancing Computational Research in Cancer and Mother &amp; Child Health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07080" w:space="0" w:sz="6" w:val="single"/>
              <w:left w:color="107080" w:space="0" w:sz="6" w:val="single"/>
              <w:bottom w:color="107080" w:space="0" w:sz="6" w:val="single"/>
              <w:right w:color="107080" w:space="0" w:sz="6" w:val="single"/>
            </w:tcBorders>
            <w:shd w:fill="10708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Submission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07080" w:space="0" w:sz="6" w:val="single"/>
              <w:left w:color="107080" w:space="0" w:sz="6" w:val="single"/>
              <w:bottom w:color="107080" w:space="0" w:sz="6" w:val="single"/>
              <w:right w:color="107080" w:space="0" w:sz="6" w:val="single"/>
            </w:tcBorders>
            <w:shd w:fill="10708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Funding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07080" w:space="0" w:sz="6" w:val="single"/>
              <w:left w:color="107080" w:space="0" w:sz="6" w:val="single"/>
              <w:bottom w:color="107080" w:space="0" w:sz="6" w:val="single"/>
              <w:right w:color="10708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15 June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07080" w:space="0" w:sz="6" w:val="single"/>
              <w:left w:color="107080" w:space="0" w:sz="6" w:val="single"/>
              <w:bottom w:color="107080" w:space="0" w:sz="6" w:val="single"/>
              <w:right w:color="107080" w:space="0" w:sz="6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12 months, starting October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07080" w:space="2" w:sz="6" w:val="single"/>
        </w:pBd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03030"/>
          <w:sz w:val="22"/>
          <w:szCs w:val="22"/>
          <w:rtl w:val="0"/>
        </w:rPr>
        <w:t xml:space="preserve">1. Overview and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2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Hebrew University Center for Computational Medicine (HUCMED)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is pleased to announce a new Seed Grant Program to catalyze high-impact, interdisciplinary research in computational medicine. The program supports the generation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proof-of-concept (POC)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results and preliminary data that position investigators to compete successfully for larger external funding.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07080" w:space="2" w:sz="6" w:val="single"/>
        </w:pBd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03030"/>
          <w:sz w:val="22"/>
          <w:szCs w:val="22"/>
          <w:rtl w:val="0"/>
        </w:rPr>
        <w:t xml:space="preserve">2. Research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2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Proposals must fall within one of the following two tracks: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03030"/>
          <w:sz w:val="20"/>
          <w:szCs w:val="20"/>
          <w:u w:val="none"/>
          <w:shd w:fill="auto" w:val="clear"/>
          <w:vertAlign w:val="baseline"/>
          <w:rtl w:val="0"/>
        </w:rPr>
        <w:t xml:space="preserve">Track A — Cancer: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multi-omics integration, predictive modeling, technology development, and personalized treatment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03030"/>
          <w:sz w:val="20"/>
          <w:szCs w:val="20"/>
          <w:u w:val="none"/>
          <w:shd w:fill="auto" w:val="clear"/>
          <w:vertAlign w:val="baseline"/>
          <w:rtl w:val="0"/>
        </w:rPr>
        <w:t xml:space="preserve">Track B — Mother &amp; Child Health: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developmental biology, prenatal diagnostics, neonatal monitoring, and pediatric precision medicine.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07080" w:space="2" w:sz="6" w:val="single"/>
        </w:pBd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03030"/>
          <w:sz w:val="22"/>
          <w:szCs w:val="22"/>
          <w:rtl w:val="0"/>
        </w:rPr>
        <w:t xml:space="preserve">3. Eligibility and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2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Open to researchers from the Hebrew University and its affiliated hospitals and institutions. Priority will be given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collaborative proposals submitted by two or more Principal Investigators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that bridge basic research and clinical application.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 Principal Investigator may participate in only one proposal under this call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07080" w:space="2" w:sz="6" w:val="single"/>
        </w:pBd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03030"/>
          <w:sz w:val="22"/>
          <w:szCs w:val="22"/>
          <w:rtl w:val="0"/>
        </w:rPr>
        <w:t xml:space="preserve">4. Funding and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Award: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USD 25,000 per project, shared between the participating laboratories.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Allowable costs: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research personnel, data access fees, computational resources, and consumables directly related to the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07080" w:space="2" w:sz="6" w:val="single"/>
        </w:pBd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03030"/>
          <w:sz w:val="22"/>
          <w:szCs w:val="22"/>
          <w:rtl w:val="0"/>
        </w:rPr>
        <w:t xml:space="preserve">5. Evaluation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2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Proposals will be reviewed by an ad hoc committee of subject-matter experts convened by HUCMED.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07080" w:space="2" w:sz="6" w:val="single"/>
        </w:pBd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03030"/>
          <w:sz w:val="22"/>
          <w:szCs w:val="22"/>
          <w:rtl w:val="0"/>
        </w:rPr>
        <w:t xml:space="preserve">6. Proposal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20"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Applications must be submitted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English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as a single PDF. Format: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3 pages max.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includ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references; figures), 11 pt font, 1.5 spacing, ½-inch margins.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12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The proposal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Scientific Abstract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(250 words max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imum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Introduction and Hypothesis: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state of the art and the specific clinical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Collaborative Plan: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scientific synergy between the participating 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Computational Medicine Approach: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integration of computational tools with clinical/translational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Path to Scale: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specific large-scale funding programs (e.g., ISF, ERC, NIH) targeted on the basis of the POC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12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The same PDF must additionally include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concise budget justification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and a short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CV (2 pages max.) for each 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07080" w:space="2" w:sz="6" w:val="single"/>
        </w:pBd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03030"/>
          <w:sz w:val="22"/>
          <w:szCs w:val="22"/>
          <w:rtl w:val="0"/>
        </w:rPr>
        <w:t xml:space="preserve">7. Reporting and Affiliation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Reporting: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 single summary report upon completion of the 12-month funding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Affiliation: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all resulting publications, presentations, and grant applications must acknowledge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HUCMED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and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Azrieli OMICs Center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10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903030"/>
          <w:sz w:val="20"/>
          <w:szCs w:val="20"/>
          <w:rtl w:val="0"/>
        </w:rPr>
        <w:t xml:space="preserve">Submission: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all applications must be submitted through the official online application form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15 June 2026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. Late or non-compliant submissions will not be considered.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540" w:hanging="270"/>
      </w:pPr>
      <w:rPr>
        <w:color w:val="107080"/>
      </w:rPr>
    </w:lvl>
    <w:lvl w:ilvl="1">
      <w:start w:val="1"/>
      <w:numFmt w:val="bullet"/>
      <w:lvlText w:val="○"/>
      <w:lvlJc w:val="left"/>
      <w:pPr>
        <w:ind w:left="1080" w:hanging="27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8/a+8g7W5aAIHvne3BtqLLzyhg==">CgMxLjA4AGojChNzdWdnZXN0LnR2MjFvd2E2ejB0EgxOaXIgRnJpZWRtYW5qJAoUc3VnZ2VzdC5icGl3aGRscTVhdm0SDE5pciBGcmllZG1hbmokChRzdWdnZXN0LjczOHlheXJzbXlrYRIMTmlyIEZyaWVkbWFuaiQKFHN1Z2dlc3QubGJqd3FybnpvcjJnEgxOaXIgRnJpZWRtYW5qJAoUc3VnZ2VzdC5keHcxdXp2Zm9vMTESDE5pciBGcmllZG1hbnIhMWs5VmtrRGl5ekN2amRacFZPbTBwZ0pDTnpnS1BQYl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