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A7B9B" w14:textId="77777777" w:rsidR="005E0DB3" w:rsidRPr="005E0DB3" w:rsidRDefault="005E0DB3" w:rsidP="005E0DB3">
      <w:pPr>
        <w:rPr>
          <w:b/>
          <w:bCs/>
        </w:rPr>
      </w:pPr>
      <w:r w:rsidRPr="005E0DB3">
        <w:rPr>
          <w:b/>
          <w:bCs/>
        </w:rPr>
        <w:t xml:space="preserve">Discordant Chaperone Dysfunction: Loss of Calreticulin, but not PDIA3, </w:t>
      </w:r>
      <w:proofErr w:type="gramStart"/>
      <w:r w:rsidRPr="005E0DB3">
        <w:rPr>
          <w:b/>
          <w:bCs/>
        </w:rPr>
        <w:t>Drives</w:t>
      </w:r>
      <w:proofErr w:type="gramEnd"/>
      <w:r w:rsidRPr="005E0DB3">
        <w:rPr>
          <w:b/>
          <w:bCs/>
        </w:rPr>
        <w:t xml:space="preserve"> an "Inflamed-Resistant" Macrophage Niche in Basal-Like Breast Cancer</w:t>
      </w:r>
    </w:p>
    <w:p w14:paraId="16B4D1D6" w14:textId="77777777" w:rsidR="005E0DB3" w:rsidRPr="005E0DB3" w:rsidRDefault="005E0DB3" w:rsidP="005E0DB3">
      <w:pPr>
        <w:rPr>
          <w:b/>
          <w:bCs/>
        </w:rPr>
      </w:pPr>
      <w:r w:rsidRPr="005E0DB3">
        <w:rPr>
          <w:b/>
          <w:bCs/>
        </w:rPr>
        <w:t>Abstract</w:t>
      </w:r>
    </w:p>
    <w:p w14:paraId="31E2C134" w14:textId="77777777" w:rsidR="005E0DB3" w:rsidRPr="005E0DB3" w:rsidRDefault="005E0DB3" w:rsidP="005E0DB3">
      <w:r w:rsidRPr="005E0DB3">
        <w:rPr>
          <w:b/>
          <w:bCs/>
        </w:rPr>
        <w:t>Background:</w:t>
      </w:r>
      <w:r w:rsidRPr="005E0DB3">
        <w:t xml:space="preserve"> Immune checkpoint blockade (ICB) has transformed the treatment of triple-negative breast cancer (TNBC), yet a significant fraction of immunologically "hot" tumors </w:t>
      </w:r>
      <w:proofErr w:type="gramStart"/>
      <w:r w:rsidRPr="005E0DB3">
        <w:t>fail</w:t>
      </w:r>
      <w:proofErr w:type="gramEnd"/>
      <w:r w:rsidRPr="005E0DB3">
        <w:t xml:space="preserve"> to respond. Current resistance models prioritize structural defects in MHC Class I (e.g., </w:t>
      </w:r>
      <w:r w:rsidRPr="005E0DB3">
        <w:rPr>
          <w:i/>
          <w:iCs/>
        </w:rPr>
        <w:t>B2M</w:t>
      </w:r>
      <w:r w:rsidRPr="005E0DB3">
        <w:t xml:space="preserve"> loss). We hypothesized that functional defects in the peptide loading complex (PLC) assembly line might drive resistance in tumors that appear genetically intact.</w:t>
      </w:r>
    </w:p>
    <w:p w14:paraId="631AC626" w14:textId="77777777" w:rsidR="005E0DB3" w:rsidRPr="005E0DB3" w:rsidRDefault="005E0DB3" w:rsidP="005E0DB3">
      <w:r w:rsidRPr="005E0DB3">
        <w:rPr>
          <w:b/>
          <w:bCs/>
        </w:rPr>
        <w:t>Methods:</w:t>
      </w:r>
      <w:r w:rsidRPr="005E0DB3">
        <w:t xml:space="preserve"> We applied a novel "Gap Analysis" algorithm to TCGA Basal-like breast cancer transcriptomes ($n=191$) to quantify the discordance between antigen presentation potential (median pathway expression) and functional reality (minimum bottleneck gene). We integrated this with immune deconvolution (CIBERSORT) and ligand-receptor analysis to characterize the microenvironment.</w:t>
      </w:r>
    </w:p>
    <w:p w14:paraId="15308CFA" w14:textId="77777777" w:rsidR="005E0DB3" w:rsidRPr="005E0DB3" w:rsidRDefault="005E0DB3" w:rsidP="005E0DB3">
      <w:r w:rsidRPr="005E0DB3">
        <w:rPr>
          <w:b/>
          <w:bCs/>
        </w:rPr>
        <w:t>Results:</w:t>
      </w:r>
      <w:r w:rsidRPr="005E0DB3">
        <w:t xml:space="preserve"> We identified a distinct "Discordant" phenotype in ~28% of Basal tumors, driven primarily by defects in the PLC chaperones </w:t>
      </w:r>
      <w:r w:rsidRPr="005E0DB3">
        <w:rPr>
          <w:b/>
          <w:bCs/>
        </w:rPr>
        <w:t>Calreticulin (CALR)</w:t>
      </w:r>
      <w:r w:rsidRPr="005E0DB3">
        <w:t xml:space="preserve"> and </w:t>
      </w:r>
      <w:r w:rsidRPr="005E0DB3">
        <w:rPr>
          <w:b/>
          <w:bCs/>
        </w:rPr>
        <w:t>PDIA3</w:t>
      </w:r>
      <w:r w:rsidRPr="005E0DB3">
        <w:t xml:space="preserve">, rather than structural HLA loss. Crucially, these two molecular defects dictated opposing immune fates. </w:t>
      </w:r>
      <w:r w:rsidRPr="005E0DB3">
        <w:rPr>
          <w:b/>
          <w:bCs/>
        </w:rPr>
        <w:t>CALR-deficient tumors</w:t>
      </w:r>
      <w:r w:rsidRPr="005E0DB3">
        <w:t xml:space="preserve"> ($n=9$) exhibited an "Inflamed-Resistant" phenotype: they retained high chemokine expression (</w:t>
      </w:r>
      <w:r w:rsidRPr="005E0DB3">
        <w:rPr>
          <w:i/>
          <w:iCs/>
        </w:rPr>
        <w:t>CXCL10</w:t>
      </w:r>
      <w:r w:rsidRPr="005E0DB3">
        <w:t xml:space="preserve">, </w:t>
      </w:r>
      <w:r w:rsidRPr="005E0DB3">
        <w:rPr>
          <w:i/>
          <w:iCs/>
        </w:rPr>
        <w:t>CCL2</w:t>
      </w:r>
      <w:r w:rsidRPr="005E0DB3">
        <w:t xml:space="preserve">) and recruited M1 macrophages ($p=0.017$), but evaded phagocytosis via a high </w:t>
      </w:r>
      <w:r w:rsidRPr="005E0DB3">
        <w:rPr>
          <w:i/>
          <w:iCs/>
        </w:rPr>
        <w:t>CD</w:t>
      </w:r>
      <w:proofErr w:type="gramStart"/>
      <w:r w:rsidRPr="005E0DB3">
        <w:rPr>
          <w:i/>
          <w:iCs/>
        </w:rPr>
        <w:t>47:CALR</w:t>
      </w:r>
      <w:proofErr w:type="gramEnd"/>
      <w:r w:rsidRPr="005E0DB3">
        <w:t xml:space="preserve"> ratio ("Frustrated Phagocytosis"). Macrophages in this niche expressed high levels of scavenger receptors (</w:t>
      </w:r>
      <w:r w:rsidRPr="005E0DB3">
        <w:rPr>
          <w:i/>
          <w:iCs/>
        </w:rPr>
        <w:t>MSR1</w:t>
      </w:r>
      <w:r w:rsidRPr="005E0DB3">
        <w:t xml:space="preserve">, </w:t>
      </w:r>
      <w:r w:rsidRPr="005E0DB3">
        <w:rPr>
          <w:i/>
          <w:iCs/>
        </w:rPr>
        <w:t>SIRPA</w:t>
      </w:r>
      <w:r w:rsidRPr="005E0DB3">
        <w:t xml:space="preserve">), confirming they were recruited and armed but functionally blocked. In contrast, </w:t>
      </w:r>
      <w:r w:rsidRPr="005E0DB3">
        <w:rPr>
          <w:b/>
          <w:bCs/>
        </w:rPr>
        <w:t>PDIA3-deficient tumors</w:t>
      </w:r>
      <w:r w:rsidRPr="005E0DB3">
        <w:t xml:space="preserve"> ($n=6$) exhibited an "Immune Desert" phenotype with significantly reduced chemokine signaling and macrophage infiltration ($p=0.01$).</w:t>
      </w:r>
    </w:p>
    <w:p w14:paraId="029D1F40" w14:textId="77777777" w:rsidR="005E0DB3" w:rsidRPr="005E0DB3" w:rsidRDefault="005E0DB3" w:rsidP="005E0DB3">
      <w:r w:rsidRPr="005E0DB3">
        <w:rPr>
          <w:b/>
          <w:bCs/>
        </w:rPr>
        <w:t>Conclusion:</w:t>
      </w:r>
      <w:r w:rsidRPr="005E0DB3">
        <w:t xml:space="preserve"> We demonstrate that chaperone failure is a dominant, underappreciated mechanism of immune evasion in Basal breast cancer. Our findings suggest that CALR-deficient tumors represent a "High-Visibility/High-Resistance" subset likely refractory to CD47 blockade, whereas PDIA3-deficient tumors represent an "Ignored" subset requiring innate priming.</w:t>
      </w:r>
    </w:p>
    <w:p w14:paraId="60C49837" w14:textId="77777777" w:rsidR="005E0DB3" w:rsidRPr="005E0DB3" w:rsidRDefault="00AF0F82" w:rsidP="005E0DB3">
      <w:r>
        <w:pict w14:anchorId="3F8CF853">
          <v:rect id="_x0000_i1025" style="width:0;height:1.5pt" o:hralign="center" o:hrstd="t" o:hr="t" fillcolor="#a0a0a0" stroked="f"/>
        </w:pict>
      </w:r>
    </w:p>
    <w:p w14:paraId="71105823" w14:textId="77777777" w:rsidR="005E0DB3" w:rsidRPr="005E0DB3" w:rsidRDefault="005E0DB3" w:rsidP="005E0DB3">
      <w:pPr>
        <w:rPr>
          <w:b/>
          <w:bCs/>
        </w:rPr>
      </w:pPr>
      <w:r w:rsidRPr="005E0DB3">
        <w:rPr>
          <w:b/>
          <w:bCs/>
        </w:rPr>
        <w:t>1. Introduction</w:t>
      </w:r>
    </w:p>
    <w:p w14:paraId="1B12259C" w14:textId="77777777" w:rsidR="005E0DB3" w:rsidRPr="005E0DB3" w:rsidRDefault="005E0DB3" w:rsidP="005E0DB3">
      <w:r w:rsidRPr="005E0DB3">
        <w:t>Basal-like breast cancer, the molecular subtype overlapping most significantly with Triple-Negative Breast Cancer (TNBC), is considered the most immunogenic form of breast malignancy. Despite high mutational burdens and substantial tumor-infiltrating lymphocytes (TILs), response rates to PD-1/PD-L1 blockade remain modest, hovering around 20-30% in unselected populations. This clinical disconnect implies the existence of a "Competent-yet-Resistant" phenotype: tumors that possess the antigenic potential to trigger immunity but harbor specific, functional bottlenecks that prevent effective elimination.</w:t>
      </w:r>
    </w:p>
    <w:p w14:paraId="2239A4EB" w14:textId="77777777" w:rsidR="005E0DB3" w:rsidRPr="005E0DB3" w:rsidRDefault="005E0DB3" w:rsidP="005E0DB3">
      <w:r w:rsidRPr="005E0DB3">
        <w:t xml:space="preserve">The dominant paradigm of immune evasion focuses on "Hard Loss" events, such as the genetic deletion of </w:t>
      </w:r>
      <w:r w:rsidRPr="005E0DB3">
        <w:rPr>
          <w:i/>
          <w:iCs/>
        </w:rPr>
        <w:t>B2M</w:t>
      </w:r>
      <w:r w:rsidRPr="005E0DB3">
        <w:t xml:space="preserve"> or loss-of-heterozygosity (LOH) at </w:t>
      </w:r>
      <w:r w:rsidRPr="005E0DB3">
        <w:rPr>
          <w:i/>
          <w:iCs/>
        </w:rPr>
        <w:t>HLA</w:t>
      </w:r>
      <w:r w:rsidRPr="005E0DB3">
        <w:t xml:space="preserve"> loci, which structurally abolish Major Histocompatibility Complex Class I (MHC-I) presentation. However, many non-responding tumors retain intact </w:t>
      </w:r>
      <w:r w:rsidRPr="005E0DB3">
        <w:rPr>
          <w:i/>
          <w:iCs/>
        </w:rPr>
        <w:t>HLA</w:t>
      </w:r>
      <w:r w:rsidRPr="005E0DB3">
        <w:t xml:space="preserve"> and </w:t>
      </w:r>
      <w:r w:rsidRPr="005E0DB3">
        <w:rPr>
          <w:i/>
          <w:iCs/>
        </w:rPr>
        <w:t>B2M</w:t>
      </w:r>
      <w:r w:rsidRPr="005E0DB3">
        <w:t xml:space="preserve"> genes. We propose that a significant fraction of these tumors evade detection not by losing the MHC molecule itself, but by disrupting the </w:t>
      </w:r>
      <w:r w:rsidRPr="005E0DB3">
        <w:rPr>
          <w:b/>
          <w:bCs/>
        </w:rPr>
        <w:t xml:space="preserve">Peptide Loading </w:t>
      </w:r>
      <w:r w:rsidRPr="005E0DB3">
        <w:rPr>
          <w:b/>
          <w:bCs/>
        </w:rPr>
        <w:lastRenderedPageBreak/>
        <w:t>Complex (PLC)</w:t>
      </w:r>
      <w:r w:rsidRPr="005E0DB3">
        <w:t>—the cellular assembly line responsible for folding MHC-I and loading it with antigen.</w:t>
      </w:r>
    </w:p>
    <w:p w14:paraId="18789DA5" w14:textId="77777777" w:rsidR="005E0DB3" w:rsidRPr="005E0DB3" w:rsidRDefault="005E0DB3" w:rsidP="005E0DB3">
      <w:r w:rsidRPr="005E0DB3">
        <w:t xml:space="preserve">The PLC relies on two critical chaperones: </w:t>
      </w:r>
      <w:r w:rsidRPr="005E0DB3">
        <w:rPr>
          <w:b/>
          <w:bCs/>
        </w:rPr>
        <w:t>Calreticulin (CALR)</w:t>
      </w:r>
      <w:r w:rsidRPr="005E0DB3">
        <w:t xml:space="preserve"> and </w:t>
      </w:r>
      <w:r w:rsidRPr="005E0DB3">
        <w:rPr>
          <w:b/>
          <w:bCs/>
        </w:rPr>
        <w:t>PDIA3 (ERp57)</w:t>
      </w:r>
      <w:r w:rsidRPr="005E0DB3">
        <w:t>.</w:t>
      </w:r>
      <w:r w:rsidRPr="005E0DB3">
        <w:rPr>
          <w:vertAlign w:val="superscript"/>
        </w:rPr>
        <w:t>1</w:t>
      </w:r>
      <w:r w:rsidRPr="005E0DB3">
        <w:t xml:space="preserve"> These proteins perform a dual function. Inside the ER, they stabilize the MHC-I complex. On the cell surface, CALR acts as a dominant "pro-phagocytic" (Eat Me) signal, while CD47 acts as an "anti-phagocytic" (Don't Eat Me) signal.</w:t>
      </w:r>
      <w:r w:rsidRPr="005E0DB3">
        <w:rPr>
          <w:vertAlign w:val="superscript"/>
        </w:rPr>
        <w:t>2</w:t>
      </w:r>
      <w:r w:rsidRPr="005E0DB3">
        <w:t xml:space="preserve"> This dual role positions the chaperones as unique regulators of both adaptive immunity (T-cell recognition) and innate immunity (Macrophage phagocytosis). In this study, we assessed whether defects in these chaperones drive distinct immune evasion phenotypes.</w:t>
      </w:r>
    </w:p>
    <w:p w14:paraId="66448759" w14:textId="77777777" w:rsidR="005E0DB3" w:rsidRPr="005E0DB3" w:rsidRDefault="005E0DB3" w:rsidP="005E0DB3">
      <w:r w:rsidRPr="005E0DB3">
        <w:t>+1</w:t>
      </w:r>
    </w:p>
    <w:p w14:paraId="6E095B50" w14:textId="77777777" w:rsidR="005E0DB3" w:rsidRPr="005E0DB3" w:rsidRDefault="00AF0F82" w:rsidP="005E0DB3">
      <w:r>
        <w:pict w14:anchorId="1E1F5867">
          <v:rect id="_x0000_i1026" style="width:0;height:1.5pt" o:hralign="center" o:hrstd="t" o:hr="t" fillcolor="#a0a0a0" stroked="f"/>
        </w:pict>
      </w:r>
    </w:p>
    <w:p w14:paraId="7801012C" w14:textId="77777777" w:rsidR="005E0DB3" w:rsidRPr="005E0DB3" w:rsidRDefault="005E0DB3" w:rsidP="005E0DB3">
      <w:pPr>
        <w:rPr>
          <w:b/>
          <w:bCs/>
        </w:rPr>
      </w:pPr>
      <w:r w:rsidRPr="005E0DB3">
        <w:rPr>
          <w:b/>
          <w:bCs/>
        </w:rPr>
        <w:t>2. Methods</w:t>
      </w:r>
    </w:p>
    <w:p w14:paraId="5996F197" w14:textId="77777777" w:rsidR="005E0DB3" w:rsidRPr="005E0DB3" w:rsidRDefault="005E0DB3" w:rsidP="005E0DB3">
      <w:r w:rsidRPr="005E0DB3">
        <w:t>2.1. Data Acquisition and Processing</w:t>
      </w:r>
    </w:p>
    <w:p w14:paraId="0EBF0A65" w14:textId="77777777" w:rsidR="005E0DB3" w:rsidRPr="005E0DB3" w:rsidRDefault="005E0DB3" w:rsidP="005E0DB3">
      <w:r w:rsidRPr="005E0DB3">
        <w:t>RNA-sequencing data (RSEM normalized count) and clinical metadata for the Breast Invasive Carcinoma (BRCA) cohort were obtained from The Cancer Genome Atlas (TCGA) via the Xena Browser. We filtered the dataset to retain only samples classified as "Basal-like" by the PAM50 classifier ($n=191$) to control for subtype-specific immune heterogeneity. Expression values were log2-transformed ($log_2(x+</w:t>
      </w:r>
      <w:proofErr w:type="gramStart"/>
      <w:r w:rsidRPr="005E0DB3">
        <w:t>1)$</w:t>
      </w:r>
      <w:proofErr w:type="gramEnd"/>
      <w:r w:rsidRPr="005E0DB3">
        <w:t>) prior to analysis.</w:t>
      </w:r>
    </w:p>
    <w:p w14:paraId="51FE84AE" w14:textId="77777777" w:rsidR="005E0DB3" w:rsidRPr="005E0DB3" w:rsidRDefault="005E0DB3" w:rsidP="005E0DB3">
      <w:r w:rsidRPr="005E0DB3">
        <w:t>2.2. Gap Analysis and Phenotype Definition</w:t>
      </w:r>
    </w:p>
    <w:p w14:paraId="2C34E5B2" w14:textId="77777777" w:rsidR="005E0DB3" w:rsidRPr="005E0DB3" w:rsidRDefault="005E0DB3" w:rsidP="005E0DB3">
      <w:r w:rsidRPr="005E0DB3">
        <w:t>To quantify functional antigen presentation machinery (APM) defects, we defined a core APM gene signature comprising HLA-A, HLA-B, HLA-C, B2M, TAP1, TAP2, CALR, and PDIA3. We developed a "Gap Analysis" metric for each sample:</w:t>
      </w:r>
    </w:p>
    <w:p w14:paraId="045CB961" w14:textId="77777777" w:rsidR="005E0DB3" w:rsidRPr="005E0DB3" w:rsidRDefault="005E0DB3" w:rsidP="005E0DB3">
      <w:pPr>
        <w:numPr>
          <w:ilvl w:val="0"/>
          <w:numId w:val="1"/>
        </w:numPr>
      </w:pPr>
      <w:r w:rsidRPr="005E0DB3">
        <w:rPr>
          <w:b/>
          <w:bCs/>
        </w:rPr>
        <w:t>APM Potential:</w:t>
      </w:r>
      <w:r w:rsidRPr="005E0DB3">
        <w:t xml:space="preserve"> The median expression Z-score of the core APM signature.</w:t>
      </w:r>
    </w:p>
    <w:p w14:paraId="74407E4D" w14:textId="77777777" w:rsidR="005E0DB3" w:rsidRPr="005E0DB3" w:rsidRDefault="005E0DB3" w:rsidP="005E0DB3">
      <w:pPr>
        <w:numPr>
          <w:ilvl w:val="0"/>
          <w:numId w:val="1"/>
        </w:numPr>
      </w:pPr>
      <w:r w:rsidRPr="005E0DB3">
        <w:rPr>
          <w:b/>
          <w:bCs/>
        </w:rPr>
        <w:t>Functional Bottleneck:</w:t>
      </w:r>
      <w:r w:rsidRPr="005E0DB3">
        <w:t xml:space="preserve"> The Z-score of the minimum expressed gene in the signature.</w:t>
      </w:r>
    </w:p>
    <w:p w14:paraId="693A356C" w14:textId="77777777" w:rsidR="005E0DB3" w:rsidRPr="005E0DB3" w:rsidRDefault="005E0DB3" w:rsidP="005E0DB3">
      <w:pPr>
        <w:numPr>
          <w:ilvl w:val="0"/>
          <w:numId w:val="1"/>
        </w:numPr>
      </w:pPr>
      <w:r w:rsidRPr="005E0DB3">
        <w:t>Discordance: Defined as samples retaining high potential (Median &gt; -0.5) but exhibiting a severe single-gene bottleneck (Min &lt; -0.5).</w:t>
      </w:r>
    </w:p>
    <w:p w14:paraId="79206E56" w14:textId="77777777" w:rsidR="005E0DB3" w:rsidRPr="005E0DB3" w:rsidRDefault="005E0DB3" w:rsidP="005E0DB3">
      <w:r w:rsidRPr="005E0DB3">
        <w:t>Samples were classified as "Competent" (no bottlenecks), "Discordant" (single bottlenecks), or "Global Failure" (low median expression).</w:t>
      </w:r>
    </w:p>
    <w:p w14:paraId="6C35CDFA" w14:textId="77777777" w:rsidR="005E0DB3" w:rsidRPr="005E0DB3" w:rsidRDefault="005E0DB3" w:rsidP="005E0DB3">
      <w:r w:rsidRPr="005E0DB3">
        <w:t>2.3. Chaperone-Specific Stratification</w:t>
      </w:r>
    </w:p>
    <w:p w14:paraId="672BF005" w14:textId="77777777" w:rsidR="005E0DB3" w:rsidRPr="005E0DB3" w:rsidRDefault="005E0DB3" w:rsidP="005E0DB3">
      <w:r w:rsidRPr="005E0DB3">
        <w:t>Discordant tumors were further stratified into mutually exclusive "Pure" subgroups to isolate the effects of chaperone loss:</w:t>
      </w:r>
    </w:p>
    <w:p w14:paraId="1BA3E7EE" w14:textId="77777777" w:rsidR="005E0DB3" w:rsidRPr="005E0DB3" w:rsidRDefault="005E0DB3" w:rsidP="005E0DB3">
      <w:pPr>
        <w:numPr>
          <w:ilvl w:val="0"/>
          <w:numId w:val="2"/>
        </w:numPr>
      </w:pPr>
      <w:r w:rsidRPr="005E0DB3">
        <w:rPr>
          <w:b/>
          <w:bCs/>
        </w:rPr>
        <w:t>Pure CALR-Deficient:</w:t>
      </w:r>
      <w:r w:rsidRPr="005E0DB3">
        <w:t xml:space="preserve"> </w:t>
      </w:r>
      <w:r w:rsidRPr="005E0DB3">
        <w:rPr>
          <w:i/>
          <w:iCs/>
        </w:rPr>
        <w:t>CALR</w:t>
      </w:r>
      <w:r w:rsidRPr="005E0DB3">
        <w:t xml:space="preserve"> Z-score &lt; -0.5 and </w:t>
      </w:r>
      <w:r w:rsidRPr="005E0DB3">
        <w:rPr>
          <w:i/>
          <w:iCs/>
        </w:rPr>
        <w:t>PDIA3</w:t>
      </w:r>
      <w:r w:rsidRPr="005E0DB3">
        <w:t xml:space="preserve"> Z-score &gt; -0.5.</w:t>
      </w:r>
    </w:p>
    <w:p w14:paraId="7A054F74" w14:textId="77777777" w:rsidR="005E0DB3" w:rsidRPr="005E0DB3" w:rsidRDefault="005E0DB3" w:rsidP="005E0DB3">
      <w:pPr>
        <w:numPr>
          <w:ilvl w:val="0"/>
          <w:numId w:val="2"/>
        </w:numPr>
      </w:pPr>
      <w:r w:rsidRPr="005E0DB3">
        <w:t>Pure PDIA3-Deficient: PDIA3 Z-score &lt; -0.5 and CALR Z-score &gt; -0.5.</w:t>
      </w:r>
    </w:p>
    <w:p w14:paraId="38C6059C" w14:textId="77777777" w:rsidR="005E0DB3" w:rsidRPr="005E0DB3" w:rsidRDefault="005E0DB3" w:rsidP="005E0DB3">
      <w:r w:rsidRPr="005E0DB3">
        <w:t>Tumors with concomitant loss of both chaperones were excluded from the subgroup analysis to maintain mechanistic purity.</w:t>
      </w:r>
    </w:p>
    <w:p w14:paraId="1FD1FDE0" w14:textId="77777777" w:rsidR="005E0DB3" w:rsidRPr="005E0DB3" w:rsidRDefault="005E0DB3" w:rsidP="005E0DB3">
      <w:r w:rsidRPr="005E0DB3">
        <w:t>2.4. Immune Microenvironment Characterization</w:t>
      </w:r>
    </w:p>
    <w:p w14:paraId="560549CC" w14:textId="77777777" w:rsidR="005E0DB3" w:rsidRPr="005E0DB3" w:rsidRDefault="005E0DB3" w:rsidP="005E0DB3">
      <w:r w:rsidRPr="005E0DB3">
        <w:lastRenderedPageBreak/>
        <w:t>Immune infiltration was assessed using pre-computed CIBERSORT deconvolution fractions (Leukocyte Fraction, Macrophage M0/M1/M2). Tumor purity was evaluated using the Consensus Purity Estimate (CPE). Differential expression of chemokines (CCL2, CXCL9, CXCL10) and macrophage receptors (MSR1, MARCO, SIRPA, CD47) was compared across groups using the non-parametric Mann-Whitney U test (two-sided).</w:t>
      </w:r>
    </w:p>
    <w:p w14:paraId="23ED05A1" w14:textId="77777777" w:rsidR="005E0DB3" w:rsidRPr="005E0DB3" w:rsidRDefault="00AF0F82" w:rsidP="005E0DB3">
      <w:r>
        <w:pict w14:anchorId="338F2F80">
          <v:rect id="_x0000_i1027" style="width:0;height:1.5pt" o:hralign="center" o:hrstd="t" o:hr="t" fillcolor="#a0a0a0" stroked="f"/>
        </w:pict>
      </w:r>
    </w:p>
    <w:p w14:paraId="56FDC841" w14:textId="77777777" w:rsidR="005E0DB3" w:rsidRPr="005E0DB3" w:rsidRDefault="005E0DB3" w:rsidP="005E0DB3">
      <w:pPr>
        <w:rPr>
          <w:b/>
          <w:bCs/>
        </w:rPr>
      </w:pPr>
      <w:r w:rsidRPr="005E0DB3">
        <w:rPr>
          <w:b/>
          <w:bCs/>
        </w:rPr>
        <w:t>3. Results</w:t>
      </w:r>
    </w:p>
    <w:p w14:paraId="60F84C7D" w14:textId="77777777" w:rsidR="005E0DB3" w:rsidRPr="005E0DB3" w:rsidRDefault="005E0DB3" w:rsidP="005E0DB3">
      <w:r w:rsidRPr="005E0DB3">
        <w:t>3.1. A "Gap Analysis" Reveals Functional APM Discordance</w:t>
      </w:r>
    </w:p>
    <w:p w14:paraId="309B4050" w14:textId="77777777" w:rsidR="005E0DB3" w:rsidRPr="005E0DB3" w:rsidRDefault="005E0DB3" w:rsidP="005E0DB3">
      <w:r w:rsidRPr="005E0DB3">
        <w:t>To identify tumors with latent antigen presentation defects, we calculated the Discordance Score for the Basal-like cohort. While 72% of tumors showed "Competent" alignment, 28% (n=53) exhibited significant discordance, retaining high pathway potential but failing at a single, critical bottleneck. Strikingly, unlike melanoma or lung cancer where B2M or HLA-A are common bottlenecks, the primary drivers of discordance in Basal breast cancer were the peptide loading chaperones CALR and PDIA3.</w:t>
      </w:r>
    </w:p>
    <w:p w14:paraId="4EFEFBED" w14:textId="77777777" w:rsidR="005E0DB3" w:rsidRPr="005E0DB3" w:rsidRDefault="005E0DB3" w:rsidP="005E0DB3">
      <w:r w:rsidRPr="005E0DB3">
        <w:t>3.2. CALR and PDIA3 Defects Drive Divergent Immune Microenvironments</w:t>
      </w:r>
    </w:p>
    <w:p w14:paraId="27139C26" w14:textId="77777777" w:rsidR="005E0DB3" w:rsidRPr="005E0DB3" w:rsidRDefault="005E0DB3" w:rsidP="005E0DB3">
      <w:r w:rsidRPr="005E0DB3">
        <w:t>We stratified the discordant tumors into mutually exclusive "Pure CALR-deficient" and "Pure PDIA3-deficient" subgroups to assess their impact on the tumor microenvironment.</w:t>
      </w:r>
    </w:p>
    <w:p w14:paraId="365A2A9B" w14:textId="77777777" w:rsidR="005E0DB3" w:rsidRPr="005E0DB3" w:rsidRDefault="005E0DB3" w:rsidP="005E0DB3">
      <w:pPr>
        <w:numPr>
          <w:ilvl w:val="0"/>
          <w:numId w:val="3"/>
        </w:numPr>
      </w:pPr>
      <w:r w:rsidRPr="005E0DB3">
        <w:rPr>
          <w:b/>
          <w:bCs/>
        </w:rPr>
        <w:t>Chemokine Signaling:</w:t>
      </w:r>
      <w:r w:rsidRPr="005E0DB3">
        <w:t xml:space="preserve"> </w:t>
      </w:r>
      <w:r w:rsidRPr="005E0DB3">
        <w:rPr>
          <w:i/>
          <w:iCs/>
        </w:rPr>
        <w:t>CALR</w:t>
      </w:r>
      <w:r w:rsidRPr="005E0DB3">
        <w:t xml:space="preserve">-deficient tumors retained a "hot" chemokine profile, expressing high levels of macrophage chemoattractants </w:t>
      </w:r>
      <w:r w:rsidRPr="005E0DB3">
        <w:rPr>
          <w:i/>
          <w:iCs/>
        </w:rPr>
        <w:t>CCL2</w:t>
      </w:r>
      <w:r w:rsidRPr="005E0DB3">
        <w:t xml:space="preserve"> and </w:t>
      </w:r>
      <w:r w:rsidRPr="005E0DB3">
        <w:rPr>
          <w:i/>
          <w:iCs/>
        </w:rPr>
        <w:t>CXCL10</w:t>
      </w:r>
      <w:r w:rsidRPr="005E0DB3">
        <w:t xml:space="preserve"> (comparable to Competent tumors). In contrast, </w:t>
      </w:r>
      <w:r w:rsidRPr="005E0DB3">
        <w:rPr>
          <w:i/>
          <w:iCs/>
        </w:rPr>
        <w:t>PDIA3</w:t>
      </w:r>
      <w:r w:rsidRPr="005E0DB3">
        <w:t>-deficient tumors were immunologically silent, exhibiting significantly lower expression of all assayed chemokines (</w:t>
      </w:r>
      <w:r w:rsidRPr="005E0DB3">
        <w:rPr>
          <w:i/>
          <w:iCs/>
        </w:rPr>
        <w:t>p</w:t>
      </w:r>
      <w:r w:rsidRPr="005E0DB3">
        <w:t xml:space="preserve"> &lt; 0.05).</w:t>
      </w:r>
    </w:p>
    <w:p w14:paraId="3C215D1E" w14:textId="77777777" w:rsidR="005E0DB3" w:rsidRPr="005E0DB3" w:rsidRDefault="005E0DB3" w:rsidP="005E0DB3">
      <w:pPr>
        <w:numPr>
          <w:ilvl w:val="0"/>
          <w:numId w:val="3"/>
        </w:numPr>
      </w:pPr>
      <w:r w:rsidRPr="005E0DB3">
        <w:rPr>
          <w:b/>
          <w:bCs/>
        </w:rPr>
        <w:t>Macrophage Infiltration:</w:t>
      </w:r>
      <w:r w:rsidRPr="005E0DB3">
        <w:t xml:space="preserve"> Consistent with the chemokine profile, CIBERSORT deconvolution revealed a significant enrichment of pro-inflammatory </w:t>
      </w:r>
      <w:r w:rsidRPr="005E0DB3">
        <w:rPr>
          <w:b/>
          <w:bCs/>
        </w:rPr>
        <w:t>M1 Macrophages</w:t>
      </w:r>
      <w:r w:rsidRPr="005E0DB3">
        <w:t xml:space="preserve"> in the </w:t>
      </w:r>
      <w:r w:rsidRPr="005E0DB3">
        <w:rPr>
          <w:i/>
          <w:iCs/>
        </w:rPr>
        <w:t>CALR</w:t>
      </w:r>
      <w:r w:rsidRPr="005E0DB3">
        <w:t xml:space="preserve">-deficient group (Mean Score: 0.136) compared to the </w:t>
      </w:r>
      <w:r w:rsidRPr="005E0DB3">
        <w:rPr>
          <w:i/>
          <w:iCs/>
        </w:rPr>
        <w:t>PDIA3</w:t>
      </w:r>
      <w:r w:rsidRPr="005E0DB3">
        <w:t xml:space="preserve">-deficient group (Mean Score: 0.060, </w:t>
      </w:r>
      <w:r w:rsidRPr="005E0DB3">
        <w:rPr>
          <w:i/>
          <w:iCs/>
        </w:rPr>
        <w:t>p</w:t>
      </w:r>
      <w:r w:rsidRPr="005E0DB3">
        <w:t xml:space="preserve"> = 0.017). This establishes the </w:t>
      </w:r>
      <w:r w:rsidRPr="005E0DB3">
        <w:rPr>
          <w:i/>
          <w:iCs/>
        </w:rPr>
        <w:t>CALR</w:t>
      </w:r>
      <w:r w:rsidRPr="005E0DB3">
        <w:t xml:space="preserve">-deficient niche as "Inflamed" and the </w:t>
      </w:r>
      <w:r w:rsidRPr="005E0DB3">
        <w:rPr>
          <w:i/>
          <w:iCs/>
        </w:rPr>
        <w:t>PDIA3</w:t>
      </w:r>
      <w:r w:rsidRPr="005E0DB3">
        <w:t>-deficient niche as an "Immune Desert."</w:t>
      </w:r>
    </w:p>
    <w:p w14:paraId="66FE1572" w14:textId="77777777" w:rsidR="005E0DB3" w:rsidRPr="005E0DB3" w:rsidRDefault="005E0DB3" w:rsidP="005E0DB3">
      <w:r w:rsidRPr="005E0DB3">
        <w:t>3.3. The "Frustrated Phagocytosis" Phenotype in CALR-Deficient Tumors</w:t>
      </w:r>
    </w:p>
    <w:p w14:paraId="3C89B68B" w14:textId="77777777" w:rsidR="005E0DB3" w:rsidRPr="005E0DB3" w:rsidRDefault="005E0DB3" w:rsidP="005E0DB3">
      <w:r w:rsidRPr="005E0DB3">
        <w:t>Despite the robust recruitment of M1 macrophages into the CALR-deficient niche, these tumors do not succumb to immune clearance. We identified a mechanism of active repulsion:</w:t>
      </w:r>
    </w:p>
    <w:p w14:paraId="0A2CBD34" w14:textId="77777777" w:rsidR="005E0DB3" w:rsidRPr="005E0DB3" w:rsidRDefault="005E0DB3" w:rsidP="005E0DB3">
      <w:pPr>
        <w:numPr>
          <w:ilvl w:val="0"/>
          <w:numId w:val="4"/>
        </w:numPr>
      </w:pPr>
      <w:r w:rsidRPr="005E0DB3">
        <w:rPr>
          <w:b/>
          <w:bCs/>
        </w:rPr>
        <w:t>The Repulsion Signal:</w:t>
      </w:r>
      <w:r w:rsidRPr="005E0DB3">
        <w:t xml:space="preserve"> </w:t>
      </w:r>
      <w:r w:rsidRPr="005E0DB3">
        <w:rPr>
          <w:i/>
          <w:iCs/>
        </w:rPr>
        <w:t>CALR</w:t>
      </w:r>
      <w:r w:rsidRPr="005E0DB3">
        <w:t xml:space="preserve">-deficient tumors maintained </w:t>
      </w:r>
      <w:r w:rsidRPr="005E0DB3">
        <w:rPr>
          <w:i/>
          <w:iCs/>
        </w:rPr>
        <w:t>CD47</w:t>
      </w:r>
      <w:r w:rsidRPr="005E0DB3">
        <w:t xml:space="preserve"> expression at levels equivalent to competent tumors, despite the significant loss of the pro-phagocytic </w:t>
      </w:r>
      <w:r w:rsidRPr="005E0DB3">
        <w:rPr>
          <w:i/>
          <w:iCs/>
        </w:rPr>
        <w:t>CALR</w:t>
      </w:r>
      <w:r w:rsidRPr="005E0DB3">
        <w:t xml:space="preserve"> signal. This creates a high </w:t>
      </w:r>
      <w:r w:rsidRPr="005E0DB3">
        <w:rPr>
          <w:i/>
          <w:iCs/>
        </w:rPr>
        <w:t>CD</w:t>
      </w:r>
      <w:proofErr w:type="gramStart"/>
      <w:r w:rsidRPr="005E0DB3">
        <w:rPr>
          <w:i/>
          <w:iCs/>
        </w:rPr>
        <w:t>47:CALR</w:t>
      </w:r>
      <w:proofErr w:type="gramEnd"/>
      <w:r w:rsidRPr="005E0DB3">
        <w:t xml:space="preserve"> ratio, effectively blocking phagocytosis.</w:t>
      </w:r>
    </w:p>
    <w:p w14:paraId="71632B09" w14:textId="77777777" w:rsidR="005E0DB3" w:rsidRPr="005E0DB3" w:rsidRDefault="005E0DB3" w:rsidP="005E0DB3">
      <w:pPr>
        <w:numPr>
          <w:ilvl w:val="0"/>
          <w:numId w:val="4"/>
        </w:numPr>
      </w:pPr>
      <w:r w:rsidRPr="005E0DB3">
        <w:rPr>
          <w:b/>
          <w:bCs/>
        </w:rPr>
        <w:t>Macrophage Armament:</w:t>
      </w:r>
      <w:r w:rsidRPr="005E0DB3">
        <w:t xml:space="preserve"> Gene expression analysis of the infiltrating macrophages confirmed they are not bystander cells; they express high levels of scavenger receptors (</w:t>
      </w:r>
      <w:r w:rsidRPr="005E0DB3">
        <w:rPr>
          <w:i/>
          <w:iCs/>
        </w:rPr>
        <w:t>MSR1</w:t>
      </w:r>
      <w:r w:rsidRPr="005E0DB3">
        <w:t xml:space="preserve">, </w:t>
      </w:r>
      <w:r w:rsidRPr="005E0DB3">
        <w:rPr>
          <w:i/>
          <w:iCs/>
        </w:rPr>
        <w:t>MARCO</w:t>
      </w:r>
      <w:r w:rsidRPr="005E0DB3">
        <w:t xml:space="preserve">) and the CD47-binding receptor </w:t>
      </w:r>
      <w:r w:rsidRPr="005E0DB3">
        <w:rPr>
          <w:i/>
          <w:iCs/>
        </w:rPr>
        <w:t>SIRPA</w:t>
      </w:r>
      <w:r w:rsidRPr="005E0DB3">
        <w:t xml:space="preserve"> (</w:t>
      </w:r>
      <w:r w:rsidRPr="005E0DB3">
        <w:rPr>
          <w:i/>
          <w:iCs/>
        </w:rPr>
        <w:t>p</w:t>
      </w:r>
      <w:r w:rsidRPr="005E0DB3">
        <w:t xml:space="preserve"> = 0.04 vs. </w:t>
      </w:r>
      <w:r w:rsidRPr="005E0DB3">
        <w:rPr>
          <w:i/>
          <w:iCs/>
        </w:rPr>
        <w:t>PDIA3</w:t>
      </w:r>
      <w:r w:rsidRPr="005E0DB3">
        <w:t>-deficient). This confirms that macrophages in the "Red" niche are recruited and armed but functionally paralyzed by the CD47 checkpoint.</w:t>
      </w:r>
    </w:p>
    <w:p w14:paraId="0476EC7D" w14:textId="77777777" w:rsidR="005E0DB3" w:rsidRPr="005E0DB3" w:rsidRDefault="005E0DB3" w:rsidP="005E0DB3">
      <w:r w:rsidRPr="005E0DB3">
        <w:t>3.4. Tumor Purity Validates Structural Exclusion</w:t>
      </w:r>
    </w:p>
    <w:p w14:paraId="615B2065" w14:textId="77777777" w:rsidR="005E0DB3" w:rsidRPr="005E0DB3" w:rsidRDefault="005E0DB3" w:rsidP="005E0DB3">
      <w:r w:rsidRPr="005E0DB3">
        <w:lastRenderedPageBreak/>
        <w:t>To confirm that the PDIA3-deficient phenotype represents true immune exclusion rather than sampling bias, we analyzed the Consensus Purity Estimate (CPE). PDIA3-deficient tumors exhibited the highest tumor purity (Median ~0.78), consistent with a niche devoid of infiltrating cells. Conversely, CALR-deficient tumors showed significantly lower purity (Median ~0.55), confirming a high degree of immune and stromal infiltration. The fact that CALR expression remained significantly downregulated ($Z &lt; -0.5$) despite the robust presence of CALR-expressing macrophages implies that CALR silencing in the tumor compartment is profound and likely absolute.</w:t>
      </w:r>
    </w:p>
    <w:p w14:paraId="7FF6AA3D" w14:textId="77777777" w:rsidR="005E0DB3" w:rsidRPr="005E0DB3" w:rsidRDefault="00AF0F82" w:rsidP="005E0DB3">
      <w:r>
        <w:pict w14:anchorId="171E114D">
          <v:rect id="_x0000_i1028" style="width:0;height:1.5pt" o:hralign="center" o:hrstd="t" o:hr="t" fillcolor="#a0a0a0" stroked="f"/>
        </w:pict>
      </w:r>
    </w:p>
    <w:p w14:paraId="34EDE76A" w14:textId="77777777" w:rsidR="005E0DB3" w:rsidRPr="005E0DB3" w:rsidRDefault="005E0DB3" w:rsidP="005E0DB3">
      <w:pPr>
        <w:rPr>
          <w:b/>
          <w:bCs/>
        </w:rPr>
      </w:pPr>
      <w:r w:rsidRPr="005E0DB3">
        <w:rPr>
          <w:b/>
          <w:bCs/>
        </w:rPr>
        <w:t>4. Discussion</w:t>
      </w:r>
    </w:p>
    <w:p w14:paraId="25D38DB9" w14:textId="77777777" w:rsidR="005E0DB3" w:rsidRPr="005E0DB3" w:rsidRDefault="005E0DB3" w:rsidP="005E0DB3">
      <w:r w:rsidRPr="005E0DB3">
        <w:t>4.1. Mechanism of Divergence: Calcium Stress vs. Silent Folding</w:t>
      </w:r>
    </w:p>
    <w:p w14:paraId="3FF0BF3C" w14:textId="77777777" w:rsidR="005E0DB3" w:rsidRPr="005E0DB3" w:rsidRDefault="005E0DB3" w:rsidP="005E0DB3">
      <w:r w:rsidRPr="005E0DB3">
        <w:t>The divergent immune landscapes of CALR-deficient versus PDIA3-deficient tumors likely stem from the distinct homeostatic roles of these chaperones. Calreticulin serves as the primary calcium buffer of the ER; its depletion is known to induce cytosolic calcium efflux, mitochondrial stress, and subsequent activation of the cGAS-STING axis.3 This explains why CALR-deficient tumors scream for help via CXCL10 and CCL2. In contrast, PDIA3 functions primarily as an oxidoreductase. Its loss impairs MHC assembly but typically induces a milder, "resolvable" unfolded protein response (UPR) that lacks the potent inflammatory signaling associated with calcium dysregulation, resulting in the observed "Immune Desert" phenotype.</w:t>
      </w:r>
    </w:p>
    <w:p w14:paraId="11E53026" w14:textId="77777777" w:rsidR="005E0DB3" w:rsidRPr="005E0DB3" w:rsidRDefault="005E0DB3" w:rsidP="005E0DB3">
      <w:r w:rsidRPr="005E0DB3">
        <w:t>4.2. Clinical Implications for Immunotherapy</w:t>
      </w:r>
    </w:p>
    <w:p w14:paraId="2074E2FF" w14:textId="77777777" w:rsidR="005E0DB3" w:rsidRPr="005E0DB3" w:rsidRDefault="005E0DB3" w:rsidP="005E0DB3">
      <w:r w:rsidRPr="005E0DB3">
        <w:t>Our findings suggest a critical stratification strategy for Basal breast cancer:</w:t>
      </w:r>
    </w:p>
    <w:p w14:paraId="3F350529" w14:textId="77777777" w:rsidR="005E0DB3" w:rsidRPr="005E0DB3" w:rsidRDefault="005E0DB3" w:rsidP="005E0DB3">
      <w:pPr>
        <w:numPr>
          <w:ilvl w:val="0"/>
          <w:numId w:val="5"/>
        </w:numPr>
      </w:pPr>
      <w:r w:rsidRPr="005E0DB3">
        <w:rPr>
          <w:b/>
          <w:bCs/>
        </w:rPr>
        <w:t>The "Fortress" (CALR-Deficient):</w:t>
      </w:r>
      <w:r w:rsidRPr="005E0DB3">
        <w:t xml:space="preserve"> These tumors are "Inflamed but Resistant." They will likely fail anti-PD1 therapy due to MHC assembly defects and fail anti-CD47 therapy (Magrolimab) due to the lack of a pro-phagocytic "handle" (CALR). Therapeutic success here requires a "Phagocytic Agonist" to replace the missing CALR signal.</w:t>
      </w:r>
    </w:p>
    <w:p w14:paraId="7013DC65" w14:textId="77777777" w:rsidR="005E0DB3" w:rsidRPr="005E0DB3" w:rsidRDefault="005E0DB3" w:rsidP="005E0DB3">
      <w:pPr>
        <w:numPr>
          <w:ilvl w:val="0"/>
          <w:numId w:val="5"/>
        </w:numPr>
      </w:pPr>
      <w:r w:rsidRPr="005E0DB3">
        <w:rPr>
          <w:b/>
          <w:bCs/>
        </w:rPr>
        <w:t>The "Ghost" (PDIA3-Deficient):</w:t>
      </w:r>
      <w:r w:rsidRPr="005E0DB3">
        <w:t xml:space="preserve"> These tumors are "Cold." Because they lack the chemokine signals to recruit effectors, checkpoint blockade alone will be futile. These patients require "Priming" therapies (e.g., Radiation, Oncolytic Viruses) to induce inflammation before immunotherapy can be effective.</w:t>
      </w:r>
    </w:p>
    <w:p w14:paraId="44FAFB1D" w14:textId="77777777" w:rsidR="005E0DB3" w:rsidRPr="005E0DB3" w:rsidRDefault="005E0DB3" w:rsidP="005E0DB3">
      <w:r w:rsidRPr="005E0DB3">
        <w:t>4.3. Conclusion</w:t>
      </w:r>
    </w:p>
    <w:p w14:paraId="6B805B14" w14:textId="77777777" w:rsidR="005E0DB3" w:rsidRPr="005E0DB3" w:rsidRDefault="005E0DB3" w:rsidP="005E0DB3">
      <w:r w:rsidRPr="005E0DB3">
        <w:t>We conclude that the status of the chaperone network is a hidden determinant of immune evasion in Basal breast cancer. By distinguishing between "Fortress" and "Ghost" phenotypes, clinicians can move beyond the binary "Hot/Cold" classification and select therapies that address the specific molecular bottleneck driving resistance.</w:t>
      </w:r>
    </w:p>
    <w:p w14:paraId="2313F55F" w14:textId="2BFF1F65" w:rsidR="00385116" w:rsidRDefault="00385116">
      <w:r>
        <w:br w:type="page"/>
      </w:r>
    </w:p>
    <w:p w14:paraId="756439D5" w14:textId="210B9FE9" w:rsidR="00385116" w:rsidRDefault="00385116">
      <w:r>
        <w:lastRenderedPageBreak/>
        <w:br w:type="page"/>
      </w:r>
    </w:p>
    <w:p w14:paraId="5602671D" w14:textId="6C8E2906" w:rsidR="00915A50" w:rsidRDefault="00385116">
      <w:r>
        <w:lastRenderedPageBreak/>
        <w:t>Further:</w:t>
      </w:r>
    </w:p>
    <w:p w14:paraId="43779FA5" w14:textId="77777777" w:rsidR="00385116" w:rsidRDefault="00385116"/>
    <w:p w14:paraId="7ED53560" w14:textId="77777777" w:rsidR="00385116" w:rsidRPr="00385116" w:rsidRDefault="00385116" w:rsidP="00385116">
      <w:pPr>
        <w:rPr>
          <w:b/>
          <w:bCs/>
        </w:rPr>
      </w:pPr>
      <w:r w:rsidRPr="00385116">
        <w:rPr>
          <w:b/>
          <w:bCs/>
        </w:rPr>
        <w:t>1. Structural Reality: PDIA3 is the "Keystone," CALR is the "Holder"</w:t>
      </w:r>
    </w:p>
    <w:p w14:paraId="546D8FFF" w14:textId="77777777" w:rsidR="00385116" w:rsidRPr="00385116" w:rsidRDefault="00385116" w:rsidP="00385116">
      <w:r w:rsidRPr="00385116">
        <w:t xml:space="preserve">You asked if PDIA3 is "more crucial" for folding. Structurally, the answer is </w:t>
      </w:r>
      <w:r w:rsidRPr="00385116">
        <w:rPr>
          <w:b/>
          <w:bCs/>
        </w:rPr>
        <w:t>yes</w:t>
      </w:r>
      <w:r w:rsidRPr="00385116">
        <w:t>.</w:t>
      </w:r>
    </w:p>
    <w:p w14:paraId="0A3A07AD" w14:textId="77777777" w:rsidR="00385116" w:rsidRPr="00385116" w:rsidRDefault="00385116" w:rsidP="00385116">
      <w:pPr>
        <w:numPr>
          <w:ilvl w:val="0"/>
          <w:numId w:val="6"/>
        </w:numPr>
      </w:pPr>
      <w:r w:rsidRPr="00385116">
        <w:rPr>
          <w:b/>
          <w:bCs/>
        </w:rPr>
        <w:t>PDIA3 (The Architect):</w:t>
      </w:r>
      <w:r w:rsidRPr="00385116">
        <w:t xml:space="preserve"> PDIA3 (ERp57) forms a </w:t>
      </w:r>
      <w:r w:rsidRPr="00385116">
        <w:rPr>
          <w:b/>
          <w:bCs/>
        </w:rPr>
        <w:t>covalent disulfide bond</w:t>
      </w:r>
      <w:r w:rsidRPr="00385116">
        <w:t xml:space="preserve"> with Tapasin. This chemical bond is the structural anchor of the entire Peptide Loading Complex (PLC). Without PDIA3, Tapasin cannot effectively recruit MHC-I to the transporter (TAP). The assembly line physically falls apart.</w:t>
      </w:r>
    </w:p>
    <w:p w14:paraId="6F4529BF" w14:textId="77777777" w:rsidR="00385116" w:rsidRPr="00385116" w:rsidRDefault="00385116" w:rsidP="00385116">
      <w:pPr>
        <w:numPr>
          <w:ilvl w:val="0"/>
          <w:numId w:val="6"/>
        </w:numPr>
      </w:pPr>
      <w:r w:rsidRPr="00385116">
        <w:rPr>
          <w:b/>
          <w:bCs/>
        </w:rPr>
        <w:t>CALR (The Stabilizer):</w:t>
      </w:r>
      <w:r w:rsidRPr="00385116">
        <w:t xml:space="preserve"> Calreticulin is a </w:t>
      </w:r>
      <w:r w:rsidRPr="00385116">
        <w:rPr>
          <w:b/>
          <w:bCs/>
        </w:rPr>
        <w:t>Lectin</w:t>
      </w:r>
      <w:r w:rsidRPr="00385116">
        <w:t xml:space="preserve"> (sugar binder). It binds to the glycan tree on the MHC-I heavy chain to keep it stable.</w:t>
      </w:r>
    </w:p>
    <w:p w14:paraId="4B5F838A" w14:textId="77777777" w:rsidR="00385116" w:rsidRPr="00385116" w:rsidRDefault="00385116" w:rsidP="00385116">
      <w:pPr>
        <w:numPr>
          <w:ilvl w:val="0"/>
          <w:numId w:val="6"/>
        </w:numPr>
      </w:pPr>
      <w:r w:rsidRPr="00385116">
        <w:rPr>
          <w:b/>
          <w:bCs/>
        </w:rPr>
        <w:t>The Difference:</w:t>
      </w:r>
      <w:r w:rsidRPr="00385116">
        <w:t xml:space="preserve"> You can think of PDIA3 as the </w:t>
      </w:r>
      <w:r w:rsidRPr="00385116">
        <w:rPr>
          <w:b/>
          <w:bCs/>
        </w:rPr>
        <w:t>glue</w:t>
      </w:r>
      <w:r w:rsidRPr="00385116">
        <w:t xml:space="preserve"> holding the machine together, while CALR is the </w:t>
      </w:r>
      <w:r w:rsidRPr="00385116">
        <w:rPr>
          <w:b/>
          <w:bCs/>
        </w:rPr>
        <w:t>clamp</w:t>
      </w:r>
      <w:r w:rsidRPr="00385116">
        <w:t xml:space="preserve"> holding the product in place. Breaking the glue (PDIA3) is a more catastrophic failure for MHC-I presentation than breaking the clamp (CALR).</w:t>
      </w:r>
    </w:p>
    <w:p w14:paraId="2A46286A" w14:textId="77777777" w:rsidR="00385116" w:rsidRPr="00385116" w:rsidRDefault="00385116" w:rsidP="00385116">
      <w:pPr>
        <w:rPr>
          <w:b/>
          <w:bCs/>
        </w:rPr>
      </w:pPr>
      <w:r w:rsidRPr="00385116">
        <w:rPr>
          <w:b/>
          <w:bCs/>
        </w:rPr>
        <w:t>2. Why HER2 Tumors Prefer PDIA3 (9 vs 4)</w:t>
      </w:r>
    </w:p>
    <w:p w14:paraId="608937D5" w14:textId="77777777" w:rsidR="00385116" w:rsidRPr="00385116" w:rsidRDefault="00385116" w:rsidP="00385116">
      <w:r w:rsidRPr="00385116">
        <w:t>Your "Cruciality" hypothesis perfectly explains the HER2 data when combined with the "Antibody" context.</w:t>
      </w:r>
    </w:p>
    <w:p w14:paraId="0B2FD19B" w14:textId="77777777" w:rsidR="00385116" w:rsidRPr="00385116" w:rsidRDefault="00385116" w:rsidP="00385116">
      <w:pPr>
        <w:numPr>
          <w:ilvl w:val="0"/>
          <w:numId w:val="7"/>
        </w:numPr>
      </w:pPr>
      <w:r w:rsidRPr="00385116">
        <w:rPr>
          <w:b/>
          <w:bCs/>
        </w:rPr>
        <w:t>The Goal:</w:t>
      </w:r>
      <w:r w:rsidRPr="00385116">
        <w:t xml:space="preserve"> Hide from T-cells (Primary) + Hide from Macrophages (Secondary).</w:t>
      </w:r>
    </w:p>
    <w:p w14:paraId="4488D803" w14:textId="77777777" w:rsidR="00385116" w:rsidRPr="00385116" w:rsidRDefault="00385116" w:rsidP="00385116">
      <w:pPr>
        <w:numPr>
          <w:ilvl w:val="0"/>
          <w:numId w:val="7"/>
        </w:numPr>
      </w:pPr>
      <w:r w:rsidRPr="00385116">
        <w:rPr>
          <w:b/>
          <w:bCs/>
        </w:rPr>
        <w:t>The Constraint:</w:t>
      </w:r>
      <w:r w:rsidRPr="00385116">
        <w:t xml:space="preserve"> HER2 tumors are targeted by antibodies (ADCP), so "Macrophage Evasion" via CALR is impossible (antibodies bypass it).</w:t>
      </w:r>
    </w:p>
    <w:p w14:paraId="50D3C77A" w14:textId="77777777" w:rsidR="00385116" w:rsidRPr="00385116" w:rsidRDefault="00385116" w:rsidP="00385116">
      <w:pPr>
        <w:numPr>
          <w:ilvl w:val="0"/>
          <w:numId w:val="7"/>
        </w:numPr>
      </w:pPr>
      <w:r w:rsidRPr="00385116">
        <w:rPr>
          <w:b/>
          <w:bCs/>
        </w:rPr>
        <w:t>The Choice:</w:t>
      </w:r>
    </w:p>
    <w:p w14:paraId="67986BBC" w14:textId="77777777" w:rsidR="00385116" w:rsidRPr="00385116" w:rsidRDefault="00385116" w:rsidP="00385116">
      <w:pPr>
        <w:numPr>
          <w:ilvl w:val="1"/>
          <w:numId w:val="7"/>
        </w:numPr>
      </w:pPr>
      <w:r w:rsidRPr="00385116">
        <w:rPr>
          <w:b/>
          <w:bCs/>
        </w:rPr>
        <w:t>Break CALR:</w:t>
      </w:r>
      <w:r w:rsidRPr="00385116">
        <w:t xml:space="preserve"> You get </w:t>
      </w:r>
      <w:r w:rsidRPr="00385116">
        <w:rPr>
          <w:i/>
          <w:iCs/>
        </w:rPr>
        <w:t>medium</w:t>
      </w:r>
      <w:r w:rsidRPr="00385116">
        <w:t xml:space="preserve"> T-cell evasion, but you trigger a massive "Calcium Leak" (STING pathway) that screams "Danger!". This is bad for a tumor trying to be stealthy.</w:t>
      </w:r>
    </w:p>
    <w:p w14:paraId="5D69F206" w14:textId="77777777" w:rsidR="00385116" w:rsidRPr="00385116" w:rsidRDefault="00385116" w:rsidP="00385116">
      <w:pPr>
        <w:numPr>
          <w:ilvl w:val="1"/>
          <w:numId w:val="7"/>
        </w:numPr>
      </w:pPr>
      <w:r w:rsidRPr="00385116">
        <w:rPr>
          <w:b/>
          <w:bCs/>
        </w:rPr>
        <w:t>Break PDIA3:</w:t>
      </w:r>
      <w:r w:rsidRPr="00385116">
        <w:t xml:space="preserve"> You get </w:t>
      </w:r>
      <w:r w:rsidRPr="00385116">
        <w:rPr>
          <w:i/>
          <w:iCs/>
        </w:rPr>
        <w:t>maximum</w:t>
      </w:r>
      <w:r w:rsidRPr="00385116">
        <w:t xml:space="preserve"> T-cell evasion (breaking the Keystone) AND you avoid the Calcium scream (PDIA3 doesn't bind calcium).</w:t>
      </w:r>
    </w:p>
    <w:p w14:paraId="4476AB25" w14:textId="77777777" w:rsidR="00385116" w:rsidRPr="00385116" w:rsidRDefault="00385116" w:rsidP="00385116">
      <w:pPr>
        <w:numPr>
          <w:ilvl w:val="0"/>
          <w:numId w:val="7"/>
        </w:numPr>
      </w:pPr>
      <w:r w:rsidRPr="00385116">
        <w:rPr>
          <w:b/>
          <w:bCs/>
        </w:rPr>
        <w:t>Result:</w:t>
      </w:r>
      <w:r w:rsidRPr="00385116">
        <w:t xml:space="preserve"> HER2 tumors choose PDIA3 because it is the </w:t>
      </w:r>
      <w:r w:rsidRPr="00385116">
        <w:rPr>
          <w:b/>
          <w:bCs/>
        </w:rPr>
        <w:t>quietest, most effective way to blind T-cells.</w:t>
      </w:r>
    </w:p>
    <w:p w14:paraId="1790718D" w14:textId="77777777" w:rsidR="00385116" w:rsidRPr="00385116" w:rsidRDefault="00385116" w:rsidP="00385116">
      <w:pPr>
        <w:rPr>
          <w:b/>
          <w:bCs/>
        </w:rPr>
      </w:pPr>
      <w:r w:rsidRPr="00385116">
        <w:rPr>
          <w:b/>
          <w:bCs/>
        </w:rPr>
        <w:t>3. Why PDIA3 Also Appears in Basal (The "Gold" Group)</w:t>
      </w:r>
    </w:p>
    <w:p w14:paraId="1B60F02A" w14:textId="77777777" w:rsidR="00385116" w:rsidRPr="00385116" w:rsidRDefault="00385116" w:rsidP="00385116">
      <w:r w:rsidRPr="00385116">
        <w:t xml:space="preserve">You rightly pointed out: </w:t>
      </w:r>
      <w:r w:rsidRPr="00385116">
        <w:rPr>
          <w:i/>
          <w:iCs/>
        </w:rPr>
        <w:t>"Why does it appear in Basal despite lacking the double advantage?"</w:t>
      </w:r>
    </w:p>
    <w:p w14:paraId="70EA28BD" w14:textId="77777777" w:rsidR="00385116" w:rsidRPr="00385116" w:rsidRDefault="00385116" w:rsidP="00385116">
      <w:r w:rsidRPr="00385116">
        <w:t>This effectively splits Basal tumors into two "Survival Strategies":</w:t>
      </w:r>
    </w:p>
    <w:p w14:paraId="6229BE50" w14:textId="77777777" w:rsidR="00385116" w:rsidRPr="00385116" w:rsidRDefault="00385116" w:rsidP="00385116">
      <w:pPr>
        <w:numPr>
          <w:ilvl w:val="0"/>
          <w:numId w:val="8"/>
        </w:numPr>
      </w:pPr>
      <w:r w:rsidRPr="00385116">
        <w:rPr>
          <w:b/>
          <w:bCs/>
        </w:rPr>
        <w:t>Strategy A: The "Fortress" (Red Group - CALR Defect)</w:t>
      </w:r>
    </w:p>
    <w:p w14:paraId="7676F361" w14:textId="77777777" w:rsidR="00385116" w:rsidRPr="00385116" w:rsidRDefault="00385116" w:rsidP="00385116">
      <w:pPr>
        <w:numPr>
          <w:ilvl w:val="1"/>
          <w:numId w:val="8"/>
        </w:numPr>
      </w:pPr>
      <w:r w:rsidRPr="00385116">
        <w:rPr>
          <w:b/>
          <w:bCs/>
        </w:rPr>
        <w:t>Logic:</w:t>
      </w:r>
      <w:r w:rsidRPr="00385116">
        <w:t xml:space="preserve"> "I am going to stay 'Hot' and inflamed, but I will paralyze the attackers."</w:t>
      </w:r>
    </w:p>
    <w:p w14:paraId="4C63B4CB" w14:textId="77777777" w:rsidR="00385116" w:rsidRPr="00385116" w:rsidRDefault="00385116" w:rsidP="00385116">
      <w:pPr>
        <w:numPr>
          <w:ilvl w:val="1"/>
          <w:numId w:val="8"/>
        </w:numPr>
      </w:pPr>
      <w:r w:rsidRPr="00385116">
        <w:rPr>
          <w:b/>
          <w:bCs/>
        </w:rPr>
        <w:t>Mechanism:</w:t>
      </w:r>
      <w:r w:rsidRPr="00385116">
        <w:t xml:space="preserve"> Break CALR. This creates inflammation (Calcium/STING) which recruits T-cells/Macrophages, but the CALR loss + CD47 prevents them from eating.</w:t>
      </w:r>
    </w:p>
    <w:p w14:paraId="281BA098" w14:textId="77777777" w:rsidR="00385116" w:rsidRPr="00385116" w:rsidRDefault="00385116" w:rsidP="00385116">
      <w:pPr>
        <w:numPr>
          <w:ilvl w:val="1"/>
          <w:numId w:val="8"/>
        </w:numPr>
      </w:pPr>
      <w:r w:rsidRPr="00385116">
        <w:rPr>
          <w:b/>
          <w:bCs/>
        </w:rPr>
        <w:t>Trade-off:</w:t>
      </w:r>
      <w:r w:rsidRPr="00385116">
        <w:t xml:space="preserve"> You live in a war zone, but you are bulletproof.</w:t>
      </w:r>
    </w:p>
    <w:p w14:paraId="46ECC0AF" w14:textId="77777777" w:rsidR="00385116" w:rsidRPr="00385116" w:rsidRDefault="00385116" w:rsidP="00385116">
      <w:pPr>
        <w:numPr>
          <w:ilvl w:val="0"/>
          <w:numId w:val="8"/>
        </w:numPr>
      </w:pPr>
      <w:r w:rsidRPr="00385116">
        <w:rPr>
          <w:b/>
          <w:bCs/>
        </w:rPr>
        <w:lastRenderedPageBreak/>
        <w:t>Strategy B: The "Stealth Fighter" (Gold Group - PDIA3 Defect)</w:t>
      </w:r>
    </w:p>
    <w:p w14:paraId="03A8CEC6" w14:textId="77777777" w:rsidR="00385116" w:rsidRPr="00385116" w:rsidRDefault="00385116" w:rsidP="00385116">
      <w:pPr>
        <w:numPr>
          <w:ilvl w:val="1"/>
          <w:numId w:val="8"/>
        </w:numPr>
      </w:pPr>
      <w:r w:rsidRPr="00385116">
        <w:rPr>
          <w:b/>
          <w:bCs/>
        </w:rPr>
        <w:t>Logic:</w:t>
      </w:r>
      <w:r w:rsidRPr="00385116">
        <w:t xml:space="preserve"> "I cannot win a fight, so I must disappear completely."</w:t>
      </w:r>
    </w:p>
    <w:p w14:paraId="7E112332" w14:textId="77777777" w:rsidR="00385116" w:rsidRPr="00385116" w:rsidRDefault="00385116" w:rsidP="00385116">
      <w:pPr>
        <w:numPr>
          <w:ilvl w:val="1"/>
          <w:numId w:val="8"/>
        </w:numPr>
      </w:pPr>
      <w:r w:rsidRPr="00385116">
        <w:rPr>
          <w:b/>
          <w:bCs/>
        </w:rPr>
        <w:t>Mechanism:</w:t>
      </w:r>
      <w:r w:rsidRPr="00385116">
        <w:t xml:space="preserve"> Break PDIA3. This shatters the MHC-I machinery so effectively that the tumor becomes invisible to T-cells ("Desert").</w:t>
      </w:r>
    </w:p>
    <w:p w14:paraId="728027E0" w14:textId="77777777" w:rsidR="00385116" w:rsidRPr="00385116" w:rsidRDefault="00385116" w:rsidP="00385116">
      <w:pPr>
        <w:numPr>
          <w:ilvl w:val="1"/>
          <w:numId w:val="8"/>
        </w:numPr>
      </w:pPr>
      <w:r w:rsidRPr="00385116">
        <w:rPr>
          <w:b/>
          <w:bCs/>
        </w:rPr>
        <w:t>Why choose this?</w:t>
      </w:r>
      <w:r w:rsidRPr="00385116">
        <w:t xml:space="preserve"> If the T-cell pressure is too high, the "Fortress" walls (CALR/CD47) might not be enough. Complete invisibility (PDIA3 loss) is safer, even if you lose the macrophage defense.</w:t>
      </w:r>
    </w:p>
    <w:p w14:paraId="3986C02D" w14:textId="77777777" w:rsidR="00385116" w:rsidRPr="00385116" w:rsidRDefault="00385116" w:rsidP="00385116">
      <w:pPr>
        <w:rPr>
          <w:b/>
          <w:bCs/>
        </w:rPr>
      </w:pPr>
      <w:r w:rsidRPr="00385116">
        <w:rPr>
          <w:b/>
          <w:bCs/>
        </w:rPr>
        <w:t>Revised Discussion Paragraph</w:t>
      </w:r>
    </w:p>
    <w:p w14:paraId="0187454F" w14:textId="77777777" w:rsidR="00385116" w:rsidRPr="00385116" w:rsidRDefault="00385116" w:rsidP="00385116">
      <w:r w:rsidRPr="00385116">
        <w:t>Your insight allows us to refine the mechanism section to be much more precise.</w:t>
      </w:r>
    </w:p>
    <w:p w14:paraId="3D7A9BB3" w14:textId="0B70C675" w:rsidR="00385116" w:rsidRPr="00385116" w:rsidRDefault="00385116" w:rsidP="00385116">
      <w:r w:rsidRPr="00385116">
        <w:rPr>
          <w:b/>
          <w:bCs/>
        </w:rPr>
        <w:t>4.4. Structural Hierarchy and "Stealth vs. Fortress" Selection</w:t>
      </w:r>
      <w:r w:rsidRPr="00385116">
        <w:t xml:space="preserve"> "The prevalence of </w:t>
      </w:r>
      <w:r w:rsidRPr="00385116">
        <w:rPr>
          <w:i/>
          <w:iCs/>
        </w:rPr>
        <w:t>PDIA3</w:t>
      </w:r>
      <w:r w:rsidRPr="00385116">
        <w:t xml:space="preserve"> defects in HER2-enriched tumors (9 vs. </w:t>
      </w:r>
      <w:r>
        <w:t>3</w:t>
      </w:r>
      <w:r w:rsidRPr="00385116">
        <w:t xml:space="preserve">), and its persistence as a distinct phenotype in Basal-like cancer, suggests a structural hierarchy in immune evasion. PDIA3 forms a critical disulfide scaffold with Tapasin, rendering it the 'keystone' of the peptide loading complex; its loss likely results in a more profound abrogation of antigen presentation than the loss of the lectin chaperone </w:t>
      </w:r>
      <w:r w:rsidRPr="00385116">
        <w:rPr>
          <w:i/>
          <w:iCs/>
        </w:rPr>
        <w:t>CALR</w:t>
      </w:r>
      <w:r w:rsidRPr="00385116">
        <w:t>.</w:t>
      </w:r>
    </w:p>
    <w:p w14:paraId="23B3FE1E" w14:textId="77777777" w:rsidR="00385116" w:rsidRPr="00385116" w:rsidRDefault="00385116" w:rsidP="00385116">
      <w:r w:rsidRPr="00385116">
        <w:t xml:space="preserve">Thus, tumors prioritize </w:t>
      </w:r>
      <w:r w:rsidRPr="00385116">
        <w:rPr>
          <w:i/>
          <w:iCs/>
        </w:rPr>
        <w:t>PDIA3</w:t>
      </w:r>
      <w:r w:rsidRPr="00385116">
        <w:t xml:space="preserve"> disruption when the primary evolutionary pressure is T-cell evasion via 'stealth' (The 'Ghost' Phenotype). Conversely, </w:t>
      </w:r>
      <w:r w:rsidRPr="00385116">
        <w:rPr>
          <w:i/>
          <w:iCs/>
        </w:rPr>
        <w:t>CALR</w:t>
      </w:r>
      <w:r w:rsidRPr="00385116">
        <w:t xml:space="preserve"> disruption is selected when the tumor adopts an 'Inflamed-Resistant' strategy (The 'Fortress' Phenotype), leveraging the unique calcium-buffering role of CALR to drive the inflammatory chemokine milieu that sustains the CD47-mediated macrophage trap."</w:t>
      </w:r>
    </w:p>
    <w:p w14:paraId="4B288CE7" w14:textId="77777777" w:rsidR="00385116" w:rsidRPr="00385116" w:rsidRDefault="00385116" w:rsidP="00385116">
      <w:r w:rsidRPr="00385116">
        <w:t>This is the strongest version of the argument yet. It respects the structural biology (Disulfide vs. Lectin) and explains the clinical data (Desert vs. Inflamed)</w:t>
      </w:r>
    </w:p>
    <w:p w14:paraId="76E65D55" w14:textId="146B517E" w:rsidR="00BA63A5" w:rsidRDefault="00BA63A5">
      <w:r>
        <w:br w:type="page"/>
      </w:r>
    </w:p>
    <w:p w14:paraId="7422034C" w14:textId="14DCDD2D" w:rsidR="00385116" w:rsidRDefault="00BA63A5" w:rsidP="00BA63A5">
      <w:pPr>
        <w:bidi/>
        <w:rPr>
          <w:rtl/>
          <w:lang w:val="en-US"/>
        </w:rPr>
      </w:pPr>
      <w:r>
        <w:rPr>
          <w:rFonts w:hint="cs"/>
          <w:rtl/>
        </w:rPr>
        <w:lastRenderedPageBreak/>
        <w:t xml:space="preserve">להוסיף </w:t>
      </w:r>
      <w:r>
        <w:rPr>
          <w:lang w:val="en-US" w:bidi="ar-AE"/>
        </w:rPr>
        <w:t>tsne</w:t>
      </w:r>
      <w:r>
        <w:rPr>
          <w:rFonts w:hint="cs"/>
          <w:rtl/>
          <w:lang w:val="en-US" w:bidi="ar-AE"/>
        </w:rPr>
        <w:t xml:space="preserve"> </w:t>
      </w:r>
      <w:r>
        <w:rPr>
          <w:rFonts w:hint="cs"/>
          <w:rtl/>
          <w:lang w:val="en-US"/>
        </w:rPr>
        <w:t xml:space="preserve">לקלאסטרינג בין הדגימות בין </w:t>
      </w:r>
      <w:r>
        <w:rPr>
          <w:lang w:val="en-US"/>
        </w:rPr>
        <w:t>PAM</w:t>
      </w:r>
      <w:r>
        <w:rPr>
          <w:rFonts w:hint="cs"/>
          <w:rtl/>
          <w:lang w:val="en-US"/>
        </w:rPr>
        <w:t>50</w:t>
      </w:r>
    </w:p>
    <w:p w14:paraId="296DDD0D" w14:textId="492CA155" w:rsidR="00BA63A5" w:rsidRDefault="00BA63A5" w:rsidP="00BA63A5">
      <w:pPr>
        <w:bidi/>
        <w:rPr>
          <w:rtl/>
          <w:lang w:val="en-US"/>
        </w:rPr>
      </w:pPr>
      <w:r>
        <w:rPr>
          <w:rFonts w:hint="cs"/>
          <w:rtl/>
          <w:lang w:val="en-US"/>
        </w:rPr>
        <w:t>לבדוק 17.5</w:t>
      </w:r>
    </w:p>
    <w:p w14:paraId="43DEDFB1" w14:textId="09336FC8" w:rsidR="00BA63A5" w:rsidRDefault="00BA63A5" w:rsidP="00BA63A5">
      <w:pPr>
        <w:bidi/>
        <w:rPr>
          <w:rtl/>
          <w:lang w:val="en-US"/>
        </w:rPr>
      </w:pPr>
      <w:r>
        <w:rPr>
          <w:rFonts w:hint="cs"/>
          <w:rtl/>
          <w:lang w:val="en-US"/>
        </w:rPr>
        <w:t xml:space="preserve">לבדוק ביטוי </w:t>
      </w:r>
      <w:r>
        <w:rPr>
          <w:lang w:val="en-US" w:bidi="ar-AE"/>
        </w:rPr>
        <w:t>x-y</w:t>
      </w:r>
      <w:r>
        <w:rPr>
          <w:rFonts w:hint="cs"/>
          <w:rtl/>
          <w:lang w:val="en-US"/>
        </w:rPr>
        <w:t xml:space="preserve"> של </w:t>
      </w:r>
      <w:r>
        <w:rPr>
          <w:lang w:val="en-US"/>
        </w:rPr>
        <w:t>CALR VS PDIA</w:t>
      </w:r>
      <w:r>
        <w:rPr>
          <w:lang w:val="en-US" w:bidi="ar-AE"/>
        </w:rPr>
        <w:t>3vsCANX</w:t>
      </w:r>
      <w:r>
        <w:rPr>
          <w:rFonts w:hint="cs"/>
          <w:rtl/>
          <w:lang w:val="en-US" w:bidi="ar-AE"/>
        </w:rPr>
        <w:t xml:space="preserve"> </w:t>
      </w:r>
      <w:r>
        <w:rPr>
          <w:rFonts w:hint="cs"/>
          <w:rtl/>
          <w:lang w:val="en-US"/>
        </w:rPr>
        <w:t>ב-15 הדגימות.</w:t>
      </w:r>
    </w:p>
    <w:p w14:paraId="519516DA" w14:textId="6F068C98" w:rsidR="00BA63A5" w:rsidRPr="00BA63A5" w:rsidRDefault="00BA63A5" w:rsidP="00BA63A5">
      <w:pPr>
        <w:bidi/>
        <w:rPr>
          <w:rFonts w:hint="cs"/>
          <w:rtl/>
          <w:lang w:val="en-US"/>
        </w:rPr>
      </w:pPr>
      <w:r>
        <w:rPr>
          <w:rFonts w:hint="cs"/>
          <w:rtl/>
          <w:lang w:val="en-US"/>
        </w:rPr>
        <w:t xml:space="preserve">לבדוק יחס של </w:t>
      </w:r>
      <w:r>
        <w:rPr>
          <w:lang w:val="en-US"/>
        </w:rPr>
        <w:t>M</w:t>
      </w:r>
      <w:r>
        <w:rPr>
          <w:rFonts w:hint="cs"/>
          <w:rtl/>
          <w:lang w:val="en-US"/>
        </w:rPr>
        <w:t>1/</w:t>
      </w:r>
      <w:r>
        <w:rPr>
          <w:lang w:val="en-US"/>
        </w:rPr>
        <w:t>M</w:t>
      </w:r>
      <w:r>
        <w:rPr>
          <w:rFonts w:hint="cs"/>
          <w:rtl/>
          <w:lang w:val="en-US"/>
        </w:rPr>
        <w:t>2</w:t>
      </w:r>
    </w:p>
    <w:sectPr w:rsidR="00BA63A5" w:rsidRPr="00BA63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078"/>
    <w:multiLevelType w:val="multilevel"/>
    <w:tmpl w:val="45F89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F0534"/>
    <w:multiLevelType w:val="multilevel"/>
    <w:tmpl w:val="8BD6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00067"/>
    <w:multiLevelType w:val="multilevel"/>
    <w:tmpl w:val="38C2C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9D1E1A"/>
    <w:multiLevelType w:val="multilevel"/>
    <w:tmpl w:val="EFD2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24803"/>
    <w:multiLevelType w:val="multilevel"/>
    <w:tmpl w:val="C280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D859A3"/>
    <w:multiLevelType w:val="multilevel"/>
    <w:tmpl w:val="1DE09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1D674A"/>
    <w:multiLevelType w:val="multilevel"/>
    <w:tmpl w:val="879AC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886E53"/>
    <w:multiLevelType w:val="multilevel"/>
    <w:tmpl w:val="7D9A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730422">
    <w:abstractNumId w:val="2"/>
  </w:num>
  <w:num w:numId="2" w16cid:durableId="1749693890">
    <w:abstractNumId w:val="4"/>
  </w:num>
  <w:num w:numId="3" w16cid:durableId="1701666875">
    <w:abstractNumId w:val="3"/>
  </w:num>
  <w:num w:numId="4" w16cid:durableId="1903522224">
    <w:abstractNumId w:val="1"/>
  </w:num>
  <w:num w:numId="5" w16cid:durableId="2133935428">
    <w:abstractNumId w:val="5"/>
  </w:num>
  <w:num w:numId="6" w16cid:durableId="1081638022">
    <w:abstractNumId w:val="7"/>
  </w:num>
  <w:num w:numId="7" w16cid:durableId="644358442">
    <w:abstractNumId w:val="6"/>
  </w:num>
  <w:num w:numId="8" w16cid:durableId="874122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5DF"/>
    <w:rsid w:val="00305A82"/>
    <w:rsid w:val="00385116"/>
    <w:rsid w:val="005E0DB3"/>
    <w:rsid w:val="00915A50"/>
    <w:rsid w:val="009170F0"/>
    <w:rsid w:val="00AD76C0"/>
    <w:rsid w:val="00AF0F82"/>
    <w:rsid w:val="00B805DF"/>
    <w:rsid w:val="00BA63A5"/>
    <w:rsid w:val="00C873E1"/>
    <w:rsid w:val="00D71EA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AA997"/>
  <w15:chartTrackingRefBased/>
  <w15:docId w15:val="{088ADE47-9448-45EB-8D9F-BEBE0CD28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5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5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5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5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5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5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5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5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5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5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5DF"/>
    <w:rPr>
      <w:rFonts w:eastAsiaTheme="majorEastAsia" w:cstheme="majorBidi"/>
      <w:color w:val="272727" w:themeColor="text1" w:themeTint="D8"/>
    </w:rPr>
  </w:style>
  <w:style w:type="paragraph" w:styleId="Title">
    <w:name w:val="Title"/>
    <w:basedOn w:val="Normal"/>
    <w:next w:val="Normal"/>
    <w:link w:val="TitleChar"/>
    <w:uiPriority w:val="10"/>
    <w:qFormat/>
    <w:rsid w:val="00B80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5DF"/>
    <w:pPr>
      <w:spacing w:before="160"/>
      <w:jc w:val="center"/>
    </w:pPr>
    <w:rPr>
      <w:i/>
      <w:iCs/>
      <w:color w:val="404040" w:themeColor="text1" w:themeTint="BF"/>
    </w:rPr>
  </w:style>
  <w:style w:type="character" w:customStyle="1" w:styleId="QuoteChar">
    <w:name w:val="Quote Char"/>
    <w:basedOn w:val="DefaultParagraphFont"/>
    <w:link w:val="Quote"/>
    <w:uiPriority w:val="29"/>
    <w:rsid w:val="00B805DF"/>
    <w:rPr>
      <w:i/>
      <w:iCs/>
      <w:color w:val="404040" w:themeColor="text1" w:themeTint="BF"/>
    </w:rPr>
  </w:style>
  <w:style w:type="paragraph" w:styleId="ListParagraph">
    <w:name w:val="List Paragraph"/>
    <w:basedOn w:val="Normal"/>
    <w:uiPriority w:val="34"/>
    <w:qFormat/>
    <w:rsid w:val="00B805DF"/>
    <w:pPr>
      <w:ind w:left="720"/>
      <w:contextualSpacing/>
    </w:pPr>
  </w:style>
  <w:style w:type="character" w:styleId="IntenseEmphasis">
    <w:name w:val="Intense Emphasis"/>
    <w:basedOn w:val="DefaultParagraphFont"/>
    <w:uiPriority w:val="21"/>
    <w:qFormat/>
    <w:rsid w:val="00B805DF"/>
    <w:rPr>
      <w:i/>
      <w:iCs/>
      <w:color w:val="0F4761" w:themeColor="accent1" w:themeShade="BF"/>
    </w:rPr>
  </w:style>
  <w:style w:type="paragraph" w:styleId="IntenseQuote">
    <w:name w:val="Intense Quote"/>
    <w:basedOn w:val="Normal"/>
    <w:next w:val="Normal"/>
    <w:link w:val="IntenseQuoteChar"/>
    <w:uiPriority w:val="30"/>
    <w:qFormat/>
    <w:rsid w:val="00B80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5DF"/>
    <w:rPr>
      <w:i/>
      <w:iCs/>
      <w:color w:val="0F4761" w:themeColor="accent1" w:themeShade="BF"/>
    </w:rPr>
  </w:style>
  <w:style w:type="character" w:styleId="IntenseReference">
    <w:name w:val="Intense Reference"/>
    <w:basedOn w:val="DefaultParagraphFont"/>
    <w:uiPriority w:val="32"/>
    <w:qFormat/>
    <w:rsid w:val="00B805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2220</Words>
  <Characters>12659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Stav Zok</dc:creator>
  <cp:keywords/>
  <dc:description/>
  <cp:lastModifiedBy>Stav Zok</cp:lastModifiedBy>
  <cp:revision>1</cp:revision>
  <dcterms:created xsi:type="dcterms:W3CDTF">2026-01-10T18:53:00Z</dcterms:created>
  <dcterms:modified xsi:type="dcterms:W3CDTF">2026-02-03T15:07:00Z</dcterms:modified>
</cp:coreProperties>
</file>