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F55FF" w14:textId="70FD2B3B" w:rsidR="00591B96" w:rsidRPr="00591B96" w:rsidRDefault="00591B96" w:rsidP="00591B96">
      <w:pPr>
        <w:jc w:val="center"/>
        <w:rPr>
          <w:b/>
          <w:bCs/>
          <w:sz w:val="32"/>
          <w:szCs w:val="32"/>
          <w:u w:val="single"/>
        </w:rPr>
      </w:pPr>
      <w:r w:rsidRPr="00591B96">
        <w:rPr>
          <w:b/>
          <w:bCs/>
          <w:sz w:val="32"/>
          <w:szCs w:val="32"/>
          <w:u w:val="single"/>
        </w:rPr>
        <w:t>D</w:t>
      </w:r>
      <w:r w:rsidRPr="00591B96">
        <w:rPr>
          <w:rFonts w:hint="eastAsia"/>
          <w:b/>
          <w:bCs/>
          <w:sz w:val="32"/>
          <w:szCs w:val="32"/>
          <w:u w:val="single"/>
        </w:rPr>
        <w:t xml:space="preserve">r. </w:t>
      </w:r>
      <w:r w:rsidRPr="00591B96">
        <w:rPr>
          <w:b/>
          <w:bCs/>
          <w:sz w:val="32"/>
          <w:szCs w:val="32"/>
          <w:u w:val="single"/>
        </w:rPr>
        <w:t>Rex Wang’</w:t>
      </w:r>
      <w:r w:rsidRPr="00591B96">
        <w:rPr>
          <w:rFonts w:hint="eastAsia"/>
          <w:b/>
          <w:bCs/>
          <w:sz w:val="32"/>
          <w:szCs w:val="32"/>
          <w:u w:val="single"/>
        </w:rPr>
        <w:t>s Topics</w:t>
      </w:r>
    </w:p>
    <w:p w14:paraId="460DF98C" w14:textId="20BBA2C0" w:rsidR="00D72C22" w:rsidRPr="00D72C22" w:rsidRDefault="00D72C22" w:rsidP="00D72C22">
      <w:pPr>
        <w:rPr>
          <w:b/>
          <w:bCs/>
          <w:sz w:val="22"/>
          <w:szCs w:val="22"/>
        </w:rPr>
      </w:pPr>
      <w:r w:rsidRPr="00D72C22">
        <w:rPr>
          <w:b/>
          <w:bCs/>
          <w:sz w:val="22"/>
          <w:szCs w:val="22"/>
        </w:rPr>
        <w:t>Research Proposal</w:t>
      </w:r>
      <w:r>
        <w:rPr>
          <w:b/>
          <w:bCs/>
          <w:sz w:val="22"/>
          <w:szCs w:val="22"/>
        </w:rPr>
        <w:t xml:space="preserve"> 1</w:t>
      </w:r>
      <w:r w:rsidRPr="00D72C22">
        <w:rPr>
          <w:b/>
          <w:bCs/>
          <w:sz w:val="22"/>
          <w:szCs w:val="22"/>
        </w:rPr>
        <w:t>: Hedging Geopolitical Risk in Financial Markets</w:t>
      </w:r>
    </w:p>
    <w:p w14:paraId="212B46A1" w14:textId="77777777" w:rsidR="00D72C22" w:rsidRPr="00D72C22" w:rsidRDefault="00D72C22" w:rsidP="00D72C22">
      <w:pPr>
        <w:rPr>
          <w:b/>
          <w:bCs/>
          <w:sz w:val="22"/>
          <w:szCs w:val="22"/>
        </w:rPr>
      </w:pPr>
      <w:r w:rsidRPr="00D72C22">
        <w:rPr>
          <w:b/>
          <w:bCs/>
          <w:sz w:val="22"/>
          <w:szCs w:val="22"/>
        </w:rPr>
        <w:t>1. Motivation</w:t>
      </w:r>
    </w:p>
    <w:p w14:paraId="14414F01" w14:textId="6F26123C" w:rsidR="00D72C22" w:rsidRPr="00D72C22" w:rsidRDefault="00D72C22" w:rsidP="00D72C22">
      <w:pPr>
        <w:rPr>
          <w:sz w:val="22"/>
          <w:szCs w:val="22"/>
        </w:rPr>
      </w:pPr>
      <w:r w:rsidRPr="00D72C22">
        <w:rPr>
          <w:sz w:val="22"/>
          <w:szCs w:val="22"/>
        </w:rPr>
        <w:t>Geopolitical instability</w:t>
      </w:r>
      <w:r w:rsidR="00EC0702">
        <w:rPr>
          <w:sz w:val="22"/>
          <w:szCs w:val="22"/>
        </w:rPr>
        <w:t xml:space="preserve">, </w:t>
      </w:r>
      <w:r w:rsidRPr="00D72C22">
        <w:rPr>
          <w:sz w:val="22"/>
          <w:szCs w:val="22"/>
        </w:rPr>
        <w:t>driven by war, sanctions, cyberattacks, diplomatic breakdowns, and shifts in global alliances</w:t>
      </w:r>
      <w:r w:rsidR="00EC0702">
        <w:rPr>
          <w:sz w:val="22"/>
          <w:szCs w:val="22"/>
        </w:rPr>
        <w:t xml:space="preserve">, </w:t>
      </w:r>
      <w:r w:rsidRPr="00D72C22">
        <w:rPr>
          <w:sz w:val="22"/>
          <w:szCs w:val="22"/>
        </w:rPr>
        <w:t>has become a defining feature of modern macro-financial conditions. Recent market disruptions following the Russia–Ukraine war, U.S.–China technology controls, and Middle East conflicts illustrate that geopolitical events can generate large, rapid, and persistent changes in asset prices, commodity markets, global trade routes, and inflation expectations.</w:t>
      </w:r>
    </w:p>
    <w:p w14:paraId="334EF724" w14:textId="241E6071" w:rsidR="00EC0702" w:rsidRPr="00AD5D7A" w:rsidRDefault="00D72C22" w:rsidP="00EC0702">
      <w:pPr>
        <w:rPr>
          <w:sz w:val="22"/>
          <w:szCs w:val="22"/>
        </w:rPr>
      </w:pPr>
      <w:r w:rsidRPr="00D72C22">
        <w:rPr>
          <w:sz w:val="22"/>
          <w:szCs w:val="22"/>
        </w:rPr>
        <w:t xml:space="preserve">While investors and policymakers increasingly identify geopolitical risk as a major financial threat, financial markets currently lack a systematic, quantitative, and tradable hedging strategy for geopolitical news shocks. </w:t>
      </w:r>
      <w:r w:rsidR="00EC0702" w:rsidRPr="00AD5D7A">
        <w:rPr>
          <w:sz w:val="22"/>
          <w:szCs w:val="22"/>
        </w:rPr>
        <w:t xml:space="preserve">This research project aims to address </w:t>
      </w:r>
      <w:r w:rsidR="00EC0702">
        <w:rPr>
          <w:sz w:val="22"/>
          <w:szCs w:val="22"/>
        </w:rPr>
        <w:t xml:space="preserve">it by studying </w:t>
      </w:r>
      <w:r w:rsidR="00EC0702" w:rsidRPr="00AD5D7A">
        <w:rPr>
          <w:sz w:val="22"/>
          <w:szCs w:val="22"/>
        </w:rPr>
        <w:t>the following research question:</w:t>
      </w:r>
    </w:p>
    <w:p w14:paraId="584D661F" w14:textId="2025D9E6" w:rsidR="00EC0702" w:rsidRPr="00EC0702" w:rsidRDefault="00EC0702" w:rsidP="00D72C22">
      <w:pPr>
        <w:rPr>
          <w:i/>
          <w:iCs/>
          <w:sz w:val="22"/>
          <w:szCs w:val="22"/>
        </w:rPr>
      </w:pPr>
      <w:r w:rsidRPr="00D72C22">
        <w:rPr>
          <w:i/>
          <w:iCs/>
          <w:sz w:val="22"/>
          <w:szCs w:val="22"/>
        </w:rPr>
        <w:t xml:space="preserve">Can </w:t>
      </w:r>
      <w:r>
        <w:rPr>
          <w:i/>
          <w:iCs/>
          <w:sz w:val="22"/>
          <w:szCs w:val="22"/>
        </w:rPr>
        <w:t xml:space="preserve">we construct </w:t>
      </w:r>
      <w:r w:rsidRPr="00D72C22">
        <w:rPr>
          <w:i/>
          <w:iCs/>
          <w:sz w:val="22"/>
          <w:szCs w:val="22"/>
        </w:rPr>
        <w:t>equity portfolios that hedge innovations in geopolitical risk news, and do such portfolios generate persistent pricing effects consistent with a geopolitical risk factor?</w:t>
      </w:r>
    </w:p>
    <w:p w14:paraId="20B5347B" w14:textId="0AFEBD6E" w:rsidR="00EC0702" w:rsidRPr="00D72C22" w:rsidRDefault="00EC0702" w:rsidP="00EC0702">
      <w:pPr>
        <w:rPr>
          <w:sz w:val="22"/>
          <w:szCs w:val="22"/>
        </w:rPr>
      </w:pPr>
      <w:r>
        <w:rPr>
          <w:sz w:val="22"/>
          <w:szCs w:val="22"/>
        </w:rPr>
        <w:t xml:space="preserve">One can </w:t>
      </w:r>
      <w:r w:rsidRPr="00D72C22">
        <w:rPr>
          <w:sz w:val="22"/>
          <w:szCs w:val="22"/>
        </w:rPr>
        <w:t>further ask:</w:t>
      </w:r>
    </w:p>
    <w:p w14:paraId="62AB2301" w14:textId="77777777" w:rsidR="00EC0702" w:rsidRPr="00D72C22" w:rsidRDefault="00EC0702" w:rsidP="00EC0702">
      <w:pPr>
        <w:numPr>
          <w:ilvl w:val="0"/>
          <w:numId w:val="8"/>
        </w:numPr>
        <w:rPr>
          <w:sz w:val="22"/>
          <w:szCs w:val="22"/>
        </w:rPr>
      </w:pPr>
      <w:r w:rsidRPr="00D72C22">
        <w:rPr>
          <w:sz w:val="22"/>
          <w:szCs w:val="22"/>
        </w:rPr>
        <w:t>Do geopolitical hedge portfolios outperform naïve hedges (e.g., oil futures, defense ETFs)?</w:t>
      </w:r>
    </w:p>
    <w:p w14:paraId="2B4F1B57" w14:textId="77777777" w:rsidR="00EC0702" w:rsidRPr="00EC0702" w:rsidRDefault="00EC0702" w:rsidP="00EC0702">
      <w:pPr>
        <w:numPr>
          <w:ilvl w:val="0"/>
          <w:numId w:val="8"/>
        </w:numPr>
        <w:rPr>
          <w:sz w:val="22"/>
          <w:szCs w:val="22"/>
        </w:rPr>
      </w:pPr>
      <w:r w:rsidRPr="00D72C22">
        <w:rPr>
          <w:sz w:val="22"/>
          <w:szCs w:val="22"/>
        </w:rPr>
        <w:t>Is geopolitical risk priced in the cross-section of returns?</w:t>
      </w:r>
    </w:p>
    <w:p w14:paraId="1D8F6227" w14:textId="142D5CD5" w:rsidR="00EC0702" w:rsidRPr="00EC0702" w:rsidRDefault="00EC0702" w:rsidP="00EC0702">
      <w:pPr>
        <w:numPr>
          <w:ilvl w:val="0"/>
          <w:numId w:val="8"/>
        </w:numPr>
        <w:rPr>
          <w:sz w:val="22"/>
          <w:szCs w:val="22"/>
        </w:rPr>
      </w:pPr>
      <w:r w:rsidRPr="00D72C22">
        <w:rPr>
          <w:sz w:val="22"/>
          <w:szCs w:val="22"/>
        </w:rPr>
        <w:t>Does sensitivity to geopolitical news vary systematically across industries or firm characteristics?</w:t>
      </w:r>
    </w:p>
    <w:p w14:paraId="15281A6C" w14:textId="77777777" w:rsidR="00EC0702" w:rsidRDefault="00EC0702" w:rsidP="00D72C22">
      <w:pPr>
        <w:rPr>
          <w:sz w:val="22"/>
          <w:szCs w:val="22"/>
        </w:rPr>
      </w:pPr>
    </w:p>
    <w:p w14:paraId="6E5ECF85" w14:textId="32EF342A" w:rsidR="00EC0702" w:rsidRPr="00D72C22" w:rsidRDefault="00EC0702" w:rsidP="00EC0702">
      <w:pPr>
        <w:rPr>
          <w:b/>
          <w:bCs/>
          <w:sz w:val="22"/>
          <w:szCs w:val="22"/>
        </w:rPr>
      </w:pPr>
      <w:r>
        <w:rPr>
          <w:b/>
          <w:bCs/>
          <w:sz w:val="22"/>
          <w:szCs w:val="22"/>
        </w:rPr>
        <w:t>2</w:t>
      </w:r>
      <w:r w:rsidRPr="00D72C22">
        <w:rPr>
          <w:b/>
          <w:bCs/>
          <w:sz w:val="22"/>
          <w:szCs w:val="22"/>
        </w:rPr>
        <w:t>. Methodology: Constructing a Hedge Portfolio</w:t>
      </w:r>
    </w:p>
    <w:p w14:paraId="464C0FE9" w14:textId="5E3A2374" w:rsidR="00EC0702" w:rsidRDefault="00EC0702" w:rsidP="00EC0702">
      <w:pPr>
        <w:rPr>
          <w:sz w:val="22"/>
          <w:szCs w:val="22"/>
        </w:rPr>
      </w:pPr>
      <w:r w:rsidRPr="00D72C22">
        <w:rPr>
          <w:sz w:val="22"/>
          <w:szCs w:val="22"/>
        </w:rPr>
        <w:t>We follow the empirical strategy in Engle, Giglio, Kelly, Lee, and Stroebel (2020)</w:t>
      </w:r>
      <w:r>
        <w:rPr>
          <w:sz w:val="22"/>
          <w:szCs w:val="22"/>
        </w:rPr>
        <w:t>, who</w:t>
      </w:r>
      <w:r w:rsidRPr="00D72C22">
        <w:rPr>
          <w:sz w:val="22"/>
          <w:szCs w:val="22"/>
        </w:rPr>
        <w:t xml:space="preserve"> show that innovations in climate news can be hedged using dynamically constructed equity portfolios.</w:t>
      </w:r>
      <w:r>
        <w:rPr>
          <w:sz w:val="22"/>
          <w:szCs w:val="22"/>
        </w:rPr>
        <w:t xml:space="preserve"> Their core </w:t>
      </w:r>
      <w:r w:rsidRPr="00D72C22">
        <w:rPr>
          <w:sz w:val="22"/>
          <w:szCs w:val="22"/>
        </w:rPr>
        <w:t xml:space="preserve">insight is that narrative-based risks can be translated into tradable risk factors using econometric estimation and portfolio-sorting techniques. </w:t>
      </w:r>
      <w:r>
        <w:rPr>
          <w:sz w:val="22"/>
          <w:szCs w:val="22"/>
        </w:rPr>
        <w:t xml:space="preserve">In other words, one can </w:t>
      </w:r>
      <w:r w:rsidRPr="00D72C22">
        <w:rPr>
          <w:sz w:val="22"/>
          <w:szCs w:val="22"/>
        </w:rPr>
        <w:t xml:space="preserve">build mimicking portfolios using cross-sectional return exposures to news shocks. </w:t>
      </w:r>
    </w:p>
    <w:p w14:paraId="7B18230D" w14:textId="77777777" w:rsidR="00EC0702" w:rsidRPr="00D72C22" w:rsidRDefault="00EC0702" w:rsidP="00EC0702">
      <w:pPr>
        <w:rPr>
          <w:sz w:val="22"/>
          <w:szCs w:val="22"/>
        </w:rPr>
      </w:pPr>
    </w:p>
    <w:p w14:paraId="1CF1DAFF" w14:textId="0665E2AA" w:rsidR="00EC0702" w:rsidRPr="00D72C22" w:rsidRDefault="00EC0702" w:rsidP="00EC0702">
      <w:pPr>
        <w:rPr>
          <w:sz w:val="22"/>
          <w:szCs w:val="22"/>
          <w:u w:val="single"/>
        </w:rPr>
      </w:pPr>
      <w:r w:rsidRPr="00D72C22">
        <w:rPr>
          <w:sz w:val="22"/>
          <w:szCs w:val="22"/>
          <w:u w:val="single"/>
        </w:rPr>
        <w:t>Step 1</w:t>
      </w:r>
      <w:r w:rsidRPr="00EC0702">
        <w:rPr>
          <w:sz w:val="22"/>
          <w:szCs w:val="22"/>
          <w:u w:val="single"/>
        </w:rPr>
        <w:t xml:space="preserve">: </w:t>
      </w:r>
      <w:r w:rsidRPr="00D72C22">
        <w:rPr>
          <w:sz w:val="22"/>
          <w:szCs w:val="22"/>
          <w:u w:val="single"/>
        </w:rPr>
        <w:t>Estimate Firm-Level Sensitivity to Geopolitical Shocks</w:t>
      </w:r>
    </w:p>
    <w:p w14:paraId="056B2BB4" w14:textId="77777777" w:rsidR="00EC0702" w:rsidRPr="00D72C22" w:rsidRDefault="00EC0702" w:rsidP="00EC0702">
      <w:pPr>
        <w:rPr>
          <w:sz w:val="22"/>
          <w:szCs w:val="22"/>
        </w:rPr>
      </w:pPr>
      <w:r w:rsidRPr="00D72C22">
        <w:rPr>
          <w:sz w:val="22"/>
          <w:szCs w:val="22"/>
        </w:rPr>
        <w:t>Using monthly returns:</w:t>
      </w:r>
    </w:p>
    <w:p w14:paraId="7B783B4E" w14:textId="1D2B4587" w:rsidR="00EC0702" w:rsidRPr="00D72C22" w:rsidRDefault="00000000" w:rsidP="00EC0702">
      <w:pPr>
        <w:rPr>
          <w:sz w:val="22"/>
          <w:szCs w:val="22"/>
        </w:rPr>
      </w:pPr>
      <m:oMathPara>
        <m:oMath>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i,t</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α</m:t>
              </m:r>
            </m:e>
            <m:sub>
              <m:r>
                <w:rPr>
                  <w:rFonts w:ascii="Cambria Math" w:hAnsi="Cambria Math"/>
                  <w:sz w:val="22"/>
                  <w:szCs w:val="22"/>
                </w:rPr>
                <m:t>i</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β</m:t>
              </m:r>
            </m:e>
            <m:sub>
              <m:r>
                <w:rPr>
                  <w:rFonts w:ascii="Cambria Math" w:hAnsi="Cambria Math"/>
                  <w:sz w:val="22"/>
                  <w:szCs w:val="22"/>
                </w:rPr>
                <m:t>G,i</m:t>
              </m:r>
            </m:sub>
          </m:sSub>
          <m:r>
            <w:rPr>
              <w:rFonts w:ascii="Cambria Math" w:hAnsi="Cambria Math"/>
              <w:sz w:val="22"/>
              <w:szCs w:val="22"/>
            </w:rPr>
            <m:t>GPR</m:t>
          </m:r>
          <m:r>
            <m:rPr>
              <m:sty m:val="p"/>
            </m:rPr>
            <w:rPr>
              <w:rFonts w:ascii="Cambria Math" w:hAnsi="Cambria Math"/>
              <w:sz w:val="22"/>
              <w:szCs w:val="22"/>
            </w:rPr>
            <m:t>_</m:t>
          </m:r>
          <m:r>
            <w:rPr>
              <w:rFonts w:ascii="Cambria Math" w:hAnsi="Cambria Math"/>
              <w:sz w:val="22"/>
              <w:szCs w:val="22"/>
            </w:rPr>
            <m:t>Shoc</m:t>
          </m:r>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t</m:t>
              </m:r>
            </m:sub>
          </m:sSub>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γ</m:t>
              </m:r>
            </m:e>
            <m:sup>
              <m:r>
                <m:rPr>
                  <m:sty m:val="p"/>
                </m:rPr>
                <w:rPr>
                  <w:rFonts w:ascii="Cambria Math" w:hAnsi="Cambria Math"/>
                  <w:sz w:val="22"/>
                  <w:szCs w:val="22"/>
                </w:rPr>
                <m:t>'</m:t>
              </m:r>
            </m:sup>
          </m:sSup>
          <m:sSub>
            <m:sSubPr>
              <m:ctrlPr>
                <w:rPr>
                  <w:rFonts w:ascii="Cambria Math" w:hAnsi="Cambria Math"/>
                  <w:sz w:val="22"/>
                  <w:szCs w:val="22"/>
                </w:rPr>
              </m:ctrlPr>
            </m:sSubPr>
            <m:e>
              <m:r>
                <w:rPr>
                  <w:rFonts w:ascii="Cambria Math" w:hAnsi="Cambria Math"/>
                  <w:sz w:val="22"/>
                  <w:szCs w:val="22"/>
                </w:rPr>
                <m:t>F</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sz w:val="22"/>
                  <w:szCs w:val="22"/>
                </w:rPr>
              </m:ctrlPr>
            </m:sSubPr>
            <m:e>
              <m:r>
                <w:rPr>
                  <w:rFonts w:ascii="Cambria Math" w:hAnsi="Cambria Math"/>
                  <w:sz w:val="22"/>
                  <w:szCs w:val="22"/>
                </w:rPr>
                <m:t>ϵ</m:t>
              </m:r>
            </m:e>
            <m:sub>
              <m:r>
                <w:rPr>
                  <w:rFonts w:ascii="Cambria Math" w:hAnsi="Cambria Math"/>
                  <w:sz w:val="22"/>
                  <w:szCs w:val="22"/>
                </w:rPr>
                <m:t>i,t</m:t>
              </m:r>
            </m:sub>
          </m:sSub>
          <m:r>
            <m:rPr>
              <m:sty m:val="p"/>
            </m:rPr>
            <w:rPr>
              <w:sz w:val="22"/>
              <w:szCs w:val="22"/>
            </w:rPr>
            <w:br/>
          </m:r>
        </m:oMath>
      </m:oMathPara>
    </w:p>
    <w:p w14:paraId="4E8811E7" w14:textId="085127A3" w:rsidR="00EC0702" w:rsidRPr="00D72C22" w:rsidRDefault="00EC0702" w:rsidP="00EC0702">
      <w:pPr>
        <w:rPr>
          <w:sz w:val="22"/>
          <w:szCs w:val="22"/>
        </w:rPr>
      </w:pPr>
      <w:r w:rsidRPr="00D72C22">
        <w:rPr>
          <w:sz w:val="22"/>
          <w:szCs w:val="22"/>
        </w:rPr>
        <w:t xml:space="preserve">where </w:t>
      </w:r>
      <m:oMath>
        <m:sSub>
          <m:sSubPr>
            <m:ctrlPr>
              <w:rPr>
                <w:rFonts w:ascii="Cambria Math" w:hAnsi="Cambria Math"/>
                <w:sz w:val="22"/>
                <w:szCs w:val="22"/>
              </w:rPr>
            </m:ctrlPr>
          </m:sSubPr>
          <m:e>
            <m:r>
              <w:rPr>
                <w:rFonts w:ascii="Cambria Math" w:hAnsi="Cambria Math"/>
                <w:sz w:val="22"/>
                <w:szCs w:val="22"/>
              </w:rPr>
              <m:t>F</m:t>
            </m:r>
          </m:e>
          <m:sub>
            <m:r>
              <w:rPr>
                <w:rFonts w:ascii="Cambria Math" w:hAnsi="Cambria Math"/>
                <w:sz w:val="22"/>
                <w:szCs w:val="22"/>
              </w:rPr>
              <m:t>t</m:t>
            </m:r>
          </m:sub>
        </m:sSub>
      </m:oMath>
      <w:r w:rsidR="005B6554">
        <w:rPr>
          <w:sz w:val="22"/>
          <w:szCs w:val="22"/>
        </w:rPr>
        <w:t xml:space="preserve"> </w:t>
      </w:r>
      <w:r w:rsidRPr="00D72C22">
        <w:rPr>
          <w:sz w:val="22"/>
          <w:szCs w:val="22"/>
        </w:rPr>
        <w:t>includes standard asset-pricing factors (market, size, value, momentum).</w:t>
      </w:r>
      <w:r w:rsidRPr="00D72C22">
        <w:rPr>
          <w:sz w:val="22"/>
          <w:szCs w:val="22"/>
        </w:rPr>
        <w:br/>
      </w:r>
    </w:p>
    <w:p w14:paraId="51E7C9FF" w14:textId="7B929667" w:rsidR="00EC0702" w:rsidRPr="00D72C22" w:rsidRDefault="00EC0702" w:rsidP="00EC0702">
      <w:pPr>
        <w:rPr>
          <w:sz w:val="22"/>
          <w:szCs w:val="22"/>
          <w:u w:val="single"/>
        </w:rPr>
      </w:pPr>
      <w:r w:rsidRPr="00D72C22">
        <w:rPr>
          <w:sz w:val="22"/>
          <w:szCs w:val="22"/>
          <w:u w:val="single"/>
        </w:rPr>
        <w:lastRenderedPageBreak/>
        <w:t>Step 2</w:t>
      </w:r>
      <w:r>
        <w:rPr>
          <w:sz w:val="22"/>
          <w:szCs w:val="22"/>
          <w:u w:val="single"/>
        </w:rPr>
        <w:t xml:space="preserve">: </w:t>
      </w:r>
      <w:r w:rsidRPr="00D72C22">
        <w:rPr>
          <w:sz w:val="22"/>
          <w:szCs w:val="22"/>
          <w:u w:val="single"/>
        </w:rPr>
        <w:t>Sort Firms into Test Portfolios</w:t>
      </w:r>
    </w:p>
    <w:p w14:paraId="1315E398" w14:textId="2C0636E7" w:rsidR="00EC0702" w:rsidRPr="00D72C22" w:rsidRDefault="00EC0702" w:rsidP="00B10D6F">
      <w:pPr>
        <w:rPr>
          <w:sz w:val="22"/>
          <w:szCs w:val="22"/>
        </w:rPr>
      </w:pPr>
      <w:r>
        <w:rPr>
          <w:sz w:val="22"/>
          <w:szCs w:val="22"/>
        </w:rPr>
        <w:t xml:space="preserve">Sort </w:t>
      </w:r>
      <w:r w:rsidRPr="00D72C22">
        <w:rPr>
          <w:sz w:val="22"/>
          <w:szCs w:val="22"/>
        </w:rPr>
        <w:t xml:space="preserve">firms into deciles based on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β</m:t>
                </m:r>
              </m:e>
            </m:acc>
          </m:e>
          <m:sub>
            <m:r>
              <w:rPr>
                <w:rFonts w:ascii="Cambria Math" w:hAnsi="Cambria Math"/>
                <w:sz w:val="22"/>
                <w:szCs w:val="22"/>
              </w:rPr>
              <m:t>G,i</m:t>
            </m:r>
          </m:sub>
        </m:sSub>
      </m:oMath>
      <w:r w:rsidRPr="00D72C22">
        <w:rPr>
          <w:sz w:val="22"/>
          <w:szCs w:val="22"/>
        </w:rPr>
        <w:t>.</w:t>
      </w:r>
      <w:r>
        <w:rPr>
          <w:sz w:val="22"/>
          <w:szCs w:val="22"/>
        </w:rPr>
        <w:t xml:space="preserve"> One can</w:t>
      </w:r>
      <w:r w:rsidRPr="00D72C22">
        <w:rPr>
          <w:sz w:val="22"/>
          <w:szCs w:val="22"/>
        </w:rPr>
        <w:t xml:space="preserve"> test</w:t>
      </w:r>
      <w:r w:rsidR="00B10D6F">
        <w:rPr>
          <w:sz w:val="22"/>
          <w:szCs w:val="22"/>
        </w:rPr>
        <w:t>: (1) v</w:t>
      </w:r>
      <w:r w:rsidRPr="00D72C22">
        <w:rPr>
          <w:sz w:val="22"/>
          <w:szCs w:val="22"/>
        </w:rPr>
        <w:t>alue-weighted vs. equal-weighted portfolios</w:t>
      </w:r>
      <w:r w:rsidR="00B10D6F">
        <w:rPr>
          <w:sz w:val="22"/>
          <w:szCs w:val="22"/>
        </w:rPr>
        <w:t xml:space="preserve">; (2) </w:t>
      </w:r>
      <w:r w:rsidRPr="00D72C22">
        <w:rPr>
          <w:sz w:val="22"/>
          <w:szCs w:val="22"/>
        </w:rPr>
        <w:t>Industry-neutral vs. raw ranking</w:t>
      </w:r>
      <w:r w:rsidR="00B10D6F">
        <w:rPr>
          <w:sz w:val="22"/>
          <w:szCs w:val="22"/>
        </w:rPr>
        <w:t xml:space="preserve">; (3) </w:t>
      </w:r>
      <w:r w:rsidRPr="00D72C22">
        <w:rPr>
          <w:sz w:val="22"/>
          <w:szCs w:val="22"/>
        </w:rPr>
        <w:t>U.S. only vs. international universes</w:t>
      </w:r>
    </w:p>
    <w:p w14:paraId="7BDB7E3F" w14:textId="77777777" w:rsidR="00EC0702" w:rsidRDefault="00EC0702" w:rsidP="00EC0702">
      <w:pPr>
        <w:rPr>
          <w:b/>
          <w:bCs/>
          <w:sz w:val="22"/>
          <w:szCs w:val="22"/>
        </w:rPr>
      </w:pPr>
    </w:p>
    <w:p w14:paraId="49C909BF" w14:textId="2601A891" w:rsidR="00EC0702" w:rsidRPr="00D72C22" w:rsidRDefault="00EC0702" w:rsidP="00EC0702">
      <w:pPr>
        <w:rPr>
          <w:sz w:val="22"/>
          <w:szCs w:val="22"/>
          <w:u w:val="single"/>
        </w:rPr>
      </w:pPr>
      <w:r w:rsidRPr="00D72C22">
        <w:rPr>
          <w:sz w:val="22"/>
          <w:szCs w:val="22"/>
          <w:u w:val="single"/>
        </w:rPr>
        <w:t>Step 3</w:t>
      </w:r>
      <w:r>
        <w:rPr>
          <w:sz w:val="22"/>
          <w:szCs w:val="22"/>
          <w:u w:val="single"/>
        </w:rPr>
        <w:t xml:space="preserve">: </w:t>
      </w:r>
      <w:r w:rsidRPr="00D72C22">
        <w:rPr>
          <w:sz w:val="22"/>
          <w:szCs w:val="22"/>
          <w:u w:val="single"/>
        </w:rPr>
        <w:t>Construct a Factor-Mimicking Hedge Portfolio</w:t>
      </w:r>
    </w:p>
    <w:p w14:paraId="4087C1D3" w14:textId="1908E850" w:rsidR="00EC0702" w:rsidRPr="00D72C22" w:rsidRDefault="00EC0702" w:rsidP="00EC0702">
      <w:pPr>
        <w:rPr>
          <w:sz w:val="22"/>
          <w:szCs w:val="22"/>
        </w:rPr>
      </w:pPr>
      <w:r>
        <w:rPr>
          <w:sz w:val="22"/>
          <w:szCs w:val="22"/>
        </w:rPr>
        <w:t xml:space="preserve">One can </w:t>
      </w:r>
      <w:r w:rsidRPr="00D72C22">
        <w:rPr>
          <w:sz w:val="22"/>
          <w:szCs w:val="22"/>
        </w:rPr>
        <w:t xml:space="preserve">estimate weights </w:t>
      </w:r>
      <m:oMath>
        <m:r>
          <w:rPr>
            <w:rFonts w:ascii="Cambria Math" w:hAnsi="Cambria Math"/>
            <w:sz w:val="22"/>
            <w:szCs w:val="22"/>
          </w:rPr>
          <m:t>w</m:t>
        </m:r>
      </m:oMath>
      <w:r w:rsidR="00B10D6F">
        <w:rPr>
          <w:sz w:val="22"/>
          <w:szCs w:val="22"/>
        </w:rPr>
        <w:t xml:space="preserve"> </w:t>
      </w:r>
      <w:r w:rsidRPr="00D72C22">
        <w:rPr>
          <w:sz w:val="22"/>
          <w:szCs w:val="22"/>
        </w:rPr>
        <w:t>such that:</w:t>
      </w:r>
    </w:p>
    <w:p w14:paraId="33238289" w14:textId="77777777" w:rsidR="00EC0702" w:rsidRPr="00D72C22" w:rsidRDefault="00EC0702" w:rsidP="00EC0702">
      <w:pPr>
        <w:rPr>
          <w:sz w:val="22"/>
          <w:szCs w:val="22"/>
        </w:rPr>
      </w:pPr>
      <m:oMathPara>
        <m:oMath>
          <m:r>
            <w:rPr>
              <w:rFonts w:ascii="Cambria Math" w:hAnsi="Cambria Math"/>
              <w:sz w:val="22"/>
              <w:szCs w:val="22"/>
            </w:rPr>
            <m:t>GeoFacto</m:t>
          </m:r>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t</m:t>
              </m:r>
            </m:sub>
          </m:sSub>
          <m:r>
            <w:rPr>
              <w:rFonts w:ascii="Cambria Math" w:hAnsi="Cambria Math"/>
              <w:sz w:val="22"/>
              <w:szCs w:val="22"/>
            </w:rPr>
            <m:t>=</m:t>
          </m:r>
          <m:sSup>
            <m:sSupPr>
              <m:ctrlPr>
                <w:rPr>
                  <w:rFonts w:ascii="Cambria Math" w:hAnsi="Cambria Math"/>
                  <w:sz w:val="22"/>
                  <w:szCs w:val="22"/>
                </w:rPr>
              </m:ctrlPr>
            </m:sSupPr>
            <m:e>
              <m:r>
                <w:rPr>
                  <w:rFonts w:ascii="Cambria Math" w:hAnsi="Cambria Math"/>
                  <w:sz w:val="22"/>
                  <w:szCs w:val="22"/>
                </w:rPr>
                <m:t>w</m:t>
              </m:r>
            </m:e>
            <m:sup>
              <m:r>
                <m:rPr>
                  <m:sty m:val="p"/>
                </m:rPr>
                <w:rPr>
                  <w:rFonts w:ascii="Cambria Math" w:hAnsi="Cambria Math"/>
                  <w:sz w:val="22"/>
                  <w:szCs w:val="22"/>
                </w:rPr>
                <m:t>'</m:t>
              </m:r>
            </m:sup>
          </m:sSup>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t</m:t>
              </m:r>
            </m:sub>
          </m:sSub>
          <m:r>
            <m:rPr>
              <m:sty m:val="p"/>
            </m:rPr>
            <w:rPr>
              <w:sz w:val="22"/>
              <w:szCs w:val="22"/>
            </w:rPr>
            <w:br/>
          </m:r>
        </m:oMath>
      </m:oMathPara>
    </w:p>
    <w:p w14:paraId="7F1853C2" w14:textId="465FCC8B" w:rsidR="00EC0702" w:rsidRPr="00D72C22" w:rsidRDefault="00EC0702" w:rsidP="00EC0702">
      <w:pPr>
        <w:rPr>
          <w:sz w:val="22"/>
          <w:szCs w:val="22"/>
        </w:rPr>
      </w:pPr>
      <w:r w:rsidRPr="00D72C22">
        <w:rPr>
          <w:sz w:val="22"/>
          <w:szCs w:val="22"/>
        </w:rPr>
        <w:t xml:space="preserve">where </w:t>
      </w:r>
      <m:oMath>
        <m:r>
          <w:rPr>
            <w:rFonts w:ascii="Cambria Math" w:hAnsi="Cambria Math"/>
            <w:sz w:val="22"/>
            <w:szCs w:val="22"/>
          </w:rPr>
          <m:t>w</m:t>
        </m:r>
      </m:oMath>
      <w:r w:rsidRPr="00D72C22">
        <w:rPr>
          <w:sz w:val="22"/>
          <w:szCs w:val="22"/>
        </w:rPr>
        <w:t xml:space="preserve">is chosen to maximize covariance with </w:t>
      </w:r>
      <m:oMath>
        <m:r>
          <w:rPr>
            <w:rFonts w:ascii="Cambria Math" w:hAnsi="Cambria Math"/>
            <w:sz w:val="22"/>
            <w:szCs w:val="22"/>
          </w:rPr>
          <m:t>GPR</m:t>
        </m:r>
        <m:r>
          <m:rPr>
            <m:sty m:val="p"/>
          </m:rPr>
          <w:rPr>
            <w:rFonts w:ascii="Cambria Math" w:hAnsi="Cambria Math"/>
            <w:sz w:val="22"/>
            <w:szCs w:val="22"/>
          </w:rPr>
          <m:t>_</m:t>
        </m:r>
        <m:r>
          <w:rPr>
            <w:rFonts w:ascii="Cambria Math" w:hAnsi="Cambria Math"/>
            <w:sz w:val="22"/>
            <w:szCs w:val="22"/>
          </w:rPr>
          <m:t>Shoc</m:t>
        </m:r>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t</m:t>
            </m:r>
          </m:sub>
        </m:sSub>
      </m:oMath>
      <w:r w:rsidRPr="00D72C22">
        <w:rPr>
          <w:sz w:val="22"/>
          <w:szCs w:val="22"/>
        </w:rPr>
        <w:t xml:space="preserve">while minimizing exposure to standard factors (via regression residualization or orthogonalization). This yields a </w:t>
      </w:r>
      <w:r w:rsidRPr="00D72C22">
        <w:rPr>
          <w:i/>
          <w:iCs/>
          <w:sz w:val="22"/>
          <w:szCs w:val="22"/>
        </w:rPr>
        <w:t>tradable</w:t>
      </w:r>
      <w:r w:rsidRPr="00D72C22">
        <w:rPr>
          <w:sz w:val="22"/>
          <w:szCs w:val="22"/>
        </w:rPr>
        <w:t xml:space="preserve"> empirical representation of geopolitical risk.</w:t>
      </w:r>
    </w:p>
    <w:p w14:paraId="1D9EA6BD" w14:textId="14D8A8C8" w:rsidR="00D72C22" w:rsidRPr="00D72C22" w:rsidRDefault="00D72C22" w:rsidP="00D72C22">
      <w:pPr>
        <w:rPr>
          <w:sz w:val="22"/>
          <w:szCs w:val="22"/>
        </w:rPr>
      </w:pPr>
    </w:p>
    <w:p w14:paraId="6A6F5ACD" w14:textId="77777777" w:rsidR="00D72C22" w:rsidRPr="00D72C22" w:rsidRDefault="00D72C22" w:rsidP="00D72C22">
      <w:pPr>
        <w:rPr>
          <w:b/>
          <w:bCs/>
          <w:sz w:val="22"/>
          <w:szCs w:val="22"/>
        </w:rPr>
      </w:pPr>
      <w:r w:rsidRPr="00D72C22">
        <w:rPr>
          <w:b/>
          <w:bCs/>
          <w:sz w:val="22"/>
          <w:szCs w:val="22"/>
        </w:rPr>
        <w:t>3. Measuring Geopolitical News</w:t>
      </w:r>
    </w:p>
    <w:p w14:paraId="06761A55" w14:textId="5B7C55E0" w:rsidR="00D72C22" w:rsidRPr="00D72C22" w:rsidRDefault="00EC0702" w:rsidP="00D72C22">
      <w:pPr>
        <w:rPr>
          <w:sz w:val="22"/>
          <w:szCs w:val="22"/>
        </w:rPr>
      </w:pPr>
      <w:r>
        <w:rPr>
          <w:sz w:val="22"/>
          <w:szCs w:val="22"/>
        </w:rPr>
        <w:t>W</w:t>
      </w:r>
      <w:r w:rsidR="00D72C22" w:rsidRPr="00D72C22">
        <w:rPr>
          <w:sz w:val="22"/>
          <w:szCs w:val="22"/>
        </w:rPr>
        <w:t xml:space="preserve">e </w:t>
      </w:r>
      <w:r>
        <w:rPr>
          <w:sz w:val="22"/>
          <w:szCs w:val="22"/>
        </w:rPr>
        <w:t xml:space="preserve">need </w:t>
      </w:r>
      <w:r w:rsidR="00D72C22" w:rsidRPr="00D72C22">
        <w:rPr>
          <w:sz w:val="22"/>
          <w:szCs w:val="22"/>
        </w:rPr>
        <w:t xml:space="preserve">a time series capturing public geopolitical attention and sentiment. </w:t>
      </w:r>
      <w:r>
        <w:rPr>
          <w:sz w:val="22"/>
          <w:szCs w:val="22"/>
        </w:rPr>
        <w:t xml:space="preserve">One can </w:t>
      </w:r>
      <w:r w:rsidR="00D72C22" w:rsidRPr="00D72C22">
        <w:rPr>
          <w:sz w:val="22"/>
          <w:szCs w:val="22"/>
        </w:rPr>
        <w:t xml:space="preserve">use the </w:t>
      </w:r>
      <w:r w:rsidR="00D72C22" w:rsidRPr="00D72C22">
        <w:rPr>
          <w:b/>
          <w:bCs/>
          <w:sz w:val="22"/>
          <w:szCs w:val="22"/>
        </w:rPr>
        <w:t>Geopolitical Risk Index (GPR)</w:t>
      </w:r>
      <w:r w:rsidR="00D72C22" w:rsidRPr="00D72C22">
        <w:rPr>
          <w:sz w:val="22"/>
          <w:szCs w:val="22"/>
        </w:rPr>
        <w:t xml:space="preserve"> by Caldara &amp; Iacoviello (2022), which measures geopolitical tension through newspaper text analysis and is available at:</w:t>
      </w:r>
      <w:r>
        <w:rPr>
          <w:sz w:val="22"/>
          <w:szCs w:val="22"/>
        </w:rPr>
        <w:t xml:space="preserve"> </w:t>
      </w:r>
      <w:hyperlink r:id="rId5" w:history="1">
        <w:r w:rsidRPr="00D72C22">
          <w:rPr>
            <w:rStyle w:val="Hyperlink"/>
            <w:sz w:val="22"/>
            <w:szCs w:val="22"/>
          </w:rPr>
          <w:t>https://www.policyuncertainty.com/gpr.html</w:t>
        </w:r>
      </w:hyperlink>
      <w:r w:rsidR="00D72C22" w:rsidRPr="00D72C22">
        <w:rPr>
          <w:sz w:val="22"/>
          <w:szCs w:val="22"/>
        </w:rPr>
        <w:t>.</w:t>
      </w:r>
    </w:p>
    <w:p w14:paraId="7BDCF41C" w14:textId="77777777" w:rsidR="00D72C22" w:rsidRPr="00D72C22" w:rsidRDefault="00D72C22" w:rsidP="00D72C22">
      <w:pPr>
        <w:rPr>
          <w:sz w:val="22"/>
          <w:szCs w:val="22"/>
        </w:rPr>
      </w:pPr>
      <w:r w:rsidRPr="00D72C22">
        <w:rPr>
          <w:sz w:val="22"/>
          <w:szCs w:val="22"/>
        </w:rPr>
        <w:t xml:space="preserve">To isolate </w:t>
      </w:r>
      <w:r w:rsidRPr="00D72C22">
        <w:rPr>
          <w:i/>
          <w:iCs/>
          <w:sz w:val="22"/>
          <w:szCs w:val="22"/>
        </w:rPr>
        <w:t>unexpected</w:t>
      </w:r>
      <w:r w:rsidRPr="00D72C22">
        <w:rPr>
          <w:sz w:val="22"/>
          <w:szCs w:val="22"/>
        </w:rPr>
        <w:t xml:space="preserve"> updates, we convert the raw index to a shock series using:</w:t>
      </w:r>
    </w:p>
    <w:p w14:paraId="668DD014" w14:textId="0241311E" w:rsidR="00D72C22" w:rsidRPr="00D72C22" w:rsidRDefault="00D72C22" w:rsidP="00D72C22">
      <w:pPr>
        <w:rPr>
          <w:sz w:val="22"/>
          <w:szCs w:val="22"/>
        </w:rPr>
      </w:pPr>
      <m:oMathPara>
        <m:oMath>
          <m:r>
            <w:rPr>
              <w:rFonts w:ascii="Cambria Math" w:hAnsi="Cambria Math"/>
              <w:sz w:val="22"/>
              <w:szCs w:val="22"/>
            </w:rPr>
            <m:t>GPR</m:t>
          </m:r>
          <m:r>
            <m:rPr>
              <m:sty m:val="p"/>
            </m:rPr>
            <w:rPr>
              <w:rFonts w:ascii="Cambria Math" w:hAnsi="Cambria Math"/>
              <w:sz w:val="22"/>
              <w:szCs w:val="22"/>
            </w:rPr>
            <m:t>_</m:t>
          </m:r>
          <m:r>
            <w:rPr>
              <w:rFonts w:ascii="Cambria Math" w:hAnsi="Cambria Math"/>
              <w:sz w:val="22"/>
              <w:szCs w:val="22"/>
            </w:rPr>
            <m:t>Shoc</m:t>
          </m:r>
          <m:sSub>
            <m:sSubPr>
              <m:ctrlPr>
                <w:rPr>
                  <w:rFonts w:ascii="Cambria Math" w:hAnsi="Cambria Math"/>
                  <w:sz w:val="22"/>
                  <w:szCs w:val="22"/>
                </w:rPr>
              </m:ctrlPr>
            </m:sSubPr>
            <m:e>
              <m:r>
                <w:rPr>
                  <w:rFonts w:ascii="Cambria Math" w:hAnsi="Cambria Math"/>
                  <w:sz w:val="22"/>
                  <w:szCs w:val="22"/>
                </w:rPr>
                <m:t>k</m:t>
              </m:r>
            </m:e>
            <m:sub>
              <m:r>
                <w:rPr>
                  <w:rFonts w:ascii="Cambria Math" w:hAnsi="Cambria Math"/>
                  <w:sz w:val="22"/>
                  <w:szCs w:val="22"/>
                </w:rPr>
                <m:t>t</m:t>
              </m:r>
            </m:sub>
          </m:sSub>
          <m:r>
            <w:rPr>
              <w:rFonts w:ascii="Cambria Math" w:hAnsi="Cambria Math"/>
              <w:sz w:val="22"/>
              <w:szCs w:val="22"/>
            </w:rPr>
            <m:t>=GP</m:t>
          </m:r>
          <m:sSub>
            <m:sSubPr>
              <m:ctrlPr>
                <w:rPr>
                  <w:rFonts w:ascii="Cambria Math" w:hAnsi="Cambria Math"/>
                  <w:sz w:val="22"/>
                  <w:szCs w:val="22"/>
                </w:rPr>
              </m:ctrlPr>
            </m:sSubPr>
            <m:e>
              <m:r>
                <w:rPr>
                  <w:rFonts w:ascii="Cambria Math" w:hAnsi="Cambria Math"/>
                  <w:sz w:val="22"/>
                  <w:szCs w:val="22"/>
                </w:rPr>
                <m:t>R</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GPR</m:t>
                  </m:r>
                </m:e>
              </m:acc>
            </m:e>
            <m:sub>
              <m:r>
                <w:rPr>
                  <w:rFonts w:ascii="Cambria Math" w:hAnsi="Cambria Math"/>
                  <w:sz w:val="22"/>
                  <w:szCs w:val="22"/>
                </w:rPr>
                <m:t>t</m:t>
              </m:r>
            </m:sub>
          </m:sSub>
          <m:r>
            <m:rPr>
              <m:sty m:val="p"/>
            </m:rPr>
            <w:rPr>
              <w:sz w:val="22"/>
              <w:szCs w:val="22"/>
            </w:rPr>
            <w:br/>
          </m:r>
        </m:oMath>
      </m:oMathPara>
    </w:p>
    <w:p w14:paraId="69747D7C" w14:textId="4C345027" w:rsidR="00D72C22" w:rsidRPr="00D72C22" w:rsidRDefault="00D72C22" w:rsidP="00D72C22">
      <w:pPr>
        <w:rPr>
          <w:sz w:val="22"/>
          <w:szCs w:val="22"/>
        </w:rPr>
      </w:pPr>
      <w:r w:rsidRPr="00D72C22">
        <w:rPr>
          <w:sz w:val="22"/>
          <w:szCs w:val="22"/>
        </w:rPr>
        <w:t xml:space="preserve">where </w:t>
      </w:r>
      <m:oMath>
        <m:sSub>
          <m:sSubPr>
            <m:ctrlPr>
              <w:rPr>
                <w:rFonts w:ascii="Cambria Math" w:hAnsi="Cambria Math"/>
                <w:sz w:val="22"/>
                <w:szCs w:val="22"/>
              </w:rPr>
            </m:ctrlPr>
          </m:sSubPr>
          <m:e>
            <m:acc>
              <m:accPr>
                <m:ctrlPr>
                  <w:rPr>
                    <w:rFonts w:ascii="Cambria Math" w:hAnsi="Cambria Math"/>
                    <w:sz w:val="22"/>
                    <w:szCs w:val="22"/>
                  </w:rPr>
                </m:ctrlPr>
              </m:accPr>
              <m:e>
                <m:r>
                  <w:rPr>
                    <w:rFonts w:ascii="Cambria Math" w:hAnsi="Cambria Math"/>
                    <w:sz w:val="22"/>
                    <w:szCs w:val="22"/>
                  </w:rPr>
                  <m:t>GPR</m:t>
                </m:r>
              </m:e>
            </m:acc>
          </m:e>
          <m:sub>
            <m:r>
              <w:rPr>
                <w:rFonts w:ascii="Cambria Math" w:hAnsi="Cambria Math"/>
                <w:sz w:val="22"/>
                <w:szCs w:val="22"/>
              </w:rPr>
              <m:t>t</m:t>
            </m:r>
          </m:sub>
        </m:sSub>
      </m:oMath>
      <w:r w:rsidRPr="00D72C22">
        <w:rPr>
          <w:sz w:val="22"/>
          <w:szCs w:val="22"/>
        </w:rPr>
        <w:t xml:space="preserve">is predicted using an </w:t>
      </w:r>
      <w:proofErr w:type="gramStart"/>
      <w:r w:rsidRPr="00D72C22">
        <w:rPr>
          <w:sz w:val="22"/>
          <w:szCs w:val="22"/>
        </w:rPr>
        <w:t>AR(</w:t>
      </w:r>
      <w:proofErr w:type="gramEnd"/>
      <w:r w:rsidRPr="00D72C22">
        <w:rPr>
          <w:sz w:val="22"/>
          <w:szCs w:val="22"/>
        </w:rPr>
        <w:t xml:space="preserve">1) or VAR, consistent with the innovation extraction Engle et al. </w:t>
      </w:r>
      <w:r w:rsidR="00EC0702">
        <w:rPr>
          <w:sz w:val="22"/>
          <w:szCs w:val="22"/>
        </w:rPr>
        <w:t>(2020).</w:t>
      </w:r>
    </w:p>
    <w:p w14:paraId="5C6C3818" w14:textId="77777777" w:rsidR="00EC0702" w:rsidRDefault="00EC0702" w:rsidP="00D72C22">
      <w:pPr>
        <w:rPr>
          <w:sz w:val="22"/>
          <w:szCs w:val="22"/>
        </w:rPr>
      </w:pPr>
    </w:p>
    <w:p w14:paraId="083FD3AE" w14:textId="1F5D615D" w:rsidR="00D72C22" w:rsidRPr="00D72C22" w:rsidRDefault="00EC0702" w:rsidP="00D72C22">
      <w:pPr>
        <w:rPr>
          <w:b/>
          <w:bCs/>
          <w:sz w:val="22"/>
          <w:szCs w:val="22"/>
        </w:rPr>
      </w:pPr>
      <w:r>
        <w:rPr>
          <w:b/>
          <w:bCs/>
          <w:sz w:val="22"/>
          <w:szCs w:val="22"/>
        </w:rPr>
        <w:t>4</w:t>
      </w:r>
      <w:r w:rsidR="00D72C22" w:rsidRPr="00D72C22">
        <w:rPr>
          <w:b/>
          <w:bCs/>
          <w:sz w:val="22"/>
          <w:szCs w:val="22"/>
        </w:rPr>
        <w:t>. Empirical Validation</w:t>
      </w:r>
    </w:p>
    <w:p w14:paraId="13A8806C" w14:textId="77777777" w:rsidR="00D72C22" w:rsidRPr="00D72C22" w:rsidRDefault="00D72C22" w:rsidP="00D72C22">
      <w:pPr>
        <w:rPr>
          <w:sz w:val="22"/>
          <w:szCs w:val="22"/>
        </w:rPr>
      </w:pPr>
      <w:r w:rsidRPr="00D72C22">
        <w:rPr>
          <w:sz w:val="22"/>
          <w:szCs w:val="22"/>
        </w:rPr>
        <w:t>We will evaluate whether the geopolitical hedge portfolio:</w:t>
      </w:r>
    </w:p>
    <w:p w14:paraId="42536A47" w14:textId="77777777" w:rsidR="00D72C22" w:rsidRPr="00D72C22" w:rsidRDefault="00D72C22" w:rsidP="00B10D6F">
      <w:pPr>
        <w:numPr>
          <w:ilvl w:val="0"/>
          <w:numId w:val="10"/>
        </w:numPr>
        <w:spacing w:line="240" w:lineRule="auto"/>
        <w:rPr>
          <w:sz w:val="22"/>
          <w:szCs w:val="22"/>
        </w:rPr>
      </w:pPr>
      <w:r w:rsidRPr="00D72C22">
        <w:rPr>
          <w:sz w:val="22"/>
          <w:szCs w:val="22"/>
        </w:rPr>
        <w:t>Responds strongly during major geopolitical events (event windows)</w:t>
      </w:r>
    </w:p>
    <w:p w14:paraId="152104BB" w14:textId="77777777" w:rsidR="00D72C22" w:rsidRPr="00D72C22" w:rsidRDefault="00D72C22" w:rsidP="00B10D6F">
      <w:pPr>
        <w:numPr>
          <w:ilvl w:val="0"/>
          <w:numId w:val="10"/>
        </w:numPr>
        <w:spacing w:line="240" w:lineRule="auto"/>
        <w:rPr>
          <w:sz w:val="22"/>
          <w:szCs w:val="22"/>
        </w:rPr>
      </w:pPr>
      <w:r w:rsidRPr="00D72C22">
        <w:rPr>
          <w:sz w:val="22"/>
          <w:szCs w:val="22"/>
        </w:rPr>
        <w:t>Remains stable across sample splits (pre/post 2015 tensions; wartime periods)</w:t>
      </w:r>
    </w:p>
    <w:p w14:paraId="2EBF32BB" w14:textId="77777777" w:rsidR="00D72C22" w:rsidRPr="00D72C22" w:rsidRDefault="00D72C22" w:rsidP="00B10D6F">
      <w:pPr>
        <w:numPr>
          <w:ilvl w:val="0"/>
          <w:numId w:val="10"/>
        </w:numPr>
        <w:spacing w:line="240" w:lineRule="auto"/>
        <w:rPr>
          <w:sz w:val="22"/>
          <w:szCs w:val="22"/>
        </w:rPr>
      </w:pPr>
      <w:r w:rsidRPr="00D72C22">
        <w:rPr>
          <w:sz w:val="22"/>
          <w:szCs w:val="22"/>
        </w:rPr>
        <w:t>Produces statistically significant alphas in time-series and cross-sectional tests</w:t>
      </w:r>
    </w:p>
    <w:p w14:paraId="7809FDA2" w14:textId="77777777" w:rsidR="00D72C22" w:rsidRPr="00D72C22" w:rsidRDefault="00D72C22" w:rsidP="00B10D6F">
      <w:pPr>
        <w:numPr>
          <w:ilvl w:val="0"/>
          <w:numId w:val="10"/>
        </w:numPr>
        <w:spacing w:line="240" w:lineRule="auto"/>
        <w:rPr>
          <w:sz w:val="22"/>
          <w:szCs w:val="22"/>
        </w:rPr>
      </w:pPr>
      <w:r w:rsidRPr="00D72C22">
        <w:rPr>
          <w:sz w:val="22"/>
          <w:szCs w:val="22"/>
        </w:rPr>
        <w:t>Provides hedging benefits relative to simplistic proxies (oil, defense ETF, gold)</w:t>
      </w:r>
    </w:p>
    <w:p w14:paraId="5186547D" w14:textId="77777777" w:rsidR="00D72C22" w:rsidRDefault="00D72C22" w:rsidP="006B6DDE">
      <w:pPr>
        <w:rPr>
          <w:sz w:val="22"/>
          <w:szCs w:val="22"/>
        </w:rPr>
      </w:pPr>
    </w:p>
    <w:p w14:paraId="723D23C2" w14:textId="2664DD22" w:rsidR="00B10D6F" w:rsidRPr="00B10D6F" w:rsidRDefault="00B10D6F" w:rsidP="006B6DDE">
      <w:pPr>
        <w:rPr>
          <w:sz w:val="22"/>
          <w:szCs w:val="22"/>
        </w:rPr>
      </w:pPr>
      <w:r>
        <w:rPr>
          <w:sz w:val="22"/>
          <w:szCs w:val="22"/>
        </w:rPr>
        <w:t>Reference</w:t>
      </w:r>
    </w:p>
    <w:p w14:paraId="5F9F08E2" w14:textId="6306C4F5" w:rsidR="005B6554" w:rsidRPr="005B6554" w:rsidRDefault="005B6554">
      <w:pPr>
        <w:rPr>
          <w:b/>
          <w:bCs/>
          <w:sz w:val="22"/>
          <w:szCs w:val="22"/>
        </w:rPr>
      </w:pPr>
      <w:r w:rsidRPr="00AD5D7A">
        <w:rPr>
          <w:sz w:val="22"/>
          <w:szCs w:val="22"/>
        </w:rPr>
        <w:t>Caldara, Dario, and Matteo Iacoviello. 2022. "Measuring Geopolitical Risk." </w:t>
      </w:r>
      <w:r w:rsidRPr="00AD5D7A">
        <w:rPr>
          <w:i/>
          <w:iCs/>
          <w:sz w:val="22"/>
          <w:szCs w:val="22"/>
        </w:rPr>
        <w:t>American Economic Review</w:t>
      </w:r>
      <w:r w:rsidRPr="00AD5D7A">
        <w:rPr>
          <w:sz w:val="22"/>
          <w:szCs w:val="22"/>
        </w:rPr>
        <w:t> 112 (4): 1194–1225</w:t>
      </w:r>
      <w:r w:rsidRPr="00AD5D7A">
        <w:rPr>
          <w:b/>
          <w:bCs/>
          <w:sz w:val="22"/>
          <w:szCs w:val="22"/>
        </w:rPr>
        <w:t>.</w:t>
      </w:r>
    </w:p>
    <w:p w14:paraId="4E6CE3C7" w14:textId="5BA55606" w:rsidR="00D72C22" w:rsidRDefault="005B6554">
      <w:pPr>
        <w:rPr>
          <w:sz w:val="22"/>
          <w:szCs w:val="22"/>
        </w:rPr>
      </w:pPr>
      <w:r w:rsidRPr="005B6554">
        <w:rPr>
          <w:sz w:val="22"/>
          <w:szCs w:val="22"/>
        </w:rPr>
        <w:lastRenderedPageBreak/>
        <w:t xml:space="preserve">Robert F Engle, Stefano Giglio, Bryan Kelly, </w:t>
      </w:r>
      <w:proofErr w:type="spellStart"/>
      <w:r w:rsidRPr="005B6554">
        <w:rPr>
          <w:sz w:val="22"/>
          <w:szCs w:val="22"/>
        </w:rPr>
        <w:t>Heebum</w:t>
      </w:r>
      <w:proofErr w:type="spellEnd"/>
      <w:r w:rsidRPr="005B6554">
        <w:rPr>
          <w:sz w:val="22"/>
          <w:szCs w:val="22"/>
        </w:rPr>
        <w:t xml:space="preserve"> Lee, Johannes Stroebel, </w:t>
      </w:r>
      <w:r>
        <w:rPr>
          <w:sz w:val="22"/>
          <w:szCs w:val="22"/>
        </w:rPr>
        <w:t>“</w:t>
      </w:r>
      <w:r w:rsidRPr="005B6554">
        <w:rPr>
          <w:sz w:val="22"/>
          <w:szCs w:val="22"/>
        </w:rPr>
        <w:t>Hedging Climate Change News</w:t>
      </w:r>
      <w:r>
        <w:rPr>
          <w:sz w:val="22"/>
          <w:szCs w:val="22"/>
        </w:rPr>
        <w:t>.”</w:t>
      </w:r>
      <w:r w:rsidRPr="005B6554">
        <w:rPr>
          <w:sz w:val="22"/>
          <w:szCs w:val="22"/>
        </w:rPr>
        <w:t> </w:t>
      </w:r>
      <w:r w:rsidRPr="005B6554">
        <w:rPr>
          <w:i/>
          <w:iCs/>
          <w:sz w:val="22"/>
          <w:szCs w:val="22"/>
        </w:rPr>
        <w:t>The Review of Financial Studies</w:t>
      </w:r>
      <w:r w:rsidRPr="005B6554">
        <w:rPr>
          <w:sz w:val="22"/>
          <w:szCs w:val="22"/>
        </w:rPr>
        <w:t>, Volume 33, Issue 3, 2020, 1184–1216</w:t>
      </w:r>
      <w:r>
        <w:rPr>
          <w:sz w:val="22"/>
          <w:szCs w:val="22"/>
        </w:rPr>
        <w:t>.</w:t>
      </w:r>
      <w:r w:rsidR="00D72C22">
        <w:rPr>
          <w:sz w:val="22"/>
          <w:szCs w:val="22"/>
        </w:rPr>
        <w:br w:type="page"/>
      </w:r>
    </w:p>
    <w:p w14:paraId="48CF871A" w14:textId="2D41BFEE" w:rsidR="006B6DDE" w:rsidRPr="00D72C22" w:rsidRDefault="006B6DDE" w:rsidP="006B6DDE">
      <w:pPr>
        <w:rPr>
          <w:b/>
          <w:bCs/>
          <w:sz w:val="22"/>
          <w:szCs w:val="22"/>
        </w:rPr>
      </w:pPr>
      <w:r w:rsidRPr="00D72C22">
        <w:rPr>
          <w:b/>
          <w:bCs/>
          <w:sz w:val="22"/>
          <w:szCs w:val="22"/>
        </w:rPr>
        <w:lastRenderedPageBreak/>
        <w:t xml:space="preserve">Research Proposal </w:t>
      </w:r>
      <w:r w:rsidR="00D72C22" w:rsidRPr="00D72C22">
        <w:rPr>
          <w:b/>
          <w:bCs/>
          <w:sz w:val="22"/>
          <w:szCs w:val="22"/>
        </w:rPr>
        <w:t>2</w:t>
      </w:r>
      <w:r w:rsidRPr="00D72C22">
        <w:rPr>
          <w:b/>
          <w:bCs/>
          <w:sz w:val="22"/>
          <w:szCs w:val="22"/>
        </w:rPr>
        <w:t>: Stress Testing Banks’ Exposure to Geopolitical Risk</w:t>
      </w:r>
    </w:p>
    <w:p w14:paraId="1E152612" w14:textId="027BC512" w:rsidR="006B6DDE" w:rsidRPr="00AD5D7A" w:rsidRDefault="006B6DDE" w:rsidP="006B6DDE">
      <w:pPr>
        <w:rPr>
          <w:b/>
          <w:bCs/>
          <w:sz w:val="22"/>
          <w:szCs w:val="22"/>
        </w:rPr>
      </w:pPr>
      <w:r w:rsidRPr="00AD5D7A">
        <w:rPr>
          <w:b/>
          <w:bCs/>
          <w:sz w:val="22"/>
          <w:szCs w:val="22"/>
        </w:rPr>
        <w:t>1. Motivation and Research Question</w:t>
      </w:r>
    </w:p>
    <w:p w14:paraId="4E0DB3A7" w14:textId="61440134" w:rsidR="006B6DDE" w:rsidRPr="00AD5D7A" w:rsidRDefault="006B6DDE" w:rsidP="006B6DDE">
      <w:pPr>
        <w:rPr>
          <w:sz w:val="22"/>
          <w:szCs w:val="22"/>
        </w:rPr>
      </w:pPr>
      <w:r w:rsidRPr="00AD5D7A">
        <w:rPr>
          <w:sz w:val="22"/>
          <w:szCs w:val="22"/>
        </w:rPr>
        <w:t>Geopolitical instability has become an increasingly important source of macro-financial risk. Episodes such as the Russia–Ukraine war, rising U.S.–China rivalry, sanctions regimes, energy supply disruptions, and military conflicts have affected global trade flows, commodity markets, and financial sentiment. For the banking sector, geopolitical shocks may weaken borrower creditworthiness, disrupt cross-border financing, and trigger sharp repricing of assets.</w:t>
      </w:r>
    </w:p>
    <w:p w14:paraId="08986896" w14:textId="42678A54" w:rsidR="006B6DDE" w:rsidRPr="00AD5D7A" w:rsidRDefault="006B6DDE" w:rsidP="006B6DDE">
      <w:pPr>
        <w:rPr>
          <w:sz w:val="22"/>
          <w:szCs w:val="22"/>
        </w:rPr>
      </w:pPr>
      <w:r w:rsidRPr="00AD5D7A">
        <w:rPr>
          <w:sz w:val="22"/>
          <w:szCs w:val="22"/>
        </w:rPr>
        <w:t>Despite this, there is currently no framework to quantify how geopolitical shocks affect bank resilience. Existing stress-testing frameworks largely focus on macroeconomic recessions or credit risk and do not incorporate geopolitical uncertainty as a standalone systemic shock.</w:t>
      </w:r>
    </w:p>
    <w:p w14:paraId="0B38C6DB" w14:textId="4B9265AE" w:rsidR="006B6DDE" w:rsidRPr="00AD5D7A" w:rsidRDefault="006B6DDE" w:rsidP="006B6DDE">
      <w:pPr>
        <w:rPr>
          <w:sz w:val="22"/>
          <w:szCs w:val="22"/>
        </w:rPr>
      </w:pPr>
      <w:r w:rsidRPr="00AD5D7A">
        <w:rPr>
          <w:sz w:val="22"/>
          <w:szCs w:val="22"/>
        </w:rPr>
        <w:t>This research project aims to address the following research question:</w:t>
      </w:r>
    </w:p>
    <w:p w14:paraId="323359A1" w14:textId="4A539249" w:rsidR="006B6DDE" w:rsidRPr="00AD5D7A" w:rsidRDefault="006B6DDE" w:rsidP="006B6DDE">
      <w:pPr>
        <w:rPr>
          <w:i/>
          <w:iCs/>
          <w:sz w:val="22"/>
          <w:szCs w:val="22"/>
        </w:rPr>
      </w:pPr>
      <w:r w:rsidRPr="00AD5D7A">
        <w:rPr>
          <w:i/>
          <w:iCs/>
          <w:sz w:val="22"/>
          <w:szCs w:val="22"/>
        </w:rPr>
        <w:t>Are large global banks sufficiently capitalized to absorb losses under a severe geopolitical stress scenario?</w:t>
      </w:r>
    </w:p>
    <w:p w14:paraId="6B684319" w14:textId="6DFE2676" w:rsidR="006B6DDE" w:rsidRPr="00AD5D7A" w:rsidRDefault="006B6DDE" w:rsidP="006B6DDE">
      <w:pPr>
        <w:rPr>
          <w:sz w:val="22"/>
          <w:szCs w:val="22"/>
        </w:rPr>
      </w:pPr>
      <w:r w:rsidRPr="00AD5D7A">
        <w:rPr>
          <w:sz w:val="22"/>
          <w:szCs w:val="22"/>
        </w:rPr>
        <w:t>To answer this question, the proposal adapts the methodology introduced in Jung, Engle, and Berner (2025), which provides a dynamic, market-based framework for estimating expected capital shortfalls under stress.</w:t>
      </w:r>
    </w:p>
    <w:p w14:paraId="6BD532BF" w14:textId="77777777" w:rsidR="006B6DDE" w:rsidRPr="00AD5D7A" w:rsidRDefault="006B6DDE" w:rsidP="006B6DDE">
      <w:pPr>
        <w:rPr>
          <w:sz w:val="22"/>
          <w:szCs w:val="22"/>
        </w:rPr>
      </w:pPr>
    </w:p>
    <w:p w14:paraId="018161C4" w14:textId="4A167C2C" w:rsidR="006B6DDE" w:rsidRPr="00AD5D7A" w:rsidRDefault="006B6DDE" w:rsidP="006B6DDE">
      <w:pPr>
        <w:rPr>
          <w:b/>
          <w:bCs/>
          <w:sz w:val="22"/>
          <w:szCs w:val="22"/>
        </w:rPr>
      </w:pPr>
      <w:r w:rsidRPr="00AD5D7A">
        <w:rPr>
          <w:b/>
          <w:bCs/>
          <w:sz w:val="22"/>
          <w:szCs w:val="22"/>
        </w:rPr>
        <w:t>2. Methodology</w:t>
      </w:r>
    </w:p>
    <w:p w14:paraId="4B674B36" w14:textId="0EDC646A" w:rsidR="006B6DDE" w:rsidRPr="00AD5D7A" w:rsidRDefault="006B6DDE" w:rsidP="006B6DDE">
      <w:pPr>
        <w:rPr>
          <w:sz w:val="22"/>
          <w:szCs w:val="22"/>
        </w:rPr>
      </w:pPr>
      <w:r w:rsidRPr="00AD5D7A">
        <w:rPr>
          <w:sz w:val="22"/>
          <w:szCs w:val="22"/>
        </w:rPr>
        <w:t>The methodology follows the three-step structure of Jung et al. (2025), replacing climate factors with geopolitical risk measures.</w:t>
      </w:r>
    </w:p>
    <w:p w14:paraId="77973A14" w14:textId="3804E02B" w:rsidR="006B6DDE" w:rsidRPr="00AD5D7A" w:rsidRDefault="006B6DDE" w:rsidP="006B6DDE">
      <w:pPr>
        <w:rPr>
          <w:sz w:val="22"/>
          <w:szCs w:val="22"/>
          <w:u w:val="single"/>
        </w:rPr>
      </w:pPr>
      <w:r w:rsidRPr="00AD5D7A">
        <w:rPr>
          <w:sz w:val="22"/>
          <w:szCs w:val="22"/>
          <w:u w:val="single"/>
        </w:rPr>
        <w:t>Step 1: Building a Geopolitical Stress Factor</w:t>
      </w:r>
    </w:p>
    <w:p w14:paraId="7F2636A5" w14:textId="3D722DC4" w:rsidR="006B6DDE" w:rsidRPr="00AD5D7A" w:rsidRDefault="006B6DDE" w:rsidP="006B6DDE">
      <w:pPr>
        <w:rPr>
          <w:sz w:val="22"/>
          <w:szCs w:val="22"/>
        </w:rPr>
      </w:pPr>
      <w:r w:rsidRPr="00AD5D7A">
        <w:rPr>
          <w:sz w:val="22"/>
          <w:szCs w:val="22"/>
        </w:rPr>
        <w:t xml:space="preserve">The Geopolitical Risk Index (GPR) developed by Caldara and Iacoviello (available at: </w:t>
      </w:r>
      <w:hyperlink r:id="rId6" w:history="1">
        <w:r w:rsidRPr="00AD5D7A">
          <w:rPr>
            <w:rStyle w:val="Hyperlink"/>
            <w:sz w:val="22"/>
            <w:szCs w:val="22"/>
          </w:rPr>
          <w:t>https://www.policyuncertainty.com/gpr.html</w:t>
        </w:r>
      </w:hyperlink>
      <w:r w:rsidRPr="00AD5D7A">
        <w:rPr>
          <w:sz w:val="22"/>
          <w:szCs w:val="22"/>
        </w:rPr>
        <w:t>) will serve as the primary basis for constructing the stress scenario.</w:t>
      </w:r>
    </w:p>
    <w:p w14:paraId="645B8B1E" w14:textId="40885EF4" w:rsidR="006B6DDE" w:rsidRPr="00AD5D7A" w:rsidRDefault="006B6DDE" w:rsidP="006B6DDE">
      <w:pPr>
        <w:rPr>
          <w:sz w:val="22"/>
          <w:szCs w:val="22"/>
        </w:rPr>
      </w:pPr>
      <w:r w:rsidRPr="00AD5D7A">
        <w:rPr>
          <w:sz w:val="22"/>
          <w:szCs w:val="22"/>
        </w:rPr>
        <w:t>Two factor variants could be developed:</w:t>
      </w:r>
    </w:p>
    <w:p w14:paraId="1CF09DB6" w14:textId="7F36EE50" w:rsidR="006B6DDE" w:rsidRPr="00AD5D7A" w:rsidRDefault="006B6DDE" w:rsidP="006B6DDE">
      <w:pPr>
        <w:pStyle w:val="ListParagraph"/>
        <w:numPr>
          <w:ilvl w:val="0"/>
          <w:numId w:val="6"/>
        </w:numPr>
        <w:rPr>
          <w:sz w:val="22"/>
          <w:szCs w:val="22"/>
        </w:rPr>
      </w:pPr>
      <w:r w:rsidRPr="00AD5D7A">
        <w:rPr>
          <w:sz w:val="22"/>
          <w:szCs w:val="22"/>
        </w:rPr>
        <w:t>Direct factor: Mapping monthly changes in the GPR index to weekly or daily returns of industries historically sensitive to geopolitical events (defense, fossil fuels, commodities, and global trade-exposed firms).</w:t>
      </w:r>
    </w:p>
    <w:p w14:paraId="2BEF9F4E" w14:textId="77777777" w:rsidR="006B6DDE" w:rsidRPr="00AD5D7A" w:rsidRDefault="006B6DDE" w:rsidP="006B6DDE">
      <w:pPr>
        <w:pStyle w:val="ListParagraph"/>
        <w:numPr>
          <w:ilvl w:val="0"/>
          <w:numId w:val="6"/>
        </w:numPr>
        <w:rPr>
          <w:sz w:val="22"/>
          <w:szCs w:val="22"/>
        </w:rPr>
      </w:pPr>
      <w:r w:rsidRPr="00AD5D7A">
        <w:rPr>
          <w:sz w:val="22"/>
          <w:szCs w:val="22"/>
        </w:rPr>
        <w:t>Hedged long–short factor: Similar to the stranded asset factor in the CRISK framework, constructed as:</w:t>
      </w:r>
    </w:p>
    <w:p w14:paraId="1B49D1DD" w14:textId="7891035B" w:rsidR="006B6DDE" w:rsidRPr="00AD5D7A" w:rsidRDefault="006B6DDE" w:rsidP="006B6DDE">
      <w:pPr>
        <w:pStyle w:val="ListParagraph"/>
        <w:ind w:left="360"/>
        <w:rPr>
          <w:sz w:val="22"/>
          <w:szCs w:val="22"/>
        </w:rPr>
      </w:pPr>
      <w:r w:rsidRPr="00AD5D7A">
        <w:rPr>
          <w:sz w:val="22"/>
          <w:szCs w:val="22"/>
          <w:u w:val="single"/>
        </w:rPr>
        <w:t>Long</w:t>
      </w:r>
      <w:r w:rsidRPr="00AD5D7A">
        <w:rPr>
          <w:sz w:val="22"/>
          <w:szCs w:val="22"/>
        </w:rPr>
        <w:t xml:space="preserve">: defense + energy sector; </w:t>
      </w:r>
      <w:r w:rsidRPr="00AD5D7A">
        <w:rPr>
          <w:sz w:val="22"/>
          <w:szCs w:val="22"/>
          <w:u w:val="single"/>
        </w:rPr>
        <w:t>Short</w:t>
      </w:r>
      <w:r w:rsidRPr="00AD5D7A">
        <w:rPr>
          <w:sz w:val="22"/>
          <w:szCs w:val="22"/>
        </w:rPr>
        <w:t>: broad equity market index</w:t>
      </w:r>
    </w:p>
    <w:p w14:paraId="7A04D2EA" w14:textId="77777777" w:rsidR="006B6DDE" w:rsidRPr="00AD5D7A" w:rsidRDefault="006B6DDE" w:rsidP="006B6DDE">
      <w:pPr>
        <w:rPr>
          <w:sz w:val="22"/>
          <w:szCs w:val="22"/>
        </w:rPr>
      </w:pPr>
      <w:r w:rsidRPr="00AD5D7A">
        <w:rPr>
          <w:sz w:val="22"/>
          <w:szCs w:val="22"/>
        </w:rPr>
        <w:t>A stress event will be defined as a decline equivalent to the 1% worst tail of six-month historical factor returns, ensuring a severe but plausible shock.</w:t>
      </w:r>
    </w:p>
    <w:p w14:paraId="261C4DBA" w14:textId="77777777" w:rsidR="006B6DDE" w:rsidRPr="00AD5D7A" w:rsidRDefault="006B6DDE" w:rsidP="006B6DDE">
      <w:pPr>
        <w:rPr>
          <w:sz w:val="22"/>
          <w:szCs w:val="22"/>
        </w:rPr>
      </w:pPr>
    </w:p>
    <w:p w14:paraId="433973D3" w14:textId="6E3AB2FE" w:rsidR="006B6DDE" w:rsidRPr="00AD5D7A" w:rsidRDefault="006B6DDE" w:rsidP="006B6DDE">
      <w:pPr>
        <w:rPr>
          <w:sz w:val="22"/>
          <w:szCs w:val="22"/>
          <w:u w:val="single"/>
        </w:rPr>
      </w:pPr>
      <w:r w:rsidRPr="00AD5D7A">
        <w:rPr>
          <w:sz w:val="22"/>
          <w:szCs w:val="22"/>
          <w:u w:val="single"/>
        </w:rPr>
        <w:t>Step 2: Estimating Dynamic Geopolitical Betas</w:t>
      </w:r>
    </w:p>
    <w:p w14:paraId="12226192" w14:textId="026E782D" w:rsidR="006B6DDE" w:rsidRPr="00AD5D7A" w:rsidRDefault="006B6DDE" w:rsidP="006B6DDE">
      <w:pPr>
        <w:rPr>
          <w:sz w:val="22"/>
          <w:szCs w:val="22"/>
        </w:rPr>
      </w:pPr>
      <w:r w:rsidRPr="00AD5D7A">
        <w:rPr>
          <w:sz w:val="22"/>
          <w:szCs w:val="22"/>
        </w:rPr>
        <w:t>For each bank, daily stock returns can be modeled as:</w:t>
      </w:r>
    </w:p>
    <w:p w14:paraId="3EAA2D5B" w14:textId="23D4C42D" w:rsidR="006B6DDE" w:rsidRPr="00AD5D7A" w:rsidRDefault="00000000" w:rsidP="006B6DDE">
      <w:pPr>
        <w:rPr>
          <w:sz w:val="22"/>
          <w:szCs w:val="22"/>
        </w:rPr>
      </w:pPr>
      <m:oMathPara>
        <m:oMath>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i,t</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β</m:t>
              </m:r>
            </m:e>
            <m:sub>
              <m:r>
                <w:rPr>
                  <w:rFonts w:ascii="Cambria Math" w:hAnsi="Cambria Math"/>
                  <w:sz w:val="22"/>
                  <w:szCs w:val="22"/>
                </w:rPr>
                <m:t>m,t</m:t>
              </m:r>
            </m:sub>
          </m:sSub>
          <m:r>
            <w:rPr>
              <w:rFonts w:ascii="Cambria Math" w:hAnsi="Cambria Math"/>
              <w:sz w:val="22"/>
              <w:szCs w:val="22"/>
            </w:rPr>
            <m:t>MK</m:t>
          </m:r>
          <m:sSub>
            <m:sSubPr>
              <m:ctrlPr>
                <w:rPr>
                  <w:rFonts w:ascii="Cambria Math" w:hAnsi="Cambria Math"/>
                  <w:i/>
                  <w:sz w:val="22"/>
                  <w:szCs w:val="22"/>
                </w:rPr>
              </m:ctrlPr>
            </m:sSubPr>
            <m:e>
              <m:r>
                <w:rPr>
                  <w:rFonts w:ascii="Cambria Math" w:hAnsi="Cambria Math"/>
                  <w:sz w:val="22"/>
                  <w:szCs w:val="22"/>
                </w:rPr>
                <m:t>T</m:t>
              </m:r>
            </m:e>
            <m:sub>
              <m:r>
                <w:rPr>
                  <w:rFonts w:ascii="Cambria Math" w:hAnsi="Cambria Math"/>
                  <w:sz w:val="22"/>
                  <w:szCs w:val="22"/>
                </w:rPr>
                <m:t>t</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β</m:t>
              </m:r>
            </m:e>
            <m:sub>
              <m:r>
                <w:rPr>
                  <w:rFonts w:ascii="Cambria Math" w:hAnsi="Cambria Math"/>
                  <w:sz w:val="22"/>
                  <w:szCs w:val="22"/>
                </w:rPr>
                <m:t>G,t</m:t>
              </m:r>
            </m:sub>
          </m:sSub>
          <m:r>
            <w:rPr>
              <w:rFonts w:ascii="Cambria Math" w:hAnsi="Cambria Math"/>
              <w:sz w:val="22"/>
              <w:szCs w:val="22"/>
            </w:rPr>
            <m:t>GPRFacto</m:t>
          </m:r>
          <m:sSub>
            <m:sSubPr>
              <m:ctrlPr>
                <w:rPr>
                  <w:rFonts w:ascii="Cambria Math" w:hAnsi="Cambria Math"/>
                  <w:i/>
                  <w:sz w:val="22"/>
                  <w:szCs w:val="22"/>
                </w:rPr>
              </m:ctrlPr>
            </m:sSubPr>
            <m:e>
              <m:r>
                <w:rPr>
                  <w:rFonts w:ascii="Cambria Math" w:hAnsi="Cambria Math"/>
                  <w:sz w:val="22"/>
                  <w:szCs w:val="22"/>
                </w:rPr>
                <m:t>r</m:t>
              </m:r>
            </m:e>
            <m:sub>
              <m:r>
                <w:rPr>
                  <w:rFonts w:ascii="Cambria Math" w:hAnsi="Cambria Math"/>
                  <w:sz w:val="22"/>
                  <w:szCs w:val="22"/>
                </w:rPr>
                <m:t>t</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ε</m:t>
              </m:r>
            </m:e>
            <m:sub>
              <m:r>
                <w:rPr>
                  <w:rFonts w:ascii="Cambria Math" w:hAnsi="Cambria Math"/>
                  <w:sz w:val="22"/>
                  <w:szCs w:val="22"/>
                </w:rPr>
                <m:t>i,t</m:t>
              </m:r>
            </m:sub>
          </m:sSub>
          <m:r>
            <w:rPr>
              <w:rFonts w:ascii="Cambria Math" w:hAnsi="Cambria Math"/>
              <w:sz w:val="22"/>
              <w:szCs w:val="22"/>
            </w:rPr>
            <m:t>.</m:t>
          </m:r>
        </m:oMath>
      </m:oMathPara>
    </w:p>
    <w:p w14:paraId="219AD00E" w14:textId="10CD2D27" w:rsidR="006B6DDE" w:rsidRPr="00AD5D7A" w:rsidRDefault="006B6DDE" w:rsidP="006B6DDE">
      <w:pPr>
        <w:rPr>
          <w:sz w:val="22"/>
          <w:szCs w:val="22"/>
        </w:rPr>
      </w:pPr>
      <w:r w:rsidRPr="00AD5D7A">
        <w:rPr>
          <w:sz w:val="22"/>
          <w:szCs w:val="22"/>
        </w:rPr>
        <w:t>Time-varying geopolitical exposure,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β</m:t>
                </m:r>
              </m:e>
            </m:acc>
          </m:e>
          <m:sub>
            <m:r>
              <w:rPr>
                <w:rFonts w:ascii="Cambria Math" w:hAnsi="Cambria Math"/>
                <w:sz w:val="22"/>
                <w:szCs w:val="22"/>
              </w:rPr>
              <m:t>G,t</m:t>
            </m:r>
          </m:sub>
        </m:sSub>
      </m:oMath>
      <w:r w:rsidRPr="00AD5D7A">
        <w:rPr>
          <w:sz w:val="22"/>
          <w:szCs w:val="22"/>
        </w:rPr>
        <w:t xml:space="preserve">, will be estimated using the Dynamic Conditional Beta (DCB) model introduced by Engle (2016). This allows exposures to evolve with changing balance sheets, geopolitical developments, and investor expectations—mirroring the dynamic climate beta treatment in Jung et al. (2025). </w:t>
      </w:r>
    </w:p>
    <w:p w14:paraId="08A0A948" w14:textId="77777777" w:rsidR="006B6DDE" w:rsidRPr="00AD5D7A" w:rsidRDefault="006B6DDE" w:rsidP="006B6DDE">
      <w:pPr>
        <w:rPr>
          <w:sz w:val="22"/>
          <w:szCs w:val="22"/>
        </w:rPr>
      </w:pPr>
    </w:p>
    <w:p w14:paraId="67F4803B" w14:textId="18299B6F" w:rsidR="006B6DDE" w:rsidRPr="00AD5D7A" w:rsidRDefault="006B6DDE" w:rsidP="006B6DDE">
      <w:pPr>
        <w:rPr>
          <w:sz w:val="22"/>
          <w:szCs w:val="22"/>
          <w:u w:val="single"/>
        </w:rPr>
      </w:pPr>
      <w:r w:rsidRPr="00AD5D7A">
        <w:rPr>
          <w:sz w:val="22"/>
          <w:szCs w:val="22"/>
          <w:u w:val="single"/>
        </w:rPr>
        <w:t>Step 3: Estimating Expected Capital Shortfall (</w:t>
      </w:r>
      <w:proofErr w:type="spellStart"/>
      <w:r w:rsidRPr="00AD5D7A">
        <w:rPr>
          <w:sz w:val="22"/>
          <w:szCs w:val="22"/>
          <w:u w:val="single"/>
        </w:rPr>
        <w:t>GeoRISK</w:t>
      </w:r>
      <w:proofErr w:type="spellEnd"/>
      <w:r w:rsidRPr="00AD5D7A">
        <w:rPr>
          <w:sz w:val="22"/>
          <w:szCs w:val="22"/>
          <w:u w:val="single"/>
        </w:rPr>
        <w:t>)</w:t>
      </w:r>
    </w:p>
    <w:p w14:paraId="4704AE99" w14:textId="05977FBF" w:rsidR="006B6DDE" w:rsidRPr="00AD5D7A" w:rsidRDefault="006B6DDE" w:rsidP="006B6DDE">
      <w:pPr>
        <w:rPr>
          <w:sz w:val="22"/>
          <w:szCs w:val="22"/>
        </w:rPr>
      </w:pPr>
      <w:r w:rsidRPr="00AD5D7A">
        <w:rPr>
          <w:sz w:val="22"/>
          <w:szCs w:val="22"/>
        </w:rPr>
        <w:t>Following the market-based stress-testing framework, the expected capital shortfall under geopolitical stress is:</w:t>
      </w:r>
    </w:p>
    <w:p w14:paraId="2881D07F" w14:textId="55FC54AD" w:rsidR="006B6DDE" w:rsidRPr="00AD5D7A" w:rsidRDefault="006B6DDE" w:rsidP="006B6DDE">
      <w:pPr>
        <w:rPr>
          <w:sz w:val="22"/>
          <w:szCs w:val="22"/>
        </w:rPr>
      </w:pPr>
      <m:oMathPara>
        <m:oMath>
          <m:r>
            <w:rPr>
              <w:rFonts w:ascii="Cambria Math" w:hAnsi="Cambria Math"/>
              <w:sz w:val="22"/>
              <w:szCs w:val="22"/>
            </w:rPr>
            <m:t>GeoRis</m:t>
          </m:r>
          <m:sSub>
            <m:sSubPr>
              <m:ctrlPr>
                <w:rPr>
                  <w:rFonts w:ascii="Cambria Math" w:hAnsi="Cambria Math"/>
                  <w:i/>
                  <w:sz w:val="22"/>
                  <w:szCs w:val="22"/>
                </w:rPr>
              </m:ctrlPr>
            </m:sSubPr>
            <m:e>
              <m:r>
                <w:rPr>
                  <w:rFonts w:ascii="Cambria Math" w:hAnsi="Cambria Math"/>
                  <w:sz w:val="22"/>
                  <w:szCs w:val="22"/>
                </w:rPr>
                <m:t>k</m:t>
              </m:r>
            </m:e>
            <m:sub>
              <m:r>
                <w:rPr>
                  <w:rFonts w:ascii="Cambria Math" w:hAnsi="Cambria Math"/>
                  <w:sz w:val="22"/>
                  <w:szCs w:val="22"/>
                </w:rPr>
                <m:t>i,t</m:t>
              </m:r>
            </m:sub>
          </m:sSub>
          <m:r>
            <w:rPr>
              <w:rFonts w:ascii="Cambria Math" w:hAnsi="Cambria Math"/>
              <w:sz w:val="22"/>
              <w:szCs w:val="22"/>
            </w:rPr>
            <m:t>=k</m:t>
          </m:r>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i,t</m:t>
              </m:r>
            </m:sub>
          </m:sSub>
          <m:r>
            <w:rPr>
              <w:rFonts w:ascii="Cambria Math" w:hAnsi="Cambria Math"/>
              <w:sz w:val="22"/>
              <w:szCs w:val="22"/>
            </w:rPr>
            <m:t>-</m:t>
          </m:r>
          <m:d>
            <m:dPr>
              <m:ctrlPr>
                <w:rPr>
                  <w:rFonts w:ascii="Cambria Math" w:hAnsi="Cambria Math"/>
                  <w:i/>
                  <w:sz w:val="22"/>
                  <w:szCs w:val="22"/>
                </w:rPr>
              </m:ctrlPr>
            </m:dPr>
            <m:e>
              <m:r>
                <w:rPr>
                  <w:rFonts w:ascii="Cambria Math" w:hAnsi="Cambria Math"/>
                  <w:sz w:val="22"/>
                  <w:szCs w:val="22"/>
                </w:rPr>
                <m:t>1-k</m:t>
              </m:r>
            </m:e>
          </m:d>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i,t</m:t>
              </m:r>
            </m:sub>
          </m:sSub>
          <m:d>
            <m:dPr>
              <m:ctrlPr>
                <w:rPr>
                  <w:rFonts w:ascii="Cambria Math" w:hAnsi="Cambria Math"/>
                  <w:i/>
                  <w:sz w:val="22"/>
                  <w:szCs w:val="22"/>
                </w:rPr>
              </m:ctrlPr>
            </m:dPr>
            <m:e>
              <m:r>
                <w:rPr>
                  <w:rFonts w:ascii="Cambria Math" w:hAnsi="Cambria Math"/>
                  <w:sz w:val="22"/>
                  <w:szCs w:val="22"/>
                </w:rPr>
                <m:t>1-LRME</m:t>
              </m:r>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i,t</m:t>
                  </m:r>
                </m:sub>
              </m:sSub>
            </m:e>
          </m:d>
        </m:oMath>
      </m:oMathPara>
    </w:p>
    <w:p w14:paraId="45360DCA" w14:textId="77777777" w:rsidR="004A134F" w:rsidRPr="00AD5D7A" w:rsidRDefault="004A134F" w:rsidP="004A134F">
      <w:pPr>
        <w:rPr>
          <w:sz w:val="22"/>
          <w:szCs w:val="22"/>
        </w:rPr>
      </w:pPr>
      <w:r w:rsidRPr="00AD5D7A">
        <w:rPr>
          <w:sz w:val="22"/>
          <w:szCs w:val="22"/>
        </w:rPr>
        <w:t xml:space="preserve">where: </w:t>
      </w:r>
      <m:oMath>
        <m:r>
          <w:rPr>
            <w:rFonts w:ascii="Cambria Math" w:hAnsi="Cambria Math"/>
            <w:sz w:val="22"/>
            <w:szCs w:val="22"/>
          </w:rPr>
          <m:t>k</m:t>
        </m:r>
      </m:oMath>
      <w:r w:rsidRPr="00AD5D7A">
        <w:rPr>
          <w:sz w:val="22"/>
          <w:szCs w:val="22"/>
        </w:rPr>
        <w:t xml:space="preserve"> is the prudential capital ratio (baseline: 8%),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i,t</m:t>
            </m:r>
          </m:sub>
        </m:sSub>
      </m:oMath>
      <w:r w:rsidRPr="00AD5D7A">
        <w:rPr>
          <w:sz w:val="22"/>
          <w:szCs w:val="22"/>
        </w:rPr>
        <w:t xml:space="preserve"> is book leverage, </w:t>
      </w:r>
      <m:oMath>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i,t</m:t>
            </m:r>
          </m:sub>
        </m:sSub>
      </m:oMath>
      <w:r w:rsidRPr="00AD5D7A">
        <w:rPr>
          <w:sz w:val="22"/>
          <w:szCs w:val="22"/>
        </w:rPr>
        <w:t xml:space="preserve"> is market capitalization, </w:t>
      </w:r>
      <m:oMath>
        <m:r>
          <w:rPr>
            <w:rFonts w:ascii="Cambria Math" w:hAnsi="Cambria Math"/>
            <w:sz w:val="22"/>
            <w:szCs w:val="22"/>
          </w:rPr>
          <m:t>LRME</m:t>
        </m:r>
        <m:sSub>
          <m:sSubPr>
            <m:ctrlPr>
              <w:rPr>
                <w:rFonts w:ascii="Cambria Math" w:hAnsi="Cambria Math"/>
                <w:i/>
                <w:sz w:val="22"/>
                <w:szCs w:val="22"/>
              </w:rPr>
            </m:ctrlPr>
          </m:sSubPr>
          <m:e>
            <m:r>
              <w:rPr>
                <w:rFonts w:ascii="Cambria Math" w:hAnsi="Cambria Math"/>
                <w:sz w:val="22"/>
                <w:szCs w:val="22"/>
              </w:rPr>
              <m:t>S</m:t>
            </m:r>
          </m:e>
          <m:sub>
            <m:r>
              <w:rPr>
                <w:rFonts w:ascii="Cambria Math" w:hAnsi="Cambria Math"/>
                <w:sz w:val="22"/>
                <w:szCs w:val="22"/>
              </w:rPr>
              <m:t>i,t</m:t>
            </m:r>
          </m:sub>
        </m:sSub>
      </m:oMath>
      <w:r w:rsidRPr="00AD5D7A">
        <w:rPr>
          <w:sz w:val="22"/>
          <w:szCs w:val="22"/>
        </w:rPr>
        <w:t xml:space="preserve"> is expected equity loss conditional on geopolitical stress, computed using </w:t>
      </w:r>
      <m:oMath>
        <m:sSub>
          <m:sSubPr>
            <m:ctrlPr>
              <w:rPr>
                <w:rFonts w:ascii="Cambria Math" w:hAnsi="Cambria Math"/>
                <w:i/>
                <w:sz w:val="22"/>
                <w:szCs w:val="22"/>
              </w:rPr>
            </m:ctrlPr>
          </m:sSubPr>
          <m:e>
            <m:r>
              <w:rPr>
                <w:rFonts w:ascii="Cambria Math" w:hAnsi="Cambria Math"/>
                <w:sz w:val="22"/>
                <w:szCs w:val="22"/>
              </w:rPr>
              <m:t>β</m:t>
            </m:r>
          </m:e>
          <m:sub>
            <m:r>
              <w:rPr>
                <w:rFonts w:ascii="Cambria Math" w:hAnsi="Cambria Math"/>
                <w:sz w:val="22"/>
                <w:szCs w:val="22"/>
              </w:rPr>
              <m:t>G,t</m:t>
            </m:r>
          </m:sub>
        </m:sSub>
      </m:oMath>
      <w:r w:rsidRPr="00AD5D7A">
        <w:rPr>
          <w:sz w:val="22"/>
          <w:szCs w:val="22"/>
        </w:rPr>
        <w:t xml:space="preserve">. </w:t>
      </w:r>
    </w:p>
    <w:p w14:paraId="17694A91" w14:textId="1E3F1788" w:rsidR="006B6DDE" w:rsidRPr="00AD5D7A" w:rsidRDefault="004A134F" w:rsidP="004A134F">
      <w:pPr>
        <w:rPr>
          <w:sz w:val="22"/>
          <w:szCs w:val="22"/>
        </w:rPr>
      </w:pPr>
      <w:r w:rsidRPr="00AD5D7A">
        <w:rPr>
          <w:sz w:val="22"/>
          <w:szCs w:val="22"/>
        </w:rPr>
        <w:t>A marginal Geo-RISK version can also be computed to isolate vulnerability to geopolitical shocks from general market undercapitalization or general market drawdowns.</w:t>
      </w:r>
    </w:p>
    <w:p w14:paraId="65FC3C6D" w14:textId="77777777" w:rsidR="006B6DDE" w:rsidRPr="00AD5D7A" w:rsidRDefault="006B6DDE" w:rsidP="006B6DDE">
      <w:pPr>
        <w:rPr>
          <w:sz w:val="22"/>
          <w:szCs w:val="22"/>
        </w:rPr>
      </w:pPr>
    </w:p>
    <w:p w14:paraId="59D2004E" w14:textId="7576878E" w:rsidR="006B6DDE" w:rsidRPr="00AD5D7A" w:rsidRDefault="006B6DDE" w:rsidP="006B6DDE">
      <w:pPr>
        <w:rPr>
          <w:b/>
          <w:bCs/>
          <w:sz w:val="22"/>
          <w:szCs w:val="22"/>
        </w:rPr>
      </w:pPr>
      <w:r w:rsidRPr="00AD5D7A">
        <w:rPr>
          <w:b/>
          <w:bCs/>
          <w:sz w:val="22"/>
          <w:szCs w:val="22"/>
        </w:rPr>
        <w:t>3. Data Sources</w:t>
      </w:r>
    </w:p>
    <w:p w14:paraId="2A0D92FC" w14:textId="5F3B59E8" w:rsidR="006B6DDE" w:rsidRPr="00AD5D7A" w:rsidRDefault="006B6DDE" w:rsidP="006B6DDE">
      <w:pPr>
        <w:rPr>
          <w:sz w:val="22"/>
          <w:szCs w:val="22"/>
        </w:rPr>
      </w:pPr>
      <w:r w:rsidRPr="00AD5D7A">
        <w:rPr>
          <w:sz w:val="22"/>
          <w:szCs w:val="22"/>
        </w:rPr>
        <w:t>The empirical analysis will use:</w:t>
      </w:r>
    </w:p>
    <w:p w14:paraId="05E11CB6" w14:textId="77777777" w:rsidR="004A134F" w:rsidRPr="00AD5D7A" w:rsidRDefault="006B6DDE" w:rsidP="006B6DDE">
      <w:pPr>
        <w:pStyle w:val="ListParagraph"/>
        <w:numPr>
          <w:ilvl w:val="0"/>
          <w:numId w:val="7"/>
        </w:numPr>
        <w:rPr>
          <w:sz w:val="22"/>
          <w:szCs w:val="22"/>
        </w:rPr>
      </w:pPr>
      <w:r w:rsidRPr="00AD5D7A">
        <w:rPr>
          <w:sz w:val="22"/>
          <w:szCs w:val="22"/>
        </w:rPr>
        <w:t>Bank equity and financial data: CRSP/</w:t>
      </w:r>
      <w:proofErr w:type="spellStart"/>
      <w:r w:rsidRPr="00AD5D7A">
        <w:rPr>
          <w:sz w:val="22"/>
          <w:szCs w:val="22"/>
        </w:rPr>
        <w:t>Compustat</w:t>
      </w:r>
      <w:proofErr w:type="spellEnd"/>
      <w:r w:rsidRPr="00AD5D7A">
        <w:rPr>
          <w:sz w:val="22"/>
          <w:szCs w:val="22"/>
        </w:rPr>
        <w:t xml:space="preserve"> </w:t>
      </w:r>
    </w:p>
    <w:p w14:paraId="34B87BBC" w14:textId="53B523A2" w:rsidR="004A134F" w:rsidRPr="00AD5D7A" w:rsidRDefault="004A134F" w:rsidP="004A134F">
      <w:pPr>
        <w:pStyle w:val="ListParagraph"/>
        <w:numPr>
          <w:ilvl w:val="0"/>
          <w:numId w:val="7"/>
        </w:numPr>
        <w:rPr>
          <w:sz w:val="22"/>
          <w:szCs w:val="22"/>
        </w:rPr>
      </w:pPr>
      <w:r w:rsidRPr="00AD5D7A">
        <w:rPr>
          <w:sz w:val="22"/>
          <w:szCs w:val="22"/>
        </w:rPr>
        <w:t xml:space="preserve">Balance sheet data: </w:t>
      </w:r>
      <w:proofErr w:type="spellStart"/>
      <w:r w:rsidRPr="00AD5D7A">
        <w:rPr>
          <w:sz w:val="22"/>
          <w:szCs w:val="22"/>
        </w:rPr>
        <w:t>Compustat</w:t>
      </w:r>
      <w:proofErr w:type="spellEnd"/>
    </w:p>
    <w:p w14:paraId="494920FF" w14:textId="0F93C5E1" w:rsidR="006B6DDE" w:rsidRPr="00AD5D7A" w:rsidRDefault="004A134F" w:rsidP="004A134F">
      <w:pPr>
        <w:pStyle w:val="ListParagraph"/>
        <w:numPr>
          <w:ilvl w:val="0"/>
          <w:numId w:val="7"/>
        </w:numPr>
        <w:rPr>
          <w:sz w:val="22"/>
          <w:szCs w:val="22"/>
        </w:rPr>
      </w:pPr>
      <w:r w:rsidRPr="00AD5D7A">
        <w:rPr>
          <w:sz w:val="22"/>
          <w:szCs w:val="22"/>
        </w:rPr>
        <w:t xml:space="preserve">Geopolitical Risk Index: Caldara &amp; Iacoviello database on </w:t>
      </w:r>
      <w:hyperlink r:id="rId7" w:history="1">
        <w:r w:rsidRPr="00AD5D7A">
          <w:rPr>
            <w:rStyle w:val="Hyperlink"/>
            <w:sz w:val="22"/>
            <w:szCs w:val="22"/>
          </w:rPr>
          <w:t>https://www.policyuncertainty.com/gpr.html</w:t>
        </w:r>
      </w:hyperlink>
      <w:r w:rsidRPr="00AD5D7A">
        <w:rPr>
          <w:sz w:val="22"/>
          <w:szCs w:val="22"/>
        </w:rPr>
        <w:t xml:space="preserve"> </w:t>
      </w:r>
    </w:p>
    <w:p w14:paraId="773B8CB0" w14:textId="47E104D1" w:rsidR="004A134F" w:rsidRPr="00AD5D7A" w:rsidRDefault="004A134F" w:rsidP="004A134F">
      <w:pPr>
        <w:pStyle w:val="ListParagraph"/>
        <w:numPr>
          <w:ilvl w:val="0"/>
          <w:numId w:val="7"/>
        </w:numPr>
        <w:rPr>
          <w:sz w:val="22"/>
          <w:szCs w:val="22"/>
        </w:rPr>
      </w:pPr>
      <w:r w:rsidRPr="00AD5D7A">
        <w:rPr>
          <w:sz w:val="22"/>
          <w:szCs w:val="22"/>
        </w:rPr>
        <w:t>Sector portfolio return data: French’s website</w:t>
      </w:r>
    </w:p>
    <w:p w14:paraId="6B21ED88" w14:textId="329B7345" w:rsidR="006B6DDE" w:rsidRPr="00AD5D7A" w:rsidRDefault="004A134F" w:rsidP="004A134F">
      <w:pPr>
        <w:rPr>
          <w:sz w:val="22"/>
          <w:szCs w:val="22"/>
        </w:rPr>
      </w:pPr>
      <w:r w:rsidRPr="004A134F">
        <w:rPr>
          <w:sz w:val="22"/>
          <w:szCs w:val="22"/>
        </w:rPr>
        <w:t>The empirical sample will mirror the CRISK coverage of large global banks across the U.S. or</w:t>
      </w:r>
      <w:r w:rsidRPr="00AD5D7A">
        <w:rPr>
          <w:sz w:val="22"/>
          <w:szCs w:val="22"/>
        </w:rPr>
        <w:t xml:space="preserve"> Europe.</w:t>
      </w:r>
    </w:p>
    <w:p w14:paraId="5FE007EF" w14:textId="77777777" w:rsidR="00AD5D7A" w:rsidRDefault="00AD5D7A" w:rsidP="006B6DDE">
      <w:pPr>
        <w:rPr>
          <w:b/>
          <w:bCs/>
          <w:sz w:val="22"/>
          <w:szCs w:val="22"/>
          <w:lang w:val="it-IT"/>
        </w:rPr>
      </w:pPr>
    </w:p>
    <w:p w14:paraId="3896882E" w14:textId="792A1E79" w:rsidR="00C746D6" w:rsidRPr="00AD5D7A" w:rsidRDefault="00C746D6" w:rsidP="006B6DDE">
      <w:pPr>
        <w:rPr>
          <w:b/>
          <w:bCs/>
          <w:sz w:val="22"/>
          <w:szCs w:val="22"/>
          <w:lang w:val="it-IT"/>
        </w:rPr>
      </w:pPr>
      <w:r w:rsidRPr="00AD5D7A">
        <w:rPr>
          <w:b/>
          <w:bCs/>
          <w:sz w:val="22"/>
          <w:szCs w:val="22"/>
          <w:lang w:val="it-IT"/>
        </w:rPr>
        <w:t>Reference</w:t>
      </w:r>
    </w:p>
    <w:p w14:paraId="2B552072" w14:textId="5BAA8AAA" w:rsidR="002D356B" w:rsidRPr="00AD5D7A" w:rsidRDefault="00C746D6" w:rsidP="006B6DDE">
      <w:pPr>
        <w:rPr>
          <w:b/>
          <w:bCs/>
          <w:sz w:val="22"/>
          <w:szCs w:val="22"/>
        </w:rPr>
      </w:pPr>
      <w:r w:rsidRPr="00AD5D7A">
        <w:rPr>
          <w:sz w:val="22"/>
          <w:szCs w:val="22"/>
        </w:rPr>
        <w:t>Caldara, Dario, and Matteo Iacoviello. 2022. "Measuring Geopolitical Risk." </w:t>
      </w:r>
      <w:r w:rsidRPr="00AD5D7A">
        <w:rPr>
          <w:i/>
          <w:iCs/>
          <w:sz w:val="22"/>
          <w:szCs w:val="22"/>
        </w:rPr>
        <w:t>American Economic Review</w:t>
      </w:r>
      <w:r w:rsidRPr="00AD5D7A">
        <w:rPr>
          <w:sz w:val="22"/>
          <w:szCs w:val="22"/>
        </w:rPr>
        <w:t> 112 (4): 1194–1225</w:t>
      </w:r>
      <w:r w:rsidRPr="00AD5D7A">
        <w:rPr>
          <w:b/>
          <w:bCs/>
          <w:sz w:val="22"/>
          <w:szCs w:val="22"/>
        </w:rPr>
        <w:t>.</w:t>
      </w:r>
    </w:p>
    <w:p w14:paraId="4CBF0B58" w14:textId="1396878A" w:rsidR="00B24D1C" w:rsidRPr="00AD5D7A" w:rsidRDefault="00B24D1C" w:rsidP="006B6DDE">
      <w:pPr>
        <w:rPr>
          <w:sz w:val="22"/>
          <w:szCs w:val="22"/>
        </w:rPr>
      </w:pPr>
      <w:r w:rsidRPr="00AD5D7A">
        <w:rPr>
          <w:sz w:val="22"/>
          <w:szCs w:val="22"/>
        </w:rPr>
        <w:t xml:space="preserve">Engle, Robert F. 2015. “Dynamic Conditional Beta.” Available at SSRN: </w:t>
      </w:r>
      <w:hyperlink r:id="rId8" w:history="1">
        <w:r w:rsidRPr="00AD5D7A">
          <w:rPr>
            <w:rStyle w:val="Hyperlink"/>
            <w:sz w:val="22"/>
            <w:szCs w:val="22"/>
          </w:rPr>
          <w:t>https://ssrn.com/abstract=2404020</w:t>
        </w:r>
      </w:hyperlink>
      <w:r w:rsidRPr="00AD5D7A">
        <w:rPr>
          <w:sz w:val="22"/>
          <w:szCs w:val="22"/>
        </w:rPr>
        <w:t xml:space="preserve"> </w:t>
      </w:r>
    </w:p>
    <w:p w14:paraId="651937E6" w14:textId="47DAAFE3" w:rsidR="00B24D1C" w:rsidRPr="00AD5D7A" w:rsidRDefault="00B24D1C" w:rsidP="006B6DDE">
      <w:pPr>
        <w:rPr>
          <w:sz w:val="22"/>
          <w:szCs w:val="22"/>
        </w:rPr>
      </w:pPr>
      <w:r w:rsidRPr="00AD5D7A">
        <w:rPr>
          <w:sz w:val="22"/>
          <w:szCs w:val="22"/>
        </w:rPr>
        <w:t>Jung, H., Engle, R. F. &amp; Berner, R. </w:t>
      </w:r>
      <w:r w:rsidRPr="00AD5D7A">
        <w:rPr>
          <w:sz w:val="22"/>
          <w:szCs w:val="22"/>
          <w:lang w:val="de-DE"/>
        </w:rPr>
        <w:t xml:space="preserve">2025. </w:t>
      </w:r>
      <w:proofErr w:type="gramStart"/>
      <w:r w:rsidRPr="00AD5D7A">
        <w:rPr>
          <w:sz w:val="22"/>
          <w:szCs w:val="22"/>
        </w:rPr>
        <w:t>“ CRISK</w:t>
      </w:r>
      <w:proofErr w:type="gramEnd"/>
      <w:r w:rsidRPr="00AD5D7A">
        <w:rPr>
          <w:sz w:val="22"/>
          <w:szCs w:val="22"/>
        </w:rPr>
        <w:t xml:space="preserve">: Measuring the climate risk exposure of the financial system." </w:t>
      </w:r>
      <w:r w:rsidRPr="00AD5D7A">
        <w:rPr>
          <w:i/>
          <w:iCs/>
          <w:sz w:val="22"/>
          <w:szCs w:val="22"/>
        </w:rPr>
        <w:t>Journal of Financial Economics 171</w:t>
      </w:r>
      <w:r w:rsidRPr="00AD5D7A">
        <w:rPr>
          <w:sz w:val="22"/>
          <w:szCs w:val="22"/>
        </w:rPr>
        <w:t>.</w:t>
      </w:r>
    </w:p>
    <w:sectPr w:rsidR="00B24D1C" w:rsidRPr="00AD5D7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7D79"/>
    <w:multiLevelType w:val="multilevel"/>
    <w:tmpl w:val="C114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862C2"/>
    <w:multiLevelType w:val="hybridMultilevel"/>
    <w:tmpl w:val="21BED83A"/>
    <w:lvl w:ilvl="0" w:tplc="E49E16CE">
      <w:start w:val="1"/>
      <w:numFmt w:val="decimal"/>
      <w:lvlText w:val="%1."/>
      <w:lvlJc w:val="left"/>
      <w:pPr>
        <w:ind w:left="360" w:hanging="360"/>
      </w:pPr>
      <w:rPr>
        <w:rFonts w:asciiTheme="minorHAnsi" w:eastAsiaTheme="minorEastAsia" w:hAnsiTheme="minorHAnsi" w:cstheme="minorBidi"/>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2" w15:restartNumberingAfterBreak="0">
    <w:nsid w:val="21586271"/>
    <w:multiLevelType w:val="multilevel"/>
    <w:tmpl w:val="C50E2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A65E49"/>
    <w:multiLevelType w:val="hybridMultilevel"/>
    <w:tmpl w:val="37F87AFE"/>
    <w:lvl w:ilvl="0" w:tplc="346C9BAA">
      <w:start w:val="1"/>
      <w:numFmt w:val="bullet"/>
      <w:lvlText w:val="-"/>
      <w:lvlJc w:val="left"/>
      <w:pPr>
        <w:ind w:left="720" w:hanging="360"/>
      </w:pPr>
      <w:rPr>
        <w:rFonts w:ascii="Aptos" w:eastAsiaTheme="minorEastAsia" w:hAnsi="Aptos" w:cstheme="minorBid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49115EAE"/>
    <w:multiLevelType w:val="multilevel"/>
    <w:tmpl w:val="F85C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270892"/>
    <w:multiLevelType w:val="multilevel"/>
    <w:tmpl w:val="FFDA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8C5982"/>
    <w:multiLevelType w:val="multilevel"/>
    <w:tmpl w:val="24567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A8591D"/>
    <w:multiLevelType w:val="multilevel"/>
    <w:tmpl w:val="C9D22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AA262B9"/>
    <w:multiLevelType w:val="multilevel"/>
    <w:tmpl w:val="1E2C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776817"/>
    <w:multiLevelType w:val="multilevel"/>
    <w:tmpl w:val="0AD4B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5201374">
    <w:abstractNumId w:val="0"/>
  </w:num>
  <w:num w:numId="2" w16cid:durableId="803811742">
    <w:abstractNumId w:val="9"/>
  </w:num>
  <w:num w:numId="3" w16cid:durableId="463888895">
    <w:abstractNumId w:val="4"/>
  </w:num>
  <w:num w:numId="4" w16cid:durableId="1430348291">
    <w:abstractNumId w:val="5"/>
  </w:num>
  <w:num w:numId="5" w16cid:durableId="1149714553">
    <w:abstractNumId w:val="7"/>
  </w:num>
  <w:num w:numId="6" w16cid:durableId="84956793">
    <w:abstractNumId w:val="1"/>
  </w:num>
  <w:num w:numId="7" w16cid:durableId="1807429224">
    <w:abstractNumId w:val="3"/>
  </w:num>
  <w:num w:numId="8" w16cid:durableId="348063444">
    <w:abstractNumId w:val="2"/>
  </w:num>
  <w:num w:numId="9" w16cid:durableId="1014260560">
    <w:abstractNumId w:val="6"/>
  </w:num>
  <w:num w:numId="10" w16cid:durableId="8923042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DDE"/>
    <w:rsid w:val="00117961"/>
    <w:rsid w:val="001F517E"/>
    <w:rsid w:val="00210C92"/>
    <w:rsid w:val="00223F3E"/>
    <w:rsid w:val="00274C45"/>
    <w:rsid w:val="002D356B"/>
    <w:rsid w:val="002E45EC"/>
    <w:rsid w:val="00446EF1"/>
    <w:rsid w:val="004A134F"/>
    <w:rsid w:val="004B0DCE"/>
    <w:rsid w:val="005045D2"/>
    <w:rsid w:val="00591B96"/>
    <w:rsid w:val="005B6554"/>
    <w:rsid w:val="006847F4"/>
    <w:rsid w:val="006B6DDE"/>
    <w:rsid w:val="00994CA9"/>
    <w:rsid w:val="00A00C16"/>
    <w:rsid w:val="00AB6B70"/>
    <w:rsid w:val="00AD5D7A"/>
    <w:rsid w:val="00AE491B"/>
    <w:rsid w:val="00B10D6F"/>
    <w:rsid w:val="00B16A52"/>
    <w:rsid w:val="00B24D1C"/>
    <w:rsid w:val="00B31B2D"/>
    <w:rsid w:val="00C5581E"/>
    <w:rsid w:val="00C746D6"/>
    <w:rsid w:val="00C8430B"/>
    <w:rsid w:val="00C96FB3"/>
    <w:rsid w:val="00CD5F1D"/>
    <w:rsid w:val="00CE2475"/>
    <w:rsid w:val="00D61AED"/>
    <w:rsid w:val="00D72C22"/>
    <w:rsid w:val="00D84CF9"/>
    <w:rsid w:val="00E37CB1"/>
    <w:rsid w:val="00EC0702"/>
    <w:rsid w:val="00F12B69"/>
    <w:rsid w:val="00FA5B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40441"/>
  <w15:chartTrackingRefBased/>
  <w15:docId w15:val="{DCB01603-68B2-4D38-9F57-F717E5C2A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6D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6D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6D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6D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6D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6D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D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D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D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D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6D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6D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6D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6D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6D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D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D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DDE"/>
    <w:rPr>
      <w:rFonts w:eastAsiaTheme="majorEastAsia" w:cstheme="majorBidi"/>
      <w:color w:val="272727" w:themeColor="text1" w:themeTint="D8"/>
    </w:rPr>
  </w:style>
  <w:style w:type="paragraph" w:styleId="Title">
    <w:name w:val="Title"/>
    <w:basedOn w:val="Normal"/>
    <w:next w:val="Normal"/>
    <w:link w:val="TitleChar"/>
    <w:uiPriority w:val="10"/>
    <w:qFormat/>
    <w:rsid w:val="006B6D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D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DDE"/>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6B6DDE"/>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6B6DDE"/>
    <w:pPr>
      <w:spacing w:before="160"/>
      <w:jc w:val="center"/>
    </w:pPr>
    <w:rPr>
      <w:i/>
      <w:iCs/>
      <w:color w:val="000000" w:themeColor="text1"/>
    </w:rPr>
  </w:style>
  <w:style w:type="character" w:customStyle="1" w:styleId="QuoteChar">
    <w:name w:val="Quote Char"/>
    <w:basedOn w:val="DefaultParagraphFont"/>
    <w:link w:val="Quote"/>
    <w:uiPriority w:val="29"/>
    <w:rsid w:val="006B6DDE"/>
    <w:rPr>
      <w:i/>
      <w:iCs/>
      <w:color w:val="000000" w:themeColor="text1"/>
    </w:rPr>
  </w:style>
  <w:style w:type="paragraph" w:styleId="ListParagraph">
    <w:name w:val="List Paragraph"/>
    <w:basedOn w:val="Normal"/>
    <w:uiPriority w:val="34"/>
    <w:qFormat/>
    <w:rsid w:val="006B6DDE"/>
    <w:pPr>
      <w:ind w:left="720"/>
      <w:contextualSpacing/>
    </w:pPr>
  </w:style>
  <w:style w:type="character" w:styleId="IntenseEmphasis">
    <w:name w:val="Intense Emphasis"/>
    <w:basedOn w:val="DefaultParagraphFont"/>
    <w:uiPriority w:val="21"/>
    <w:qFormat/>
    <w:rsid w:val="006B6DDE"/>
    <w:rPr>
      <w:i/>
      <w:iCs/>
      <w:color w:val="0F4761" w:themeColor="accent1" w:themeShade="BF"/>
    </w:rPr>
  </w:style>
  <w:style w:type="paragraph" w:styleId="IntenseQuote">
    <w:name w:val="Intense Quote"/>
    <w:basedOn w:val="Normal"/>
    <w:next w:val="Normal"/>
    <w:link w:val="IntenseQuoteChar"/>
    <w:uiPriority w:val="30"/>
    <w:qFormat/>
    <w:rsid w:val="006B6D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6DDE"/>
    <w:rPr>
      <w:i/>
      <w:iCs/>
      <w:color w:val="0F4761" w:themeColor="accent1" w:themeShade="BF"/>
    </w:rPr>
  </w:style>
  <w:style w:type="character" w:styleId="IntenseReference">
    <w:name w:val="Intense Reference"/>
    <w:basedOn w:val="DefaultParagraphFont"/>
    <w:uiPriority w:val="32"/>
    <w:qFormat/>
    <w:rsid w:val="006B6DDE"/>
    <w:rPr>
      <w:b/>
      <w:bCs/>
      <w:smallCaps/>
      <w:color w:val="0F4761" w:themeColor="accent1" w:themeShade="BF"/>
      <w:spacing w:val="5"/>
    </w:rPr>
  </w:style>
  <w:style w:type="character" w:styleId="Hyperlink">
    <w:name w:val="Hyperlink"/>
    <w:basedOn w:val="DefaultParagraphFont"/>
    <w:uiPriority w:val="99"/>
    <w:unhideWhenUsed/>
    <w:rsid w:val="006B6DDE"/>
    <w:rPr>
      <w:color w:val="467886" w:themeColor="hyperlink"/>
      <w:u w:val="single"/>
    </w:rPr>
  </w:style>
  <w:style w:type="character" w:styleId="UnresolvedMention">
    <w:name w:val="Unresolved Mention"/>
    <w:basedOn w:val="DefaultParagraphFont"/>
    <w:uiPriority w:val="99"/>
    <w:semiHidden/>
    <w:unhideWhenUsed/>
    <w:rsid w:val="006B6DDE"/>
    <w:rPr>
      <w:color w:val="605E5C"/>
      <w:shd w:val="clear" w:color="auto" w:fill="E1DFDD"/>
    </w:rPr>
  </w:style>
  <w:style w:type="character" w:styleId="PlaceholderText">
    <w:name w:val="Placeholder Text"/>
    <w:basedOn w:val="DefaultParagraphFont"/>
    <w:uiPriority w:val="99"/>
    <w:semiHidden/>
    <w:rsid w:val="006B6DD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srn.com/abstract=2404020" TargetMode="External"/><Relationship Id="rId3" Type="http://schemas.openxmlformats.org/officeDocument/2006/relationships/settings" Target="settings.xml"/><Relationship Id="rId7" Type="http://schemas.openxmlformats.org/officeDocument/2006/relationships/hyperlink" Target="https://www.policyuncertainty.com/gpr.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olicyuncertainty.com/gpr.html" TargetMode="External"/><Relationship Id="rId5" Type="http://schemas.openxmlformats.org/officeDocument/2006/relationships/hyperlink" Target="https://www.policyuncertainty.com/gpr.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1243</Words>
  <Characters>7088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Rex Wang Renjie</dc:creator>
  <cp:keywords/>
  <dc:description/>
  <cp:lastModifiedBy>Zhu Xingchen</cp:lastModifiedBy>
  <cp:revision>6</cp:revision>
  <dcterms:created xsi:type="dcterms:W3CDTF">2025-12-01T21:28:00Z</dcterms:created>
  <dcterms:modified xsi:type="dcterms:W3CDTF">2025-12-09T13:41:00Z</dcterms:modified>
</cp:coreProperties>
</file>