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0382F" w14:paraId="22D81476" w14:textId="77777777" w:rsidTr="00B0382F">
        <w:tc>
          <w:tcPr>
            <w:tcW w:w="3020" w:type="dxa"/>
          </w:tcPr>
          <w:p w14:paraId="128A1397" w14:textId="39AE5C43" w:rsidR="00B0382F" w:rsidRPr="00B0382F" w:rsidRDefault="00B0382F">
            <w:pPr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  <w:tc>
          <w:tcPr>
            <w:tcW w:w="3021" w:type="dxa"/>
          </w:tcPr>
          <w:p w14:paraId="561E42F9" w14:textId="3757F461" w:rsidR="00B0382F" w:rsidRPr="00B0382F" w:rsidRDefault="00B0382F">
            <w:pPr>
              <w:rPr>
                <w:b/>
                <w:bCs/>
              </w:rPr>
            </w:pPr>
            <w:r>
              <w:rPr>
                <w:b/>
                <w:bCs/>
              </w:rPr>
              <w:t>Motivation OR literature review</w:t>
            </w:r>
          </w:p>
        </w:tc>
        <w:tc>
          <w:tcPr>
            <w:tcW w:w="3021" w:type="dxa"/>
          </w:tcPr>
          <w:p w14:paraId="61FC305C" w14:textId="5E4B4EDD" w:rsidR="00B0382F" w:rsidRDefault="00B0382F">
            <w:r>
              <w:t>Summary</w:t>
            </w:r>
          </w:p>
        </w:tc>
      </w:tr>
      <w:tr w:rsidR="00B0382F" w14:paraId="6303FD42" w14:textId="77777777" w:rsidTr="00B0382F">
        <w:tc>
          <w:tcPr>
            <w:tcW w:w="3020" w:type="dxa"/>
          </w:tcPr>
          <w:p w14:paraId="5BA96A94" w14:textId="26ADDA8F" w:rsidR="00B0382F" w:rsidRDefault="00B0382F">
            <w:hyperlink r:id="rId4" w:history="1">
              <w:r w:rsidRPr="0001557B">
                <w:rPr>
                  <w:rStyle w:val="Hyperlink"/>
                </w:rPr>
                <w:t>https://people.stern.nyu.edu/sternfin/vacharya/public_html/measuring_and_regulating_systemic_risk-1.pdf</w:t>
              </w:r>
            </w:hyperlink>
            <w:r>
              <w:t xml:space="preserve"> </w:t>
            </w:r>
          </w:p>
        </w:tc>
        <w:tc>
          <w:tcPr>
            <w:tcW w:w="3021" w:type="dxa"/>
          </w:tcPr>
          <w:p w14:paraId="0D6A8A82" w14:textId="3937753E" w:rsidR="00B0382F" w:rsidRDefault="00B0382F">
            <w:r>
              <w:t>MOT- Systemic risk and importance on financial sector.</w:t>
            </w:r>
          </w:p>
        </w:tc>
        <w:tc>
          <w:tcPr>
            <w:tcW w:w="3021" w:type="dxa"/>
          </w:tcPr>
          <w:p w14:paraId="4B504F6E" w14:textId="77777777" w:rsidR="00B0382F" w:rsidRDefault="00B0382F"/>
        </w:tc>
      </w:tr>
      <w:tr w:rsidR="00B0382F" w14:paraId="51886A3C" w14:textId="77777777" w:rsidTr="00B0382F">
        <w:tc>
          <w:tcPr>
            <w:tcW w:w="3020" w:type="dxa"/>
          </w:tcPr>
          <w:p w14:paraId="2B17C610" w14:textId="509D5E0C" w:rsidR="00B0382F" w:rsidRDefault="00B0382F">
            <w:hyperlink r:id="rId5" w:history="1">
              <w:r w:rsidRPr="0001557B">
                <w:rPr>
                  <w:rStyle w:val="Hyperlink"/>
                </w:rPr>
                <w:t>https://www-proquest-com.vu-nl.idm.oclc.org/openview/34dd8de4e77ffb7a51aeba6990452861/1?cbl=2035679&amp;parentSessionId=j7GmmO8vBXm5KOqV0wMVLkh1BsmJpkJYgDlkl2rardk%3D&amp;pq-origsite=gscholar&amp;accountid=10978</w:t>
              </w:r>
            </w:hyperlink>
            <w:r>
              <w:t xml:space="preserve"> </w:t>
            </w:r>
          </w:p>
        </w:tc>
        <w:tc>
          <w:tcPr>
            <w:tcW w:w="3021" w:type="dxa"/>
          </w:tcPr>
          <w:p w14:paraId="4A161BAB" w14:textId="06F9CD91" w:rsidR="00B0382F" w:rsidRDefault="00B0382F">
            <w:r>
              <w:t xml:space="preserve">MOT – The financial system must be </w:t>
            </w:r>
            <w:proofErr w:type="gramStart"/>
            <w:r>
              <w:t>stable</w:t>
            </w:r>
            <w:proofErr w:type="gramEnd"/>
            <w:r>
              <w:t xml:space="preserve"> and the reserve ratio set based on the rising geopolitical risks</w:t>
            </w:r>
          </w:p>
        </w:tc>
        <w:tc>
          <w:tcPr>
            <w:tcW w:w="3021" w:type="dxa"/>
          </w:tcPr>
          <w:p w14:paraId="4D305061" w14:textId="77777777" w:rsidR="00B0382F" w:rsidRDefault="00B0382F"/>
        </w:tc>
      </w:tr>
      <w:tr w:rsidR="00B0382F" w14:paraId="5566E85B" w14:textId="77777777" w:rsidTr="00B0382F">
        <w:tc>
          <w:tcPr>
            <w:tcW w:w="3020" w:type="dxa"/>
          </w:tcPr>
          <w:p w14:paraId="79606732" w14:textId="77777777" w:rsidR="00B0382F" w:rsidRDefault="00B0382F"/>
        </w:tc>
        <w:tc>
          <w:tcPr>
            <w:tcW w:w="3021" w:type="dxa"/>
          </w:tcPr>
          <w:p w14:paraId="0263DC7C" w14:textId="77777777" w:rsidR="00B0382F" w:rsidRDefault="00B0382F"/>
        </w:tc>
        <w:tc>
          <w:tcPr>
            <w:tcW w:w="3021" w:type="dxa"/>
          </w:tcPr>
          <w:p w14:paraId="4C0E2324" w14:textId="77777777" w:rsidR="00B0382F" w:rsidRDefault="00B0382F"/>
        </w:tc>
      </w:tr>
      <w:tr w:rsidR="00B0382F" w14:paraId="46008904" w14:textId="77777777" w:rsidTr="00B0382F">
        <w:tc>
          <w:tcPr>
            <w:tcW w:w="3020" w:type="dxa"/>
          </w:tcPr>
          <w:p w14:paraId="67ECD874" w14:textId="2B4D3C37" w:rsidR="00B0382F" w:rsidRDefault="00F84889">
            <w:hyperlink r:id="rId6" w:anchor="sec0001" w:history="1">
              <w:r w:rsidRPr="0001557B">
                <w:rPr>
                  <w:rStyle w:val="Hyperlink"/>
                </w:rPr>
                <w:t>https://www.sciencedirect.com/science/article/pii/S1544612317300600?casa_token=w31P4cfUTX0AAAAA:97Urx8DpK90guFGrN9tDTF6bZZnqewkUzI5-sa4R8HT4Nw5D_yualNd37M55GdHGX3hhWI48tlY#sec0001</w:t>
              </w:r>
            </w:hyperlink>
            <w:r>
              <w:t xml:space="preserve"> </w:t>
            </w:r>
          </w:p>
        </w:tc>
        <w:tc>
          <w:tcPr>
            <w:tcW w:w="3021" w:type="dxa"/>
          </w:tcPr>
          <w:p w14:paraId="0438BB7A" w14:textId="7BFED631" w:rsidR="00B0382F" w:rsidRDefault="00F84889">
            <w:r>
              <w:t xml:space="preserve">Mot – geopolitical risk has long lasting effects on the market specifically there are shifts of capital from certain markets to other markets </w:t>
            </w:r>
          </w:p>
        </w:tc>
        <w:tc>
          <w:tcPr>
            <w:tcW w:w="3021" w:type="dxa"/>
          </w:tcPr>
          <w:p w14:paraId="0F7CE8ED" w14:textId="77777777" w:rsidR="00B0382F" w:rsidRDefault="00B0382F"/>
        </w:tc>
      </w:tr>
      <w:tr w:rsidR="00B0382F" w14:paraId="411A9B5A" w14:textId="77777777" w:rsidTr="00B0382F">
        <w:tc>
          <w:tcPr>
            <w:tcW w:w="3020" w:type="dxa"/>
          </w:tcPr>
          <w:p w14:paraId="1D952BC8" w14:textId="02EBCC87" w:rsidR="00B0382F" w:rsidRDefault="0030238F">
            <w:hyperlink r:id="rId7" w:history="1">
              <w:r w:rsidRPr="007240DA">
                <w:rPr>
                  <w:rStyle w:val="Hyperlink"/>
                </w:rPr>
                <w:t>https://www-sciencedirect-com.vu-nl.idm.oclc.org/science/article/pii/S0140988325006711?pes=vor&amp;utm_source=scopus&amp;getft_integrator=scopus</w:t>
              </w:r>
            </w:hyperlink>
            <w:r>
              <w:t xml:space="preserve"> </w:t>
            </w:r>
          </w:p>
        </w:tc>
        <w:tc>
          <w:tcPr>
            <w:tcW w:w="3021" w:type="dxa"/>
          </w:tcPr>
          <w:p w14:paraId="7EBD5C83" w14:textId="76159E59" w:rsidR="00B0382F" w:rsidRDefault="00B0382F"/>
        </w:tc>
        <w:tc>
          <w:tcPr>
            <w:tcW w:w="3021" w:type="dxa"/>
          </w:tcPr>
          <w:p w14:paraId="41930B05" w14:textId="1A5E265C" w:rsidR="00B0382F" w:rsidRDefault="0030238F">
            <w:r>
              <w:t>Literature review ideas are good</w:t>
            </w:r>
          </w:p>
        </w:tc>
      </w:tr>
      <w:tr w:rsidR="00B0382F" w14:paraId="1214D124" w14:textId="77777777" w:rsidTr="00B0382F">
        <w:tc>
          <w:tcPr>
            <w:tcW w:w="3020" w:type="dxa"/>
          </w:tcPr>
          <w:p w14:paraId="34C6B20C" w14:textId="77777777" w:rsidR="00B0382F" w:rsidRDefault="00B0382F"/>
        </w:tc>
        <w:tc>
          <w:tcPr>
            <w:tcW w:w="3021" w:type="dxa"/>
          </w:tcPr>
          <w:p w14:paraId="45A954D8" w14:textId="77777777" w:rsidR="00B0382F" w:rsidRDefault="00B0382F"/>
        </w:tc>
        <w:tc>
          <w:tcPr>
            <w:tcW w:w="3021" w:type="dxa"/>
          </w:tcPr>
          <w:p w14:paraId="0C28BE2F" w14:textId="77777777" w:rsidR="00B0382F" w:rsidRDefault="00B0382F"/>
        </w:tc>
      </w:tr>
    </w:tbl>
    <w:p w14:paraId="01FBEA5A" w14:textId="77777777" w:rsidR="009F3998" w:rsidRDefault="009F3998"/>
    <w:p w14:paraId="696F1873" w14:textId="77777777" w:rsidR="0030238F" w:rsidRDefault="0030238F"/>
    <w:p w14:paraId="259CE479" w14:textId="167F8D5F" w:rsidR="0030238F" w:rsidRDefault="0030238F">
      <w:r>
        <w:t xml:space="preserve">GPR affects investments in fixed assets aimed at the energy transition negatively by rendering them stranded assets as investors retract from </w:t>
      </w:r>
      <w:proofErr w:type="spellStart"/>
      <w:r>
        <w:t>reneawable</w:t>
      </w:r>
      <w:proofErr w:type="spellEnd"/>
      <w:r>
        <w:t xml:space="preserve"> energy sources of energies as those are inherently more </w:t>
      </w:r>
      <w:proofErr w:type="gramStart"/>
      <w:r>
        <w:t>risky(</w:t>
      </w:r>
      <w:commentRangeStart w:id="0"/>
      <w:proofErr w:type="gramEnd"/>
      <w:r>
        <w:t>Shimbar</w:t>
      </w:r>
      <w:commentRangeEnd w:id="0"/>
      <w:r>
        <w:rPr>
          <w:rStyle w:val="CommentReference"/>
        </w:rPr>
        <w:commentReference w:id="0"/>
      </w:r>
      <w:r>
        <w:t>,2021).</w:t>
      </w:r>
    </w:p>
    <w:p w14:paraId="7BC862AC" w14:textId="0FFA6B8F" w:rsidR="0030238F" w:rsidRDefault="0030238F">
      <w:r>
        <w:t xml:space="preserve">The shift away from investments in perceived more risk assets lead to a concentration of capital in certain sectors which great increases tail risk because of extreme stock </w:t>
      </w:r>
      <w:r>
        <w:lastRenderedPageBreak/>
        <w:t xml:space="preserve">losses, that is the performance of the few firms that now concentrate most of the capital available in </w:t>
      </w:r>
      <w:proofErr w:type="gramStart"/>
      <w:r>
        <w:t>markets(</w:t>
      </w:r>
      <w:commentRangeStart w:id="1"/>
      <w:proofErr w:type="gramEnd"/>
      <w:r>
        <w:t xml:space="preserve">Kelly </w:t>
      </w:r>
      <w:commentRangeEnd w:id="1"/>
      <w:r>
        <w:rPr>
          <w:rStyle w:val="CommentReference"/>
        </w:rPr>
        <w:commentReference w:id="1"/>
      </w:r>
      <w:r>
        <w:t>and Jang,2014).</w:t>
      </w:r>
    </w:p>
    <w:p w14:paraId="41769D40" w14:textId="77777777" w:rsidR="0030238F" w:rsidRDefault="0030238F"/>
    <w:p w14:paraId="044EADE2" w14:textId="77777777" w:rsidR="0008755E" w:rsidRPr="0008755E" w:rsidRDefault="0008755E" w:rsidP="0008755E">
      <w:commentRangeStart w:id="2"/>
      <w:r>
        <w:t>“</w:t>
      </w:r>
      <w:r w:rsidRPr="0008755E">
        <w:t xml:space="preserve">Our main finding demonstrates that geopolitical uncertainty possesses predictive power over a firm's risk </w:t>
      </w:r>
      <w:commentRangeEnd w:id="2"/>
      <w:r>
        <w:rPr>
          <w:rStyle w:val="CommentReference"/>
        </w:rPr>
        <w:commentReference w:id="2"/>
      </w:r>
      <w:r w:rsidRPr="0008755E">
        <w:t>profile. Specifically, firms operating in an environment of escalating geopolitical uncertainty expose to increased aggregate tail risk and idiosyncratic tail risk as GPR heightens market-wide vulnerabilities (</w:t>
      </w:r>
      <w:bookmarkStart w:id="3" w:name="bbb0205"/>
      <w:r w:rsidRPr="0008755E">
        <w:fldChar w:fldCharType="begin"/>
      </w:r>
      <w:r w:rsidRPr="0008755E">
        <w:instrText>HYPERLINK "https://www-sciencedirect-com.vu-nl.idm.oclc.org/science/article/pii/S0140988325006711?pes=vor&amp;utm_source=scopus&amp;getft_integrator=scopus" \l "bb0205"</w:instrText>
      </w:r>
      <w:r w:rsidRPr="0008755E">
        <w:fldChar w:fldCharType="separate"/>
      </w:r>
      <w:r w:rsidRPr="0008755E">
        <w:rPr>
          <w:rStyle w:val="Hyperlink"/>
        </w:rPr>
        <w:t>Chesney et al., 2011</w:t>
      </w:r>
      <w:r w:rsidRPr="0008755E">
        <w:fldChar w:fldCharType="end"/>
      </w:r>
      <w:bookmarkEnd w:id="3"/>
      <w:r w:rsidRPr="0008755E">
        <w:t>) by suppressing output (</w:t>
      </w:r>
      <w:bookmarkStart w:id="4" w:name="bbb0515"/>
      <w:r w:rsidRPr="0008755E">
        <w:fldChar w:fldCharType="begin"/>
      </w:r>
      <w:r w:rsidRPr="0008755E">
        <w:instrText>HYPERLINK "https://www-sciencedirect-com.vu-nl.idm.oclc.org/science/article/pii/S0140988325006711?pes=vor&amp;utm_source=scopus&amp;getft_integrator=scopus" \l "bb0515"</w:instrText>
      </w:r>
      <w:r w:rsidRPr="0008755E">
        <w:fldChar w:fldCharType="separate"/>
      </w:r>
      <w:r w:rsidRPr="0008755E">
        <w:rPr>
          <w:rStyle w:val="Hyperlink"/>
        </w:rPr>
        <w:t>Pang et al., 2023</w:t>
      </w:r>
      <w:r w:rsidRPr="0008755E">
        <w:fldChar w:fldCharType="end"/>
      </w:r>
      <w:bookmarkEnd w:id="4"/>
      <w:r w:rsidRPr="0008755E">
        <w:t>) and deteriorating financial health (</w:t>
      </w:r>
      <w:bookmarkStart w:id="5" w:name="bbb0560"/>
      <w:r w:rsidRPr="0008755E">
        <w:fldChar w:fldCharType="begin"/>
      </w:r>
      <w:r w:rsidRPr="0008755E">
        <w:instrText>HYPERLINK "https://www-sciencedirect-com.vu-nl.idm.oclc.org/science/article/pii/S0140988325006711?pes=vor&amp;utm_source=scopus&amp;getft_integrator=scopus" \l "bb0560"</w:instrText>
      </w:r>
      <w:r w:rsidRPr="0008755E">
        <w:fldChar w:fldCharType="separate"/>
      </w:r>
      <w:r w:rsidRPr="0008755E">
        <w:rPr>
          <w:rStyle w:val="Hyperlink"/>
        </w:rPr>
        <w:t>Roy et al., 2024</w:t>
      </w:r>
      <w:r w:rsidRPr="0008755E">
        <w:fldChar w:fldCharType="end"/>
      </w:r>
      <w:bookmarkEnd w:id="5"/>
      <w:r w:rsidRPr="0008755E">
        <w:t>). This suggests that investors may exit positions in vulnerable firms when they perceive that rising market uncertainty, driven by geopolitical risks, could amplify cash flow uncertainty (</w:t>
      </w:r>
      <w:bookmarkStart w:id="6" w:name="bbb0035"/>
      <w:r w:rsidRPr="0008755E">
        <w:fldChar w:fldCharType="begin"/>
      </w:r>
      <w:r w:rsidRPr="0008755E">
        <w:instrText>HYPERLINK "https://www-sciencedirect-com.vu-nl.idm.oclc.org/science/article/pii/S0140988325006711?pes=vor&amp;utm_source=scopus&amp;getft_integrator=scopus" \l "bb0035"</w:instrText>
      </w:r>
      <w:r w:rsidRPr="0008755E">
        <w:fldChar w:fldCharType="separate"/>
      </w:r>
      <w:r w:rsidRPr="0008755E">
        <w:rPr>
          <w:rStyle w:val="Hyperlink"/>
        </w:rPr>
        <w:t>Adra et al., 2023</w:t>
      </w:r>
      <w:r w:rsidRPr="0008755E">
        <w:fldChar w:fldCharType="end"/>
      </w:r>
      <w:bookmarkEnd w:id="6"/>
      <w:r w:rsidRPr="0008755E">
        <w:t>) and reduce firm productivity (</w:t>
      </w:r>
      <w:bookmarkStart w:id="7" w:name="bbb0110"/>
      <w:r w:rsidRPr="0008755E">
        <w:fldChar w:fldCharType="begin"/>
      </w:r>
      <w:r w:rsidRPr="0008755E">
        <w:instrText>HYPERLINK "https://www-sciencedirect-com.vu-nl.idm.oclc.org/science/article/pii/S0140988325006711?pes=vor&amp;utm_source=scopus&amp;getft_integrator=scopus" \l "bb0110"</w:instrText>
      </w:r>
      <w:r w:rsidRPr="0008755E">
        <w:fldChar w:fldCharType="separate"/>
      </w:r>
      <w:r w:rsidRPr="0008755E">
        <w:rPr>
          <w:rStyle w:val="Hyperlink"/>
        </w:rPr>
        <w:t>Bloom, 2009</w:t>
      </w:r>
      <w:r w:rsidRPr="0008755E">
        <w:fldChar w:fldCharType="end"/>
      </w:r>
      <w:bookmarkEnd w:id="7"/>
      <w:r w:rsidRPr="0008755E">
        <w:t xml:space="preserve">). Such abrupt selloffs, often spurred by herd </w:t>
      </w:r>
      <w:proofErr w:type="spellStart"/>
      <w:r w:rsidRPr="0008755E">
        <w:t>behavior</w:t>
      </w:r>
      <w:proofErr w:type="spellEnd"/>
      <w:r w:rsidRPr="0008755E">
        <w:t>, subsequently increase firm tail risk. Additionally, consistent with the Oi-Hartman-Abel effect, which posits that firms may increase risky investments due to a rise in marginal capital productivity during periods of heightened uncertainty (</w:t>
      </w:r>
      <w:bookmarkStart w:id="8" w:name="bbb0500"/>
      <w:r w:rsidRPr="0008755E">
        <w:fldChar w:fldCharType="begin"/>
      </w:r>
      <w:r w:rsidRPr="0008755E">
        <w:instrText>HYPERLINK "https://www-sciencedirect-com.vu-nl.idm.oclc.org/science/article/pii/S0140988325006711?pes=vor&amp;utm_source=scopus&amp;getft_integrator=scopus" \l "bb0500"</w:instrText>
      </w:r>
      <w:r w:rsidRPr="0008755E">
        <w:fldChar w:fldCharType="separate"/>
      </w:r>
      <w:r w:rsidRPr="0008755E">
        <w:rPr>
          <w:rStyle w:val="Hyperlink"/>
        </w:rPr>
        <w:t>Oi, 1961</w:t>
      </w:r>
      <w:r w:rsidRPr="0008755E">
        <w:fldChar w:fldCharType="end"/>
      </w:r>
      <w:bookmarkEnd w:id="8"/>
      <w:r w:rsidRPr="0008755E">
        <w:t>; </w:t>
      </w:r>
      <w:bookmarkStart w:id="9" w:name="bbb0350"/>
      <w:r w:rsidRPr="0008755E">
        <w:fldChar w:fldCharType="begin"/>
      </w:r>
      <w:r w:rsidRPr="0008755E">
        <w:instrText>HYPERLINK "https://www-sciencedirect-com.vu-nl.idm.oclc.org/science/article/pii/S0140988325006711?pes=vor&amp;utm_source=scopus&amp;getft_integrator=scopus" \l "bb0350"</w:instrText>
      </w:r>
      <w:r w:rsidRPr="0008755E">
        <w:fldChar w:fldCharType="separate"/>
      </w:r>
      <w:r w:rsidRPr="0008755E">
        <w:rPr>
          <w:rStyle w:val="Hyperlink"/>
        </w:rPr>
        <w:t>Hartman, 1972</w:t>
      </w:r>
      <w:r w:rsidRPr="0008755E">
        <w:fldChar w:fldCharType="end"/>
      </w:r>
      <w:bookmarkEnd w:id="9"/>
      <w:r w:rsidRPr="0008755E">
        <w:t>; </w:t>
      </w:r>
      <w:bookmarkStart w:id="10" w:name="bbb0020"/>
      <w:r w:rsidRPr="0008755E">
        <w:fldChar w:fldCharType="begin"/>
      </w:r>
      <w:r w:rsidRPr="0008755E">
        <w:instrText>HYPERLINK "https://www-sciencedirect-com.vu-nl.idm.oclc.org/science/article/pii/S0140988325006711?pes=vor&amp;utm_source=scopus&amp;getft_integrator=scopus" \l "bb0020"</w:instrText>
      </w:r>
      <w:r w:rsidRPr="0008755E">
        <w:fldChar w:fldCharType="separate"/>
      </w:r>
      <w:r w:rsidRPr="0008755E">
        <w:rPr>
          <w:rStyle w:val="Hyperlink"/>
        </w:rPr>
        <w:t>Abel, 1983</w:t>
      </w:r>
      <w:r w:rsidRPr="0008755E">
        <w:fldChar w:fldCharType="end"/>
      </w:r>
      <w:bookmarkEnd w:id="10"/>
      <w:r w:rsidRPr="0008755E">
        <w:t xml:space="preserve">), such </w:t>
      </w:r>
      <w:proofErr w:type="spellStart"/>
      <w:r w:rsidRPr="0008755E">
        <w:t>behavior</w:t>
      </w:r>
      <w:proofErr w:type="spellEnd"/>
      <w:r w:rsidRPr="0008755E">
        <w:t xml:space="preserve"> further exacerbates idiosyncratic tail risks when GPR is elevated.</w:t>
      </w:r>
    </w:p>
    <w:p w14:paraId="5F8F327A" w14:textId="7A43797E" w:rsidR="0030238F" w:rsidRDefault="0008755E">
      <w:r w:rsidRPr="0008755E">
        <w:t>On the other hand, we find that GPR negatively predicts firm systematic risk. In addition to diminishing investor sentiment (He, 2023), a surge in uncertainty due to GPR might cause risk-averse investors to quickly seek safety by shifting toward safer investment alternatives (</w:t>
      </w:r>
      <w:bookmarkStart w:id="11" w:name="bbb0050"/>
      <w:r w:rsidRPr="0008755E">
        <w:fldChar w:fldCharType="begin"/>
      </w:r>
      <w:r w:rsidRPr="0008755E">
        <w:instrText>HYPERLINK "https://www-sciencedirect-com.vu-nl.idm.oclc.org/science/article/pii/S0140988325006711?pes=vor&amp;utm_source=scopus&amp;getft_integrator=scopus" \l "bb0050"</w:instrText>
      </w:r>
      <w:r w:rsidRPr="0008755E">
        <w:fldChar w:fldCharType="separate"/>
      </w:r>
      <w:r w:rsidRPr="0008755E">
        <w:rPr>
          <w:rStyle w:val="Hyperlink"/>
        </w:rPr>
        <w:t>Ali et al., 2023</w:t>
      </w:r>
      <w:r w:rsidRPr="0008755E">
        <w:fldChar w:fldCharType="end"/>
      </w:r>
      <w:bookmarkEnd w:id="11"/>
      <w:r w:rsidRPr="0008755E">
        <w:t>), which collectively reduces market volatility and mitigates systematic risk. This suggests that market participants have effectively priced cross-country political instability into the stock values of energy firms, given the non-</w:t>
      </w:r>
      <w:proofErr w:type="spellStart"/>
      <w:r w:rsidRPr="0008755E">
        <w:t>diversifiability</w:t>
      </w:r>
      <w:proofErr w:type="spellEnd"/>
      <w:r w:rsidRPr="0008755E">
        <w:t xml:space="preserve"> of systematic tail risk (</w:t>
      </w:r>
      <w:bookmarkStart w:id="12" w:name="bbb0675"/>
      <w:r w:rsidRPr="0008755E">
        <w:fldChar w:fldCharType="begin"/>
      </w:r>
      <w:r w:rsidRPr="0008755E">
        <w:instrText>HYPERLINK "https://www-sciencedirect-com.vu-nl.idm.oclc.org/science/article/pii/S0140988325006711?pes=vor&amp;utm_source=scopus&amp;getft_integrator=scopus" \l "bb0675"</w:instrText>
      </w:r>
      <w:r w:rsidRPr="0008755E">
        <w:fldChar w:fldCharType="separate"/>
      </w:r>
      <w:r w:rsidRPr="0008755E">
        <w:rPr>
          <w:rStyle w:val="Hyperlink"/>
        </w:rPr>
        <w:t xml:space="preserve">Van </w:t>
      </w:r>
      <w:proofErr w:type="spellStart"/>
      <w:r w:rsidRPr="0008755E">
        <w:rPr>
          <w:rStyle w:val="Hyperlink"/>
        </w:rPr>
        <w:t>Oordt</w:t>
      </w:r>
      <w:proofErr w:type="spellEnd"/>
      <w:r w:rsidRPr="0008755E">
        <w:rPr>
          <w:rStyle w:val="Hyperlink"/>
        </w:rPr>
        <w:t xml:space="preserve"> and Zhou, 2016</w:t>
      </w:r>
      <w:r w:rsidRPr="0008755E">
        <w:fldChar w:fldCharType="end"/>
      </w:r>
      <w:bookmarkEnd w:id="12"/>
      <w:r w:rsidRPr="0008755E">
        <w:t>).</w:t>
      </w:r>
      <w:r>
        <w:t>“</w:t>
      </w:r>
    </w:p>
    <w:p w14:paraId="7D15F444" w14:textId="2154C450" w:rsidR="00A204BB" w:rsidRDefault="00A204BB">
      <w:r>
        <w:t>“</w:t>
      </w:r>
      <w:commentRangeStart w:id="13"/>
      <w:r w:rsidRPr="00A204BB">
        <w:t>The change in perceived uncertainty is often accompanied by portfolio rebalancing, as investors shift toward safer markets from riskier ones [</w:t>
      </w:r>
      <w:r w:rsidRPr="00A204BB">
        <w:fldChar w:fldCharType="begin"/>
      </w:r>
      <w:r w:rsidRPr="00A204BB">
        <w:instrText>HYPERLINK "https://www.mdpi.com/2227-7390/13/15/2379" \l "B9-mathematics-13-02379" \o ""</w:instrText>
      </w:r>
      <w:r w:rsidRPr="00A204BB">
        <w:fldChar w:fldCharType="separate"/>
      </w:r>
      <w:r w:rsidRPr="00A204BB">
        <w:rPr>
          <w:rStyle w:val="Hyperlink"/>
          <w:b/>
          <w:bCs/>
        </w:rPr>
        <w:t>9</w:t>
      </w:r>
      <w:r w:rsidRPr="00A204BB">
        <w:fldChar w:fldCharType="end"/>
      </w:r>
      <w:commentRangeEnd w:id="13"/>
      <w:r>
        <w:rPr>
          <w:rStyle w:val="CommentReference"/>
        </w:rPr>
        <w:commentReference w:id="13"/>
      </w:r>
      <w:r w:rsidRPr="00A204BB">
        <w:t>]. In general, uncertainty leads to portfolio rebalancing, particularly resulting in a shift from bonds of more vulnerable countries to those of relatively less vulnerable ones. Central bankers and the financial press also note that GPR is associated with investment decisions [</w:t>
      </w:r>
      <w:hyperlink r:id="rId12" w:anchor="B10-mathematics-13-02379" w:history="1">
        <w:r w:rsidRPr="00A204BB">
          <w:rPr>
            <w:rStyle w:val="Hyperlink"/>
            <w:b/>
            <w:bCs/>
          </w:rPr>
          <w:t>10</w:t>
        </w:r>
      </w:hyperlink>
      <w:r w:rsidRPr="00A204BB">
        <w:t>].</w:t>
      </w:r>
      <w:r>
        <w:t xml:space="preserve"> (…)</w:t>
      </w:r>
      <w:r w:rsidRPr="00A204BB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r w:rsidRPr="00A204BB">
        <w:t>Additionally, instability in the geopolitical arena can disrupt trade and economic activity, potentially triggering inflation, stifled growth prospects, and currency devaluation [</w:t>
      </w:r>
      <w:hyperlink r:id="rId13" w:anchor="B13-mathematics-13-02379" w:history="1">
        <w:r w:rsidRPr="00A204BB">
          <w:rPr>
            <w:rStyle w:val="Hyperlink"/>
            <w:b/>
            <w:bCs/>
          </w:rPr>
          <w:t>13</w:t>
        </w:r>
      </w:hyperlink>
      <w:r w:rsidRPr="00A204BB">
        <w:t>]—factors that can reduce the attractiveness of sovereign bonds [</w:t>
      </w:r>
      <w:hyperlink r:id="rId14" w:anchor="B14-mathematics-13-02379" w:history="1">
        <w:r w:rsidRPr="00A204BB">
          <w:rPr>
            <w:rStyle w:val="Hyperlink"/>
            <w:b/>
            <w:bCs/>
          </w:rPr>
          <w:t>14</w:t>
        </w:r>
      </w:hyperlink>
      <w:r w:rsidRPr="00A204BB">
        <w:t xml:space="preserve">]. In response, central banks may implement policy changes, such as adjusting interest rates, which could further impact bond yields. The contagion risk may also spread to </w:t>
      </w:r>
      <w:proofErr w:type="spellStart"/>
      <w:r w:rsidRPr="00A204BB">
        <w:t>neighboring</w:t>
      </w:r>
      <w:proofErr w:type="spellEnd"/>
      <w:r w:rsidRPr="00A204BB">
        <w:t xml:space="preserve"> areas, leading to broader market instability and higher credit risk [</w:t>
      </w:r>
      <w:hyperlink r:id="rId15" w:anchor="B15-mathematics-13-02379" w:history="1">
        <w:r w:rsidRPr="00A204BB">
          <w:rPr>
            <w:rStyle w:val="Hyperlink"/>
            <w:b/>
            <w:bCs/>
          </w:rPr>
          <w:t>15</w:t>
        </w:r>
      </w:hyperlink>
      <w:r w:rsidRPr="00A204BB">
        <w:t>]. In summary, geopolitical risks amplify uncertainty, prompting investors to seek higher returns and leading to shifts in bond prices and yields, particularly in emerging markets.</w:t>
      </w:r>
      <w:r>
        <w:t>”</w:t>
      </w:r>
    </w:p>
    <w:sectPr w:rsidR="00A204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epla, C.T.H. (Corentin)" w:date="2026-01-09T13:13:00Z" w:initials="CL">
    <w:p w14:paraId="7FFFCC6C" w14:textId="77777777" w:rsidR="0030238F" w:rsidRDefault="0030238F" w:rsidP="0030238F">
      <w:pPr>
        <w:pStyle w:val="CommentText"/>
      </w:pPr>
      <w:r>
        <w:rPr>
          <w:rStyle w:val="CommentReference"/>
        </w:rPr>
        <w:annotationRef/>
      </w:r>
      <w:hyperlink r:id="rId1" w:history="1">
        <w:r w:rsidRPr="00B94F37">
          <w:rPr>
            <w:rStyle w:val="Hyperlink"/>
          </w:rPr>
          <w:t>https://www-sciencedirect-com.vu-nl.idm.oclc.org/science/article/pii/S0140988321004503/pdfft?md5=928f816ffcc8823510d70b22fe0d9b0d&amp;pid=1-s2.0-S0140988321004503-main.pdf</w:t>
        </w:r>
      </w:hyperlink>
    </w:p>
  </w:comment>
  <w:comment w:id="1" w:author="Lepla, C.T.H. (Corentin)" w:date="2026-01-09T13:16:00Z" w:initials="CL">
    <w:p w14:paraId="14FD18DB" w14:textId="77777777" w:rsidR="0030238F" w:rsidRDefault="0030238F" w:rsidP="0030238F">
      <w:pPr>
        <w:pStyle w:val="CommentText"/>
      </w:pPr>
      <w:r>
        <w:rPr>
          <w:rStyle w:val="CommentReference"/>
        </w:rPr>
        <w:annotationRef/>
      </w:r>
      <w:hyperlink r:id="rId2" w:history="1">
        <w:r w:rsidRPr="008302A8">
          <w:rPr>
            <w:rStyle w:val="Hyperlink"/>
          </w:rPr>
          <w:t>https://www-scopus-com.vu-nl.idm.oclc.org/inward/record.url?eid=2-s2.0-84925245048&amp;partnerID=10&amp;rel=R3.0.0</w:t>
        </w:r>
      </w:hyperlink>
    </w:p>
  </w:comment>
  <w:comment w:id="2" w:author="Lepla, C.T.H. (Corentin)" w:date="2026-01-09T13:26:00Z" w:initials="CL">
    <w:p w14:paraId="0998D601" w14:textId="77777777" w:rsidR="0008755E" w:rsidRDefault="0008755E" w:rsidP="0008755E">
      <w:pPr>
        <w:pStyle w:val="CommentText"/>
      </w:pPr>
      <w:r>
        <w:rPr>
          <w:rStyle w:val="CommentReference"/>
        </w:rPr>
        <w:annotationRef/>
      </w:r>
      <w:hyperlink r:id="rId3" w:history="1">
        <w:r w:rsidRPr="00270FC4">
          <w:rPr>
            <w:rStyle w:val="Hyperlink"/>
          </w:rPr>
          <w:t>https://www-sciencedirect-com.vu-nl.idm.oclc.org/science/article/pii/S0140988325006711?pes=vor&amp;utm_source=scopus&amp;getft_integrator=scopus#bb0410</w:t>
        </w:r>
      </w:hyperlink>
    </w:p>
  </w:comment>
  <w:comment w:id="13" w:author="Lepla, C.T.H. (Corentin)" w:date="2026-01-09T13:31:00Z" w:initials="CL">
    <w:p w14:paraId="1F105D13" w14:textId="77777777" w:rsidR="00A204BB" w:rsidRDefault="00A204BB" w:rsidP="00A204BB">
      <w:pPr>
        <w:pStyle w:val="CommentText"/>
      </w:pPr>
      <w:r>
        <w:rPr>
          <w:rStyle w:val="CommentReference"/>
        </w:rPr>
        <w:annotationRef/>
      </w:r>
      <w:hyperlink r:id="rId4" w:history="1">
        <w:r w:rsidRPr="009C445A">
          <w:rPr>
            <w:rStyle w:val="Hyperlink"/>
          </w:rPr>
          <w:t>https://www.mdpi.com/2227-7390/13/15/2379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FFCC6C" w15:done="0"/>
  <w15:commentEx w15:paraId="14FD18DB" w15:done="0"/>
  <w15:commentEx w15:paraId="0998D601" w15:done="0"/>
  <w15:commentEx w15:paraId="1F105D1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95AF373" w16cex:dateUtc="2026-01-09T12:13:00Z"/>
  <w16cex:commentExtensible w16cex:durableId="49286910" w16cex:dateUtc="2026-01-09T12:16:00Z"/>
  <w16cex:commentExtensible w16cex:durableId="18D083BF" w16cex:dateUtc="2026-01-09T12:26:00Z"/>
  <w16cex:commentExtensible w16cex:durableId="3A640D19" w16cex:dateUtc="2026-01-09T12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FFCC6C" w16cid:durableId="295AF373"/>
  <w16cid:commentId w16cid:paraId="14FD18DB" w16cid:durableId="49286910"/>
  <w16cid:commentId w16cid:paraId="0998D601" w16cid:durableId="18D083BF"/>
  <w16cid:commentId w16cid:paraId="1F105D13" w16cid:durableId="3A640D1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pla, C.T.H. (Corentin)">
    <w15:presenceInfo w15:providerId="AD" w15:userId="S::c.t.h.lepla@student.vu.nl::68f82a9c-6e90-4bd9-a7ba-e37fc3947bf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2F"/>
    <w:rsid w:val="0008755E"/>
    <w:rsid w:val="0030238F"/>
    <w:rsid w:val="004E4686"/>
    <w:rsid w:val="0050249F"/>
    <w:rsid w:val="005D753D"/>
    <w:rsid w:val="009F3998"/>
    <w:rsid w:val="00A204BB"/>
    <w:rsid w:val="00B0382F"/>
    <w:rsid w:val="00B10F6C"/>
    <w:rsid w:val="00C220F9"/>
    <w:rsid w:val="00DB622D"/>
    <w:rsid w:val="00F8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F0C58"/>
  <w15:chartTrackingRefBased/>
  <w15:docId w15:val="{D596433B-EA37-41DD-B56A-3221388A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8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38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038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8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0F6C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023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23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23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23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238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-sciencedirect-com.vu-nl.idm.oclc.org/science/article/pii/S0140988325006711?pes=vor&amp;utm_source=scopus&amp;getft_integrator=scopus#bb0410" TargetMode="External"/><Relationship Id="rId2" Type="http://schemas.openxmlformats.org/officeDocument/2006/relationships/hyperlink" Target="https://www-scopus-com.vu-nl.idm.oclc.org/inward/record.url?eid=2-s2.0-84925245048&amp;partnerID=10&amp;rel=R3.0.0" TargetMode="External"/><Relationship Id="rId1" Type="http://schemas.openxmlformats.org/officeDocument/2006/relationships/hyperlink" Target="https://www-sciencedirect-com.vu-nl.idm.oclc.org/science/article/pii/S0140988321004503/pdfft?md5=928f816ffcc8823510d70b22fe0d9b0d&amp;pid=1-s2.0-S0140988321004503-main.pdf" TargetMode="External"/><Relationship Id="rId4" Type="http://schemas.openxmlformats.org/officeDocument/2006/relationships/hyperlink" Target="https://www.mdpi.com/2227-7390/13/15/2379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mdpi.com/2227-7390/13/15/2379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-sciencedirect-com.vu-nl.idm.oclc.org/science/article/pii/S0140988325006711?pes=vor&amp;utm_source=scopus&amp;getft_integrator=scopus" TargetMode="External"/><Relationship Id="rId12" Type="http://schemas.openxmlformats.org/officeDocument/2006/relationships/hyperlink" Target="https://www.mdpi.com/2227-7390/13/15/2379" TargetMode="Externa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sciencedirect.com/science/article/pii/S1544612317300600?casa_token=w31P4cfUTX0AAAAA:97Urx8DpK90guFGrN9tDTF6bZZnqewkUzI5-sa4R8HT4Nw5D_yualNd37M55GdHGX3hhWI48tlY" TargetMode="External"/><Relationship Id="rId11" Type="http://schemas.microsoft.com/office/2018/08/relationships/commentsExtensible" Target="commentsExtensible.xml"/><Relationship Id="rId5" Type="http://schemas.openxmlformats.org/officeDocument/2006/relationships/hyperlink" Target="https://www-proquest-com.vu-nl.idm.oclc.org/openview/34dd8de4e77ffb7a51aeba6990452861/1?cbl=2035679&amp;parentSessionId=j7GmmO8vBXm5KOqV0wMVLkh1BsmJpkJYgDlkl2rardk%3D&amp;pq-origsite=gscholar&amp;accountid=10978" TargetMode="External"/><Relationship Id="rId15" Type="http://schemas.openxmlformats.org/officeDocument/2006/relationships/hyperlink" Target="https://www.mdpi.com/2227-7390/13/15/2379" TargetMode="External"/><Relationship Id="rId10" Type="http://schemas.microsoft.com/office/2016/09/relationships/commentsIds" Target="commentsIds.xml"/><Relationship Id="rId4" Type="http://schemas.openxmlformats.org/officeDocument/2006/relationships/hyperlink" Target="https://people.stern.nyu.edu/sternfin/vacharya/public_html/measuring_and_regulating_systemic_risk-1.pdf" TargetMode="External"/><Relationship Id="rId9" Type="http://schemas.microsoft.com/office/2011/relationships/commentsExtended" Target="commentsExtended.xml"/><Relationship Id="rId14" Type="http://schemas.openxmlformats.org/officeDocument/2006/relationships/hyperlink" Target="https://www.mdpi.com/2227-7390/13/15/23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938</TotalTime>
  <Pages>2</Pages>
  <Words>1069</Words>
  <Characters>6096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Lepla, C.T.H. (Corentin)</dc:creator>
  <cp:keywords/>
  <dc:description/>
  <cp:lastModifiedBy>Lepla, C.T.H. (Corentin)</cp:lastModifiedBy>
  <cp:revision>2</cp:revision>
  <dcterms:created xsi:type="dcterms:W3CDTF">2026-01-08T13:16:00Z</dcterms:created>
  <dcterms:modified xsi:type="dcterms:W3CDTF">2026-01-09T18:59:00Z</dcterms:modified>
</cp:coreProperties>
</file>