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68"/>
        </w:rPr>
        <w:t>WCF with C#</w:t>
      </w:r>
    </w:p>
    <w:p>
      <w:pPr>
        <w:jc w:val="center"/>
      </w:pPr>
      <w:r>
        <w:rPr>
          <w:color w:val="2F5597"/>
          <w:sz w:val="38"/>
        </w:rPr>
        <w:t>Complete Learning and Production Guide</w:t>
      </w:r>
    </w:p>
    <w:p>
      <w:pPr>
        <w:spacing w:before="560"/>
        <w:jc w:val="center"/>
      </w:pPr>
      <w:r>
        <w:rPr>
          <w:sz w:val="22"/>
        </w:rPr>
        <w:t>Beginner-friendly concepts • working example • runtime internals • design decisions • troubleshooting</w:t>
      </w: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 xml:space="preserve">Learning promise  </w:t>
            </w:r>
            <w:r>
              <w:t>Start with zero WCF knowledge and finish able to build, explain, debug, secure, and evaluate a WCF service.</w:t>
            </w:r>
          </w:p>
        </w:tc>
      </w:tr>
    </w:tbl>
    <w:p>
      <w:pPr>
        <w:spacing w:after="0"/>
      </w:pPr>
    </w:p>
    <w:p>
      <w:pPr>
        <w:spacing w:before="2900"/>
        <w:jc w:val="center"/>
      </w:pPr>
      <w:r>
        <w:rPr>
          <w:i/>
        </w:rPr>
        <w:t>Prepared for self-study and interview revision</w:t>
        <w:br/>
        <w:t>August 2026</w:t>
      </w:r>
    </w:p>
    <w:p>
      <w:r>
        <w:br w:type="page"/>
      </w:r>
    </w:p>
    <w:p>
      <w:pPr>
        <w:pStyle w:val="Heading1"/>
      </w:pPr>
      <w:r>
        <w:t>How to Use This Guide</w:t>
      </w:r>
    </w:p>
    <w:p>
      <w:r>
        <w:t>Read Chapters 1–5 in order. Then type the example in Chapter 6. Use Chapters 7–15 as a production and interview reference. The guide distinguishes classic WCF on .NET Framework from CoreWCF on modern .NET.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Stage</w:t>
            </w:r>
          </w:p>
        </w:tc>
        <w:tc>
          <w:tcPr>
            <w:tcW w:type="dxa" w:w="3312"/>
            <w:shd w:fill="2F5597"/>
            <w:tcMar>
              <w:top w:w="90" w:type="dxa"/>
              <w:start w:w="100" w:type="dxa"/>
              <w:bottom w:w="90" w:type="dxa"/>
              <w:end w:w="100" w:type="dxa"/>
            </w:tcMar>
            <w:vAlign w:val="center"/>
          </w:tcPr>
          <w:p>
            <w:r>
              <w:rPr>
                <w:b/>
                <w:color w:val="FFFFFF"/>
              </w:rPr>
              <w:t>Goal</w:t>
            </w:r>
          </w:p>
        </w:tc>
        <w:tc>
          <w:tcPr>
            <w:tcW w:type="dxa" w:w="3312"/>
            <w:shd w:fill="2F5597"/>
            <w:tcMar>
              <w:top w:w="90" w:type="dxa"/>
              <w:start w:w="100" w:type="dxa"/>
              <w:bottom w:w="90" w:type="dxa"/>
              <w:end w:w="100" w:type="dxa"/>
            </w:tcMar>
            <w:vAlign w:val="center"/>
          </w:tcPr>
          <w:p>
            <w:r>
              <w:rPr>
                <w:b/>
                <w:color w:val="FFFFFF"/>
              </w:rPr>
              <w:t>Chapters</w:t>
            </w:r>
          </w:p>
        </w:tc>
      </w:tr>
      <w:tr>
        <w:tc>
          <w:tcPr>
            <w:tcW w:type="dxa" w:w="3312"/>
            <w:tcMar>
              <w:top w:w="90" w:type="dxa"/>
              <w:start w:w="100" w:type="dxa"/>
              <w:bottom w:w="90" w:type="dxa"/>
              <w:end w:w="100" w:type="dxa"/>
            </w:tcMar>
            <w:vAlign w:val="center"/>
          </w:tcPr>
          <w:p>
            <w:r>
              <w:t>Foundation</w:t>
            </w:r>
          </w:p>
        </w:tc>
        <w:tc>
          <w:tcPr>
            <w:tcW w:type="dxa" w:w="3312"/>
            <w:tcMar>
              <w:top w:w="90" w:type="dxa"/>
              <w:start w:w="100" w:type="dxa"/>
              <w:bottom w:w="90" w:type="dxa"/>
              <w:end w:w="100" w:type="dxa"/>
            </w:tcMar>
            <w:vAlign w:val="center"/>
          </w:tcPr>
          <w:p>
            <w:r>
              <w:t>Understand service orientation, contracts, endpoints and messages</w:t>
            </w:r>
          </w:p>
        </w:tc>
        <w:tc>
          <w:tcPr>
            <w:tcW w:type="dxa" w:w="3312"/>
            <w:tcMar>
              <w:top w:w="90" w:type="dxa"/>
              <w:start w:w="100" w:type="dxa"/>
              <w:bottom w:w="90" w:type="dxa"/>
              <w:end w:w="100" w:type="dxa"/>
            </w:tcMar>
            <w:vAlign w:val="center"/>
          </w:tcPr>
          <w:p>
            <w:r>
              <w:t>1–5</w:t>
            </w:r>
          </w:p>
        </w:tc>
      </w:tr>
      <w:tr>
        <w:tc>
          <w:tcPr>
            <w:tcW w:type="dxa" w:w="3312"/>
            <w:tcMar>
              <w:top w:w="90" w:type="dxa"/>
              <w:start w:w="100" w:type="dxa"/>
              <w:bottom w:w="90" w:type="dxa"/>
              <w:end w:w="100" w:type="dxa"/>
            </w:tcMar>
            <w:vAlign w:val="center"/>
            <w:shd w:fill="F3F6FA"/>
          </w:tcPr>
          <w:p>
            <w:r>
              <w:t>Hands-on</w:t>
            </w:r>
          </w:p>
        </w:tc>
        <w:tc>
          <w:tcPr>
            <w:tcW w:type="dxa" w:w="3312"/>
            <w:tcMar>
              <w:top w:w="90" w:type="dxa"/>
              <w:start w:w="100" w:type="dxa"/>
              <w:bottom w:w="90" w:type="dxa"/>
              <w:end w:w="100" w:type="dxa"/>
            </w:tcMar>
            <w:vAlign w:val="center"/>
            <w:shd w:fill="F3F6FA"/>
          </w:tcPr>
          <w:p>
            <w:r>
              <w:t>Run a small service and client, then inspect the wire behavior</w:t>
            </w:r>
          </w:p>
        </w:tc>
        <w:tc>
          <w:tcPr>
            <w:tcW w:type="dxa" w:w="3312"/>
            <w:tcMar>
              <w:top w:w="90" w:type="dxa"/>
              <w:start w:w="100" w:type="dxa"/>
              <w:bottom w:w="90" w:type="dxa"/>
              <w:end w:w="100" w:type="dxa"/>
            </w:tcMar>
            <w:vAlign w:val="center"/>
            <w:shd w:fill="F3F6FA"/>
          </w:tcPr>
          <w:p>
            <w:r>
              <w:t>6–7</w:t>
            </w:r>
          </w:p>
        </w:tc>
      </w:tr>
      <w:tr>
        <w:tc>
          <w:tcPr>
            <w:tcW w:type="dxa" w:w="3312"/>
            <w:tcMar>
              <w:top w:w="90" w:type="dxa"/>
              <w:start w:w="100" w:type="dxa"/>
              <w:bottom w:w="90" w:type="dxa"/>
              <w:end w:w="100" w:type="dxa"/>
            </w:tcMar>
            <w:vAlign w:val="center"/>
          </w:tcPr>
          <w:p>
            <w:r>
              <w:t>Engineering</w:t>
            </w:r>
          </w:p>
        </w:tc>
        <w:tc>
          <w:tcPr>
            <w:tcW w:type="dxa" w:w="3312"/>
            <w:tcMar>
              <w:top w:w="90" w:type="dxa"/>
              <w:start w:w="100" w:type="dxa"/>
              <w:bottom w:w="90" w:type="dxa"/>
              <w:end w:w="100" w:type="dxa"/>
            </w:tcMar>
            <w:vAlign w:val="center"/>
          </w:tcPr>
          <w:p>
            <w:r>
              <w:t>Configuration, errors, concurrency, security and observability</w:t>
            </w:r>
          </w:p>
        </w:tc>
        <w:tc>
          <w:tcPr>
            <w:tcW w:type="dxa" w:w="3312"/>
            <w:tcMar>
              <w:top w:w="90" w:type="dxa"/>
              <w:start w:w="100" w:type="dxa"/>
              <w:bottom w:w="90" w:type="dxa"/>
              <w:end w:w="100" w:type="dxa"/>
            </w:tcMar>
            <w:vAlign w:val="center"/>
          </w:tcPr>
          <w:p>
            <w:r>
              <w:t>8–12</w:t>
            </w:r>
          </w:p>
        </w:tc>
      </w:tr>
      <w:tr>
        <w:tc>
          <w:tcPr>
            <w:tcW w:type="dxa" w:w="3312"/>
            <w:tcMar>
              <w:top w:w="90" w:type="dxa"/>
              <w:start w:w="100" w:type="dxa"/>
              <w:bottom w:w="90" w:type="dxa"/>
              <w:end w:w="100" w:type="dxa"/>
            </w:tcMar>
            <w:vAlign w:val="center"/>
            <w:shd w:fill="F3F6FA"/>
          </w:tcPr>
          <w:p>
            <w:r>
              <w:t>Judgment</w:t>
            </w:r>
          </w:p>
        </w:tc>
        <w:tc>
          <w:tcPr>
            <w:tcW w:type="dxa" w:w="3312"/>
            <w:tcMar>
              <w:top w:w="90" w:type="dxa"/>
              <w:start w:w="100" w:type="dxa"/>
              <w:bottom w:w="90" w:type="dxa"/>
              <w:end w:w="100" w:type="dxa"/>
            </w:tcMar>
            <w:vAlign w:val="center"/>
            <w:shd w:fill="F3F6FA"/>
          </w:tcPr>
          <w:p>
            <w:r>
              <w:t>When to use, when not to use, trade-offs and migration</w:t>
            </w:r>
          </w:p>
        </w:tc>
        <w:tc>
          <w:tcPr>
            <w:tcW w:type="dxa" w:w="3312"/>
            <w:tcMar>
              <w:top w:w="90" w:type="dxa"/>
              <w:start w:w="100" w:type="dxa"/>
              <w:bottom w:w="90" w:type="dxa"/>
              <w:end w:w="100" w:type="dxa"/>
            </w:tcMar>
            <w:vAlign w:val="center"/>
            <w:shd w:fill="F3F6FA"/>
          </w:tcPr>
          <w:p>
            <w:r>
              <w:t>13–15</w:t>
            </w:r>
          </w:p>
        </w:tc>
      </w:tr>
      <w:tr>
        <w:tc>
          <w:tcPr>
            <w:tcW w:type="dxa" w:w="3312"/>
            <w:tcMar>
              <w:top w:w="90" w:type="dxa"/>
              <w:start w:w="100" w:type="dxa"/>
              <w:bottom w:w="90" w:type="dxa"/>
              <w:end w:w="100" w:type="dxa"/>
            </w:tcMar>
            <w:vAlign w:val="center"/>
          </w:tcPr>
          <w:p>
            <w:r>
              <w:t>Practice</w:t>
            </w:r>
          </w:p>
        </w:tc>
        <w:tc>
          <w:tcPr>
            <w:tcW w:type="dxa" w:w="3312"/>
            <w:tcMar>
              <w:top w:w="90" w:type="dxa"/>
              <w:start w:w="100" w:type="dxa"/>
              <w:bottom w:w="90" w:type="dxa"/>
              <w:end w:w="100" w:type="dxa"/>
            </w:tcMar>
            <w:vAlign w:val="center"/>
          </w:tcPr>
          <w:p>
            <w:r>
              <w:t>Interview questions, exercises, checklists and glossary</w:t>
            </w:r>
          </w:p>
        </w:tc>
        <w:tc>
          <w:tcPr>
            <w:tcW w:type="dxa" w:w="3312"/>
            <w:tcMar>
              <w:top w:w="90" w:type="dxa"/>
              <w:start w:w="100" w:type="dxa"/>
              <w:bottom w:w="90" w:type="dxa"/>
              <w:end w:w="100" w:type="dxa"/>
            </w:tcMar>
            <w:vAlign w:val="center"/>
          </w:tcPr>
          <w:p>
            <w:r>
              <w:t>16–19</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FCE4D6"/>
            <w:tcMar>
              <w:top w:w="130" w:type="dxa"/>
              <w:start w:w="150" w:type="dxa"/>
              <w:bottom w:w="130" w:type="dxa"/>
              <w:end w:w="150" w:type="dxa"/>
            </w:tcMar>
          </w:tcPr>
          <w:p>
            <w:r>
              <w:rPr>
                <w:b/>
                <w:color w:val="17365D"/>
              </w:rPr>
              <w:t xml:space="preserve">Important platform note  </w:t>
            </w:r>
            <w:r>
              <w:t>Classic WCF server technology belongs primarily to .NET Framework. Modern .NET includes WCF client libraries, while CoreWCF provides a community-led, Microsoft-supported migration path for many server scenarios. Do not assume every classic WCF feature exists in CoreWCF.</w:t>
            </w:r>
          </w:p>
        </w:tc>
      </w:tr>
    </w:tbl>
    <w:p>
      <w:pPr>
        <w:spacing w:after="0"/>
      </w:pPr>
    </w:p>
    <w:p>
      <w:pPr>
        <w:pStyle w:val="Heading1"/>
      </w:pPr>
      <w:r>
        <w:t>Contents</w:t>
      </w:r>
    </w:p>
    <w:p>
      <w:pPr>
        <w:pStyle w:val="ListNumber"/>
      </w:pPr>
      <w:r>
        <w:t>1. WCF in Plain English</w:t>
      </w:r>
    </w:p>
    <w:p>
      <w:pPr>
        <w:pStyle w:val="ListNumber"/>
      </w:pPr>
      <w:r>
        <w:t>2. The Mental Model: ABC and Contracts</w:t>
      </w:r>
    </w:p>
    <w:p>
      <w:pPr>
        <w:pStyle w:val="ListNumber"/>
      </w:pPr>
      <w:r>
        <w:t>3. Service-Oriented Concepts</w:t>
      </w:r>
    </w:p>
    <w:p>
      <w:pPr>
        <w:pStyle w:val="ListNumber"/>
      </w:pPr>
      <w:r>
        <w:t>4. Bindings and Transports</w:t>
      </w:r>
    </w:p>
    <w:p>
      <w:pPr>
        <w:pStyle w:val="ListNumber"/>
      </w:pPr>
      <w:r>
        <w:t>5. End-to-End Request Lifecycle</w:t>
      </w:r>
    </w:p>
    <w:p>
      <w:pPr>
        <w:pStyle w:val="ListNumber"/>
      </w:pPr>
      <w:r>
        <w:t>6. Small Working Implementation</w:t>
      </w:r>
    </w:p>
    <w:p>
      <w:pPr>
        <w:pStyle w:val="ListNumber"/>
      </w:pPr>
      <w:r>
        <w:t>7. What Happens Internally</w:t>
      </w:r>
    </w:p>
    <w:p>
      <w:pPr>
        <w:pStyle w:val="ListNumber"/>
      </w:pPr>
      <w:r>
        <w:t>8. Configuration and Hosting</w:t>
      </w:r>
    </w:p>
    <w:p>
      <w:pPr>
        <w:pStyle w:val="ListNumber"/>
      </w:pPr>
      <w:r>
        <w:t>9. Serialization, Versioning and Faults</w:t>
      </w:r>
    </w:p>
    <w:p>
      <w:pPr>
        <w:pStyle w:val="ListNumber"/>
      </w:pPr>
      <w:r>
        <w:t>10. Instance Management, Concurrency and Sessions</w:t>
      </w:r>
    </w:p>
    <w:p>
      <w:pPr>
        <w:pStyle w:val="ListNumber"/>
      </w:pPr>
      <w:r>
        <w:t>11. Security</w:t>
      </w:r>
    </w:p>
    <w:p>
      <w:pPr>
        <w:pStyle w:val="ListNumber"/>
      </w:pPr>
      <w:r>
        <w:t>12. Reliability, Performance and Observability</w:t>
      </w:r>
    </w:p>
    <w:p>
      <w:pPr>
        <w:pStyle w:val="ListNumber"/>
      </w:pPr>
      <w:r>
        <w:t>13. When to Use and When Not to Use WCF</w:t>
      </w:r>
    </w:p>
    <w:p>
      <w:pPr>
        <w:pStyle w:val="ListNumber"/>
      </w:pPr>
      <w:r>
        <w:t>14. Production Incident Walkthroughs</w:t>
      </w:r>
    </w:p>
    <w:p>
      <w:pPr>
        <w:pStyle w:val="ListNumber"/>
      </w:pPr>
      <w:r>
        <w:t>15. Trade-offs and Alternatives</w:t>
      </w:r>
    </w:p>
    <w:p>
      <w:pPr>
        <w:pStyle w:val="ListNumber"/>
      </w:pPr>
      <w:r>
        <w:t>16. Testing and Deployment</w:t>
      </w:r>
    </w:p>
    <w:p>
      <w:pPr>
        <w:pStyle w:val="ListNumber"/>
      </w:pPr>
      <w:r>
        <w:t>17. Interview Questions</w:t>
      </w:r>
    </w:p>
    <w:p>
      <w:pPr>
        <w:pStyle w:val="ListNumber"/>
      </w:pPr>
      <w:r>
        <w:t>18. Learning Exercises and Cheat Sheets</w:t>
      </w:r>
    </w:p>
    <w:p>
      <w:pPr>
        <w:pStyle w:val="ListNumber"/>
      </w:pPr>
      <w:r>
        <w:t>19. Glossary and References</w:t>
      </w:r>
    </w:p>
    <w:p>
      <w:r>
        <w:br w:type="page"/>
      </w:r>
    </w:p>
    <w:p>
      <w:pPr>
        <w:pStyle w:val="Heading1"/>
      </w:pPr>
      <w:r>
        <w:t>1. WCF in Plain English</w:t>
      </w:r>
    </w:p>
    <w:p>
      <w:r>
        <w:t>Windows Communication Foundation (WCF) is a framework for building distributed applications where one process calls operations exposed by another process. It gives you a unified programming model for SOAP services, message-based communication, multiple transports, security modes, reliability options, transactions and interoperability.</w:t>
      </w:r>
    </w:p>
    <w:tbl>
      <w:tblPr>
        <w:tblW w:type="auto" w:w="0"/>
        <w:jc w:val="center"/>
        <w:tblLayout w:type="autofit"/>
        <w:tblLook w:firstColumn="1" w:firstRow="1" w:lastColumn="0" w:lastRow="0" w:noHBand="0" w:noVBand="1" w:val="04A0"/>
      </w:tblPr>
      <w:tblGrid>
        <w:gridCol w:w="9936"/>
      </w:tblGrid>
      <w:tr>
        <w:tc>
          <w:tcPr>
            <w:tcW w:type="dxa" w:w="9936"/>
            <w:shd w:fill="EAF2F8"/>
            <w:tcMar>
              <w:top w:w="130" w:type="dxa"/>
              <w:start w:w="150" w:type="dxa"/>
              <w:bottom w:w="130" w:type="dxa"/>
              <w:end w:w="150" w:type="dxa"/>
            </w:tcMar>
          </w:tcPr>
          <w:p>
            <w:r>
              <w:rPr>
                <w:b/>
                <w:color w:val="17365D"/>
              </w:rPr>
              <w:t xml:space="preserve">Simple analogy  </w:t>
            </w:r>
            <w:r>
              <w:t>A WCF service is a restaurant. The contract is the menu, the address tells customers where to go, the binding defines how orders are communicated, the host keeps the restaurant open, and messages carry requests and responses.</w:t>
            </w:r>
          </w:p>
        </w:tc>
      </w:tr>
    </w:tbl>
    <w:p>
      <w:pPr>
        <w:spacing w:after="0"/>
      </w:pPr>
    </w:p>
    <w:p>
      <w:pPr>
        <w:pStyle w:val="Heading2"/>
      </w:pPr>
      <w:r>
        <w:t>What problem does it solve?</w:t>
      </w:r>
    </w:p>
    <w:p>
      <w:pPr>
        <w:pStyle w:val="ListBullet"/>
      </w:pPr>
      <w:r>
        <w:t>Define a stable service contract independently of its implementation.</w:t>
      </w:r>
    </w:p>
    <w:p>
      <w:pPr>
        <w:pStyle w:val="ListBullet"/>
      </w:pPr>
      <w:r>
        <w:t>Expose the same service over different protocols, such as HTTP or TCP, with configuration changes.</w:t>
      </w:r>
    </w:p>
    <w:p>
      <w:pPr>
        <w:pStyle w:val="ListBullet"/>
      </w:pPr>
      <w:r>
        <w:t>Translate CLR objects into messages and back through serialization.</w:t>
      </w:r>
    </w:p>
    <w:p>
      <w:pPr>
        <w:pStyle w:val="ListBullet"/>
      </w:pPr>
      <w:r>
        <w:t>Apply cross-cutting behaviors such as authentication, authorization, logging, throttling and error handling.</w:t>
      </w:r>
    </w:p>
    <w:p>
      <w:pPr>
        <w:pStyle w:val="ListBullet"/>
      </w:pPr>
      <w:r>
        <w:t>Integrate enterprise systems that require SOAP, WS-* standards, message security, reliable sessions or distributed transactions.</w:t>
      </w:r>
    </w:p>
    <w:p>
      <w:pPr>
        <w:pStyle w:val="Heading2"/>
      </w:pPr>
      <w:r>
        <w:t>The key vocabulary</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Term</w:t>
            </w:r>
          </w:p>
        </w:tc>
        <w:tc>
          <w:tcPr>
            <w:tcW w:type="dxa" w:w="4968"/>
            <w:shd w:fill="2F5597"/>
            <w:tcMar>
              <w:top w:w="90" w:type="dxa"/>
              <w:start w:w="100" w:type="dxa"/>
              <w:bottom w:w="90" w:type="dxa"/>
              <w:end w:w="100" w:type="dxa"/>
            </w:tcMar>
            <w:vAlign w:val="center"/>
          </w:tcPr>
          <w:p>
            <w:r>
              <w:rPr>
                <w:b/>
                <w:color w:val="FFFFFF"/>
              </w:rPr>
              <w:t>Meaning</w:t>
            </w:r>
          </w:p>
        </w:tc>
      </w:tr>
      <w:tr>
        <w:tc>
          <w:tcPr>
            <w:tcW w:type="dxa" w:w="4968"/>
            <w:tcMar>
              <w:top w:w="90" w:type="dxa"/>
              <w:start w:w="100" w:type="dxa"/>
              <w:bottom w:w="90" w:type="dxa"/>
              <w:end w:w="100" w:type="dxa"/>
            </w:tcMar>
            <w:vAlign w:val="center"/>
          </w:tcPr>
          <w:p>
            <w:r>
              <w:t>Service</w:t>
            </w:r>
          </w:p>
        </w:tc>
        <w:tc>
          <w:tcPr>
            <w:tcW w:type="dxa" w:w="4968"/>
            <w:tcMar>
              <w:top w:w="90" w:type="dxa"/>
              <w:start w:w="100" w:type="dxa"/>
              <w:bottom w:w="90" w:type="dxa"/>
              <w:end w:w="100" w:type="dxa"/>
            </w:tcMar>
            <w:vAlign w:val="center"/>
          </w:tcPr>
          <w:p>
            <w:r>
              <w:t>A running component that exposes operations.</w:t>
            </w:r>
          </w:p>
        </w:tc>
      </w:tr>
      <w:tr>
        <w:tc>
          <w:tcPr>
            <w:tcW w:type="dxa" w:w="4968"/>
            <w:tcMar>
              <w:top w:w="90" w:type="dxa"/>
              <w:start w:w="100" w:type="dxa"/>
              <w:bottom w:w="90" w:type="dxa"/>
              <w:end w:w="100" w:type="dxa"/>
            </w:tcMar>
            <w:vAlign w:val="center"/>
            <w:shd w:fill="F3F6FA"/>
          </w:tcPr>
          <w:p>
            <w:r>
              <w:t>Client</w:t>
            </w:r>
          </w:p>
        </w:tc>
        <w:tc>
          <w:tcPr>
            <w:tcW w:type="dxa" w:w="4968"/>
            <w:tcMar>
              <w:top w:w="90" w:type="dxa"/>
              <w:start w:w="100" w:type="dxa"/>
              <w:bottom w:w="90" w:type="dxa"/>
              <w:end w:w="100" w:type="dxa"/>
            </w:tcMar>
            <w:vAlign w:val="center"/>
            <w:shd w:fill="F3F6FA"/>
          </w:tcPr>
          <w:p>
            <w:r>
              <w:t>Code that sends requests to a service endpoint.</w:t>
            </w:r>
          </w:p>
        </w:tc>
      </w:tr>
      <w:tr>
        <w:tc>
          <w:tcPr>
            <w:tcW w:type="dxa" w:w="4968"/>
            <w:tcMar>
              <w:top w:w="90" w:type="dxa"/>
              <w:start w:w="100" w:type="dxa"/>
              <w:bottom w:w="90" w:type="dxa"/>
              <w:end w:w="100" w:type="dxa"/>
            </w:tcMar>
            <w:vAlign w:val="center"/>
          </w:tcPr>
          <w:p>
            <w:r>
              <w:t>Contract</w:t>
            </w:r>
          </w:p>
        </w:tc>
        <w:tc>
          <w:tcPr>
            <w:tcW w:type="dxa" w:w="4968"/>
            <w:tcMar>
              <w:top w:w="90" w:type="dxa"/>
              <w:start w:w="100" w:type="dxa"/>
              <w:bottom w:w="90" w:type="dxa"/>
              <w:end w:w="100" w:type="dxa"/>
            </w:tcMar>
            <w:vAlign w:val="center"/>
          </w:tcPr>
          <w:p>
            <w:r>
              <w:t>The public agreement: operations and data shapes.</w:t>
            </w:r>
          </w:p>
        </w:tc>
      </w:tr>
      <w:tr>
        <w:tc>
          <w:tcPr>
            <w:tcW w:type="dxa" w:w="4968"/>
            <w:tcMar>
              <w:top w:w="90" w:type="dxa"/>
              <w:start w:w="100" w:type="dxa"/>
              <w:bottom w:w="90" w:type="dxa"/>
              <w:end w:w="100" w:type="dxa"/>
            </w:tcMar>
            <w:vAlign w:val="center"/>
            <w:shd w:fill="F3F6FA"/>
          </w:tcPr>
          <w:p>
            <w:r>
              <w:t>Endpoint</w:t>
            </w:r>
          </w:p>
        </w:tc>
        <w:tc>
          <w:tcPr>
            <w:tcW w:type="dxa" w:w="4968"/>
            <w:tcMar>
              <w:top w:w="90" w:type="dxa"/>
              <w:start w:w="100" w:type="dxa"/>
              <w:bottom w:w="90" w:type="dxa"/>
              <w:end w:w="100" w:type="dxa"/>
            </w:tcMar>
            <w:vAlign w:val="center"/>
            <w:shd w:fill="F3F6FA"/>
          </w:tcPr>
          <w:p>
            <w:r>
              <w:t>Address + binding + contract.</w:t>
            </w:r>
          </w:p>
        </w:tc>
      </w:tr>
      <w:tr>
        <w:tc>
          <w:tcPr>
            <w:tcW w:type="dxa" w:w="4968"/>
            <w:tcMar>
              <w:top w:w="90" w:type="dxa"/>
              <w:start w:w="100" w:type="dxa"/>
              <w:bottom w:w="90" w:type="dxa"/>
              <w:end w:w="100" w:type="dxa"/>
            </w:tcMar>
            <w:vAlign w:val="center"/>
          </w:tcPr>
          <w:p>
            <w:r>
              <w:t>Binding</w:t>
            </w:r>
          </w:p>
        </w:tc>
        <w:tc>
          <w:tcPr>
            <w:tcW w:type="dxa" w:w="4968"/>
            <w:tcMar>
              <w:top w:w="90" w:type="dxa"/>
              <w:start w:w="100" w:type="dxa"/>
              <w:bottom w:w="90" w:type="dxa"/>
              <w:end w:w="100" w:type="dxa"/>
            </w:tcMar>
            <w:vAlign w:val="center"/>
          </w:tcPr>
          <w:p>
            <w:r>
              <w:t>Transport, encoding, security and protocol behavior.</w:t>
            </w:r>
          </w:p>
        </w:tc>
      </w:tr>
      <w:tr>
        <w:tc>
          <w:tcPr>
            <w:tcW w:type="dxa" w:w="4968"/>
            <w:tcMar>
              <w:top w:w="90" w:type="dxa"/>
              <w:start w:w="100" w:type="dxa"/>
              <w:bottom w:w="90" w:type="dxa"/>
              <w:end w:w="100" w:type="dxa"/>
            </w:tcMar>
            <w:vAlign w:val="center"/>
            <w:shd w:fill="F3F6FA"/>
          </w:tcPr>
          <w:p>
            <w:r>
              <w:t>Message</w:t>
            </w:r>
          </w:p>
        </w:tc>
        <w:tc>
          <w:tcPr>
            <w:tcW w:type="dxa" w:w="4968"/>
            <w:tcMar>
              <w:top w:w="90" w:type="dxa"/>
              <w:start w:w="100" w:type="dxa"/>
              <w:bottom w:w="90" w:type="dxa"/>
              <w:end w:w="100" w:type="dxa"/>
            </w:tcMar>
            <w:vAlign w:val="center"/>
            <w:shd w:fill="F3F6FA"/>
          </w:tcPr>
          <w:p>
            <w:r>
              <w:t>The request or response envelope traveling over the wire.</w:t>
            </w:r>
          </w:p>
        </w:tc>
      </w:tr>
      <w:tr>
        <w:tc>
          <w:tcPr>
            <w:tcW w:type="dxa" w:w="4968"/>
            <w:tcMar>
              <w:top w:w="90" w:type="dxa"/>
              <w:start w:w="100" w:type="dxa"/>
              <w:bottom w:w="90" w:type="dxa"/>
              <w:end w:w="100" w:type="dxa"/>
            </w:tcMar>
            <w:vAlign w:val="center"/>
          </w:tcPr>
          <w:p>
            <w:r>
              <w:t>Host</w:t>
            </w:r>
          </w:p>
        </w:tc>
        <w:tc>
          <w:tcPr>
            <w:tcW w:type="dxa" w:w="4968"/>
            <w:tcMar>
              <w:top w:w="90" w:type="dxa"/>
              <w:start w:w="100" w:type="dxa"/>
              <w:bottom w:w="90" w:type="dxa"/>
              <w:end w:w="100" w:type="dxa"/>
            </w:tcMar>
            <w:vAlign w:val="center"/>
          </w:tcPr>
          <w:p>
            <w:r>
              <w:t>The process that creates and keeps the service alive.</w:t>
            </w:r>
          </w:p>
        </w:tc>
      </w:tr>
      <w:tr>
        <w:tc>
          <w:tcPr>
            <w:tcW w:type="dxa" w:w="4968"/>
            <w:tcMar>
              <w:top w:w="90" w:type="dxa"/>
              <w:start w:w="100" w:type="dxa"/>
              <w:bottom w:w="90" w:type="dxa"/>
              <w:end w:w="100" w:type="dxa"/>
            </w:tcMar>
            <w:vAlign w:val="center"/>
            <w:shd w:fill="F3F6FA"/>
          </w:tcPr>
          <w:p>
            <w:r>
              <w:t>Proxy / channel</w:t>
            </w:r>
          </w:p>
        </w:tc>
        <w:tc>
          <w:tcPr>
            <w:tcW w:type="dxa" w:w="4968"/>
            <w:tcMar>
              <w:top w:w="90" w:type="dxa"/>
              <w:start w:w="100" w:type="dxa"/>
              <w:bottom w:w="90" w:type="dxa"/>
              <w:end w:w="100" w:type="dxa"/>
            </w:tcMar>
            <w:vAlign w:val="center"/>
            <w:shd w:fill="F3F6FA"/>
          </w:tcPr>
          <w:p>
            <w:r>
              <w:t>The client-side object that converts method calls into messages.</w:t>
            </w:r>
          </w:p>
        </w:tc>
      </w:tr>
    </w:tbl>
    <w:p>
      <w:pPr>
        <w:spacing w:after="20"/>
      </w:pPr>
    </w:p>
    <w:p>
      <w:pPr>
        <w:pStyle w:val="Heading1"/>
      </w:pPr>
      <w:r>
        <w:t>2. The Mental Model: ABC and Contracts</w:t>
      </w:r>
    </w:p>
    <w:p>
      <w:pPr>
        <w:pStyle w:val="Heading2"/>
      </w:pPr>
      <w:r>
        <w:t>ABC: Address, Binding, Contract</w:t>
      </w:r>
    </w:p>
    <w:p>
      <w:r>
        <w:t>Every callable WCF endpoint answers three questions: Where is it? How do we communicate? What can we call?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Part</w:t>
            </w:r>
          </w:p>
        </w:tc>
        <w:tc>
          <w:tcPr>
            <w:tcW w:type="dxa" w:w="3312"/>
            <w:shd w:fill="2F5597"/>
            <w:tcMar>
              <w:top w:w="90" w:type="dxa"/>
              <w:start w:w="100" w:type="dxa"/>
              <w:bottom w:w="90" w:type="dxa"/>
              <w:end w:w="100" w:type="dxa"/>
            </w:tcMar>
            <w:vAlign w:val="center"/>
          </w:tcPr>
          <w:p>
            <w:r>
              <w:rPr>
                <w:b/>
                <w:color w:val="FFFFFF"/>
              </w:rPr>
              <w:t>Question</w:t>
            </w:r>
          </w:p>
        </w:tc>
        <w:tc>
          <w:tcPr>
            <w:tcW w:type="dxa" w:w="3312"/>
            <w:shd w:fill="2F5597"/>
            <w:tcMar>
              <w:top w:w="90" w:type="dxa"/>
              <w:start w:w="100" w:type="dxa"/>
              <w:bottom w:w="90" w:type="dxa"/>
              <w:end w:w="100" w:type="dxa"/>
            </w:tcMar>
            <w:vAlign w:val="center"/>
          </w:tcPr>
          <w:p>
            <w:r>
              <w:rPr>
                <w:b/>
                <w:color w:val="FFFFFF"/>
              </w:rPr>
              <w:t>Example</w:t>
            </w:r>
          </w:p>
        </w:tc>
      </w:tr>
      <w:tr>
        <w:tc>
          <w:tcPr>
            <w:tcW w:type="dxa" w:w="3312"/>
            <w:tcMar>
              <w:top w:w="90" w:type="dxa"/>
              <w:start w:w="100" w:type="dxa"/>
              <w:bottom w:w="90" w:type="dxa"/>
              <w:end w:w="100" w:type="dxa"/>
            </w:tcMar>
            <w:vAlign w:val="center"/>
          </w:tcPr>
          <w:p>
            <w:r>
              <w:t>Address</w:t>
            </w:r>
          </w:p>
        </w:tc>
        <w:tc>
          <w:tcPr>
            <w:tcW w:type="dxa" w:w="3312"/>
            <w:tcMar>
              <w:top w:w="90" w:type="dxa"/>
              <w:start w:w="100" w:type="dxa"/>
              <w:bottom w:w="90" w:type="dxa"/>
              <w:end w:w="100" w:type="dxa"/>
            </w:tcMar>
            <w:vAlign w:val="center"/>
          </w:tcPr>
          <w:p>
            <w:r>
              <w:t>Where?</w:t>
            </w:r>
          </w:p>
        </w:tc>
        <w:tc>
          <w:tcPr>
            <w:tcW w:type="dxa" w:w="3312"/>
            <w:tcMar>
              <w:top w:w="90" w:type="dxa"/>
              <w:start w:w="100" w:type="dxa"/>
              <w:bottom w:w="90" w:type="dxa"/>
              <w:end w:w="100" w:type="dxa"/>
            </w:tcMar>
            <w:vAlign w:val="center"/>
          </w:tcPr>
          <w:p>
            <w:r>
              <w:t>http://localhost:8080/calculator</w:t>
            </w:r>
          </w:p>
        </w:tc>
      </w:tr>
      <w:tr>
        <w:tc>
          <w:tcPr>
            <w:tcW w:type="dxa" w:w="3312"/>
            <w:tcMar>
              <w:top w:w="90" w:type="dxa"/>
              <w:start w:w="100" w:type="dxa"/>
              <w:bottom w:w="90" w:type="dxa"/>
              <w:end w:w="100" w:type="dxa"/>
            </w:tcMar>
            <w:vAlign w:val="center"/>
            <w:shd w:fill="F3F6FA"/>
          </w:tcPr>
          <w:p>
            <w:r>
              <w:t>Binding</w:t>
            </w:r>
          </w:p>
        </w:tc>
        <w:tc>
          <w:tcPr>
            <w:tcW w:type="dxa" w:w="3312"/>
            <w:tcMar>
              <w:top w:w="90" w:type="dxa"/>
              <w:start w:w="100" w:type="dxa"/>
              <w:bottom w:w="90" w:type="dxa"/>
              <w:end w:w="100" w:type="dxa"/>
            </w:tcMar>
            <w:vAlign w:val="center"/>
            <w:shd w:fill="F3F6FA"/>
          </w:tcPr>
          <w:p>
            <w:r>
              <w:t>How?</w:t>
            </w:r>
          </w:p>
        </w:tc>
        <w:tc>
          <w:tcPr>
            <w:tcW w:type="dxa" w:w="3312"/>
            <w:tcMar>
              <w:top w:w="90" w:type="dxa"/>
              <w:start w:w="100" w:type="dxa"/>
              <w:bottom w:w="90" w:type="dxa"/>
              <w:end w:w="100" w:type="dxa"/>
            </w:tcMar>
            <w:vAlign w:val="center"/>
            <w:shd w:fill="F3F6FA"/>
          </w:tcPr>
          <w:p>
            <w:r>
              <w:t>BasicHttpBinding</w:t>
            </w:r>
          </w:p>
        </w:tc>
      </w:tr>
      <w:tr>
        <w:tc>
          <w:tcPr>
            <w:tcW w:type="dxa" w:w="3312"/>
            <w:tcMar>
              <w:top w:w="90" w:type="dxa"/>
              <w:start w:w="100" w:type="dxa"/>
              <w:bottom w:w="90" w:type="dxa"/>
              <w:end w:w="100" w:type="dxa"/>
            </w:tcMar>
            <w:vAlign w:val="center"/>
          </w:tcPr>
          <w:p>
            <w:r>
              <w:t>Contract</w:t>
            </w:r>
          </w:p>
        </w:tc>
        <w:tc>
          <w:tcPr>
            <w:tcW w:type="dxa" w:w="3312"/>
            <w:tcMar>
              <w:top w:w="90" w:type="dxa"/>
              <w:start w:w="100" w:type="dxa"/>
              <w:bottom w:w="90" w:type="dxa"/>
              <w:end w:w="100" w:type="dxa"/>
            </w:tcMar>
            <w:vAlign w:val="center"/>
          </w:tcPr>
          <w:p>
            <w:r>
              <w:t>What?</w:t>
            </w:r>
          </w:p>
        </w:tc>
        <w:tc>
          <w:tcPr>
            <w:tcW w:type="dxa" w:w="3312"/>
            <w:tcMar>
              <w:top w:w="90" w:type="dxa"/>
              <w:start w:w="100" w:type="dxa"/>
              <w:bottom w:w="90" w:type="dxa"/>
              <w:end w:w="100" w:type="dxa"/>
            </w:tcMar>
            <w:vAlign w:val="center"/>
          </w:tcPr>
          <w:p>
            <w:r>
              <w:t>ICalculator with Add(a, b)</w:t>
            </w:r>
          </w:p>
        </w:tc>
      </w:tr>
    </w:tbl>
    <w:p>
      <w:pPr>
        <w:spacing w:after="20"/>
      </w:pP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 xml:space="preserve">Remember  </w:t>
            </w:r>
            <w:r>
              <w:t>An endpoint is not merely a URL. It is the complete communication agreement: address + binding + contract.</w:t>
            </w:r>
          </w:p>
        </w:tc>
      </w:tr>
    </w:tbl>
    <w:p>
      <w:pPr>
        <w:spacing w:after="0"/>
      </w:pPr>
    </w:p>
    <w:p>
      <w:pPr>
        <w:pStyle w:val="Heading2"/>
      </w:pPr>
      <w:r>
        <w:t>Contract types</w:t>
      </w:r>
    </w:p>
    <w:p>
      <w:pPr>
        <w:pStyle w:val="ListBullet"/>
      </w:pPr>
      <w:r>
        <w:t>Service contract: marks the interface that defines callable operations.</w:t>
      </w:r>
    </w:p>
    <w:p>
      <w:pPr>
        <w:pStyle w:val="ListBullet"/>
      </w:pPr>
      <w:r>
        <w:t>Operation contract: marks each method exposed remotely.</w:t>
      </w:r>
    </w:p>
    <w:p>
      <w:pPr>
        <w:pStyle w:val="ListBullet"/>
      </w:pPr>
      <w:r>
        <w:t>Data contract: defines an explicit serializable data shape.</w:t>
      </w:r>
    </w:p>
    <w:p>
      <w:pPr>
        <w:pStyle w:val="ListBullet"/>
      </w:pPr>
      <w:r>
        <w:t>Fault contract: declares expected business or validation errors.</w:t>
      </w:r>
    </w:p>
    <w:p>
      <w:pPr>
        <w:pStyle w:val="ListBullet"/>
      </w:pPr>
      <w:r>
        <w:t>Message contract: gives low-level control over SOAP headers and body when interoperability requires it.</w:t>
      </w:r>
    </w:p>
    <w:p>
      <w:pPr>
        <w:pStyle w:val="CodeBlock"/>
      </w:pPr>
      <w:r>
        <w:t>[ServiceContract]</w:t>
        <w:br/>
        <w:t>public interface IOrderService</w:t>
        <w:br/>
        <w:t>{</w:t>
        <w:br/>
        <w:t xml:space="preserve">    [OperationContract]</w:t>
        <w:br/>
        <w:t xml:space="preserve">    [FaultContract(typeof(OrderFault))]</w:t>
        <w:br/>
        <w:t xml:space="preserve">    OrderResult PlaceOrder(OrderRequest request);</w:t>
        <w:br/>
        <w:t>}</w:t>
      </w:r>
    </w:p>
    <w:p>
      <w:pPr>
        <w:pStyle w:val="CodeBlock"/>
      </w:pPr>
      <w:r>
        <w:t>[DataContract]</w:t>
        <w:br/>
        <w:t>public class OrderRequest</w:t>
        <w:br/>
        <w:t>{</w:t>
        <w:br/>
        <w:t xml:space="preserve">    [DataMember(Order = 1, IsRequired = true)]</w:t>
        <w:br/>
        <w:t xml:space="preserve">    public string CustomerId { get; set; }</w:t>
      </w:r>
    </w:p>
    <w:p>
      <w:pPr>
        <w:pStyle w:val="CodeBlock"/>
      </w:pPr>
      <w:r>
        <w:t xml:space="preserve">    [DataMember(Order = 2)]</w:t>
        <w:br/>
        <w:t xml:space="preserve">    public decimal Amount { get; set; }</w:t>
        <w:br/>
        <w:t>}</w:t>
      </w:r>
    </w:p>
    <w:p>
      <w:pPr>
        <w:pStyle w:val="Heading2"/>
      </w:pPr>
      <w:r>
        <w:t>Why interfaces matter</w:t>
      </w:r>
    </w:p>
    <w:p>
      <w:r>
        <w:t>Clients should know the contract, not the implementation class. This separation supports generated proxies, test doubles, versioning boundaries, multiple implementations and language interoperability through metadata such as WSDL.</w:t>
      </w:r>
    </w:p>
    <w:p>
      <w:pPr>
        <w:pStyle w:val="Heading1"/>
      </w:pPr>
      <w:r>
        <w:t>3. Service-Oriented Concepts</w:t>
      </w:r>
    </w:p>
    <w:p>
      <w:pPr>
        <w:pStyle w:val="Heading2"/>
      </w:pPr>
      <w:r>
        <w:t>Remote calls are not local calls</w:t>
      </w:r>
    </w:p>
    <w:p>
      <w:r>
        <w:t>A method-like API can hide a network boundary. Across that boundary, latency, partial failure, serialization, identity, timeouts, retries, duplicate delivery and incompatible versions become normal design concerns.</w:t>
      </w:r>
    </w:p>
    <w:p>
      <w:pPr>
        <w:pStyle w:val="ListBullet"/>
      </w:pPr>
      <w:r>
        <w:t>A local call usually completes in microseconds; a remote call can take milliseconds or seconds.</w:t>
      </w:r>
    </w:p>
    <w:p>
      <w:pPr>
        <w:pStyle w:val="ListBullet"/>
      </w:pPr>
      <w:r>
        <w:t>A timeout does not prove the server did nothing. The server may have completed after the client stopped waiting.</w:t>
      </w:r>
    </w:p>
    <w:p>
      <w:pPr>
        <w:pStyle w:val="ListBullet"/>
      </w:pPr>
      <w:r>
        <w:t>Objects are copied as messages. Clients do not receive a live server object graph.</w:t>
      </w:r>
    </w:p>
    <w:p>
      <w:pPr>
        <w:pStyle w:val="ListBullet"/>
      </w:pPr>
      <w:r>
        <w:t>Exceptions should cross the boundary as declared faults, not raw implementation details.</w:t>
      </w:r>
    </w:p>
    <w:p>
      <w:pPr>
        <w:pStyle w:val="ListBullet"/>
      </w:pPr>
      <w:r>
        <w:t>Chatty designs amplify latency. Prefer coarse-grained operations that complete a business capability.</w:t>
      </w:r>
    </w:p>
    <w:p>
      <w:pPr>
        <w:pStyle w:val="Heading2"/>
      </w:pPr>
      <w:r>
        <w:t>Message exchange patterns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Pattern</w:t>
            </w:r>
          </w:p>
        </w:tc>
        <w:tc>
          <w:tcPr>
            <w:tcW w:type="dxa" w:w="3312"/>
            <w:shd w:fill="2F5597"/>
            <w:tcMar>
              <w:top w:w="90" w:type="dxa"/>
              <w:start w:w="100" w:type="dxa"/>
              <w:bottom w:w="90" w:type="dxa"/>
              <w:end w:w="100" w:type="dxa"/>
            </w:tcMar>
            <w:vAlign w:val="center"/>
          </w:tcPr>
          <w:p>
            <w:r>
              <w:rPr>
                <w:b/>
                <w:color w:val="FFFFFF"/>
              </w:rPr>
              <w:t>Behavior</w:t>
            </w:r>
          </w:p>
        </w:tc>
        <w:tc>
          <w:tcPr>
            <w:tcW w:type="dxa" w:w="3312"/>
            <w:shd w:fill="2F5597"/>
            <w:tcMar>
              <w:top w:w="90" w:type="dxa"/>
              <w:start w:w="100" w:type="dxa"/>
              <w:bottom w:w="90" w:type="dxa"/>
              <w:end w:w="100" w:type="dxa"/>
            </w:tcMar>
            <w:vAlign w:val="center"/>
          </w:tcPr>
          <w:p>
            <w:r>
              <w:rPr>
                <w:b/>
                <w:color w:val="FFFFFF"/>
              </w:rPr>
              <w:t>Use</w:t>
            </w:r>
          </w:p>
        </w:tc>
      </w:tr>
      <w:tr>
        <w:tc>
          <w:tcPr>
            <w:tcW w:type="dxa" w:w="3312"/>
            <w:tcMar>
              <w:top w:w="90" w:type="dxa"/>
              <w:start w:w="100" w:type="dxa"/>
              <w:bottom w:w="90" w:type="dxa"/>
              <w:end w:w="100" w:type="dxa"/>
            </w:tcMar>
            <w:vAlign w:val="center"/>
          </w:tcPr>
          <w:p>
            <w:r>
              <w:t>Request/reply</w:t>
            </w:r>
          </w:p>
        </w:tc>
        <w:tc>
          <w:tcPr>
            <w:tcW w:type="dxa" w:w="3312"/>
            <w:tcMar>
              <w:top w:w="90" w:type="dxa"/>
              <w:start w:w="100" w:type="dxa"/>
              <w:bottom w:w="90" w:type="dxa"/>
              <w:end w:w="100" w:type="dxa"/>
            </w:tcMar>
            <w:vAlign w:val="center"/>
          </w:tcPr>
          <w:p>
            <w:r>
              <w:t>Client waits for response</w:t>
            </w:r>
          </w:p>
        </w:tc>
        <w:tc>
          <w:tcPr>
            <w:tcW w:type="dxa" w:w="3312"/>
            <w:tcMar>
              <w:top w:w="90" w:type="dxa"/>
              <w:start w:w="100" w:type="dxa"/>
              <w:bottom w:w="90" w:type="dxa"/>
              <w:end w:w="100" w:type="dxa"/>
            </w:tcMar>
            <w:vAlign w:val="center"/>
          </w:tcPr>
          <w:p>
            <w:r>
              <w:t>Queries and commands needing a result</w:t>
            </w:r>
          </w:p>
        </w:tc>
      </w:tr>
      <w:tr>
        <w:tc>
          <w:tcPr>
            <w:tcW w:type="dxa" w:w="3312"/>
            <w:tcMar>
              <w:top w:w="90" w:type="dxa"/>
              <w:start w:w="100" w:type="dxa"/>
              <w:bottom w:w="90" w:type="dxa"/>
              <w:end w:w="100" w:type="dxa"/>
            </w:tcMar>
            <w:vAlign w:val="center"/>
            <w:shd w:fill="F3F6FA"/>
          </w:tcPr>
          <w:p>
            <w:r>
              <w:t>One-way</w:t>
            </w:r>
          </w:p>
        </w:tc>
        <w:tc>
          <w:tcPr>
            <w:tcW w:type="dxa" w:w="3312"/>
            <w:tcMar>
              <w:top w:w="90" w:type="dxa"/>
              <w:start w:w="100" w:type="dxa"/>
              <w:bottom w:w="90" w:type="dxa"/>
              <w:end w:w="100" w:type="dxa"/>
            </w:tcMar>
            <w:vAlign w:val="center"/>
            <w:shd w:fill="F3F6FA"/>
          </w:tcPr>
          <w:p>
            <w:r>
              <w:t>Client returns after send is accepted</w:t>
            </w:r>
          </w:p>
        </w:tc>
        <w:tc>
          <w:tcPr>
            <w:tcW w:type="dxa" w:w="3312"/>
            <w:tcMar>
              <w:top w:w="90" w:type="dxa"/>
              <w:start w:w="100" w:type="dxa"/>
              <w:bottom w:w="90" w:type="dxa"/>
              <w:end w:w="100" w:type="dxa"/>
            </w:tcMar>
            <w:vAlign w:val="center"/>
            <w:shd w:fill="F3F6FA"/>
          </w:tcPr>
          <w:p>
            <w:r>
              <w:t>Notifications where immediate result is unnecessary</w:t>
            </w:r>
          </w:p>
        </w:tc>
      </w:tr>
      <w:tr>
        <w:tc>
          <w:tcPr>
            <w:tcW w:type="dxa" w:w="3312"/>
            <w:tcMar>
              <w:top w:w="90" w:type="dxa"/>
              <w:start w:w="100" w:type="dxa"/>
              <w:bottom w:w="90" w:type="dxa"/>
              <w:end w:w="100" w:type="dxa"/>
            </w:tcMar>
            <w:vAlign w:val="center"/>
          </w:tcPr>
          <w:p>
            <w:r>
              <w:t>Duplex</w:t>
            </w:r>
          </w:p>
        </w:tc>
        <w:tc>
          <w:tcPr>
            <w:tcW w:type="dxa" w:w="3312"/>
            <w:tcMar>
              <w:top w:w="90" w:type="dxa"/>
              <w:start w:w="100" w:type="dxa"/>
              <w:bottom w:w="90" w:type="dxa"/>
              <w:end w:w="100" w:type="dxa"/>
            </w:tcMar>
            <w:vAlign w:val="center"/>
          </w:tcPr>
          <w:p>
            <w:r>
              <w:t>Service calls back to client</w:t>
            </w:r>
          </w:p>
        </w:tc>
        <w:tc>
          <w:tcPr>
            <w:tcW w:type="dxa" w:w="3312"/>
            <w:tcMar>
              <w:top w:w="90" w:type="dxa"/>
              <w:start w:w="100" w:type="dxa"/>
              <w:bottom w:w="90" w:type="dxa"/>
              <w:end w:w="100" w:type="dxa"/>
            </w:tcMar>
            <w:vAlign w:val="center"/>
          </w:tcPr>
          <w:p>
            <w:r>
              <w:t>Interactive or event-style scenarios; operationally complex</w:t>
            </w:r>
          </w:p>
        </w:tc>
      </w:tr>
    </w:tbl>
    <w:p>
      <w:pPr>
        <w:spacing w:after="20"/>
      </w:pPr>
    </w:p>
    <w:p>
      <w:pPr>
        <w:pStyle w:val="Heading2"/>
      </w:pPr>
      <w:r>
        <w:t>Idempotency</w:t>
      </w:r>
    </w:p>
    <w:p>
      <w:r>
        <w:t>An idempotent operation can be repeated without creating an unintended second effect. For money movement or order creation, use an idempotency key stored with the result. If a client retries after a timeout, the service returns the original result instead of processing twice.</w:t>
      </w:r>
    </w:p>
    <w:p>
      <w:pPr>
        <w:pStyle w:val="Heading1"/>
      </w:pPr>
      <w:r>
        <w:t>4. Bindings and Transports</w:t>
      </w:r>
    </w:p>
    <w:p>
      <w:r>
        <w:t>A binding is a configured stack of binding elements. It selects transport, wire encoding, security, reliability, transactions and session behavior.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Binding</w:t>
            </w:r>
          </w:p>
        </w:tc>
        <w:tc>
          <w:tcPr>
            <w:tcW w:type="dxa" w:w="3312"/>
            <w:shd w:fill="2F5597"/>
            <w:tcMar>
              <w:top w:w="90" w:type="dxa"/>
              <w:start w:w="100" w:type="dxa"/>
              <w:bottom w:w="90" w:type="dxa"/>
              <w:end w:w="100" w:type="dxa"/>
            </w:tcMar>
            <w:vAlign w:val="center"/>
          </w:tcPr>
          <w:p>
            <w:r>
              <w:rPr>
                <w:b/>
                <w:color w:val="FFFFFF"/>
              </w:rPr>
              <w:t>Typical characteristics</w:t>
            </w:r>
          </w:p>
        </w:tc>
        <w:tc>
          <w:tcPr>
            <w:tcW w:type="dxa" w:w="3312"/>
            <w:shd w:fill="2F5597"/>
            <w:tcMar>
              <w:top w:w="90" w:type="dxa"/>
              <w:start w:w="100" w:type="dxa"/>
              <w:bottom w:w="90" w:type="dxa"/>
              <w:end w:w="100" w:type="dxa"/>
            </w:tcMar>
            <w:vAlign w:val="center"/>
          </w:tcPr>
          <w:p>
            <w:r>
              <w:rPr>
                <w:b/>
                <w:color w:val="FFFFFF"/>
              </w:rPr>
              <w:t>Good fit</w:t>
            </w:r>
          </w:p>
        </w:tc>
      </w:tr>
      <w:tr>
        <w:tc>
          <w:tcPr>
            <w:tcW w:type="dxa" w:w="3312"/>
            <w:tcMar>
              <w:top w:w="90" w:type="dxa"/>
              <w:start w:w="100" w:type="dxa"/>
              <w:bottom w:w="90" w:type="dxa"/>
              <w:end w:w="100" w:type="dxa"/>
            </w:tcMar>
            <w:vAlign w:val="center"/>
          </w:tcPr>
          <w:p>
            <w:r>
              <w:t>BasicHttpBinding</w:t>
            </w:r>
          </w:p>
        </w:tc>
        <w:tc>
          <w:tcPr>
            <w:tcW w:type="dxa" w:w="3312"/>
            <w:tcMar>
              <w:top w:w="90" w:type="dxa"/>
              <w:start w:w="100" w:type="dxa"/>
              <w:bottom w:w="90" w:type="dxa"/>
              <w:end w:w="100" w:type="dxa"/>
            </w:tcMar>
            <w:vAlign w:val="center"/>
          </w:tcPr>
          <w:p>
            <w:r>
              <w:t>SOAP 1.1 over HTTP; broad interoperability; simpler WS features</w:t>
            </w:r>
          </w:p>
        </w:tc>
        <w:tc>
          <w:tcPr>
            <w:tcW w:type="dxa" w:w="3312"/>
            <w:tcMar>
              <w:top w:w="90" w:type="dxa"/>
              <w:start w:w="100" w:type="dxa"/>
              <w:bottom w:w="90" w:type="dxa"/>
              <w:end w:w="100" w:type="dxa"/>
            </w:tcMar>
            <w:vAlign w:val="center"/>
          </w:tcPr>
          <w:p>
            <w:r>
              <w:t>Legacy ASMX/Java integration, simple SOAP</w:t>
            </w:r>
          </w:p>
        </w:tc>
      </w:tr>
      <w:tr>
        <w:tc>
          <w:tcPr>
            <w:tcW w:type="dxa" w:w="3312"/>
            <w:tcMar>
              <w:top w:w="90" w:type="dxa"/>
              <w:start w:w="100" w:type="dxa"/>
              <w:bottom w:w="90" w:type="dxa"/>
              <w:end w:w="100" w:type="dxa"/>
            </w:tcMar>
            <w:vAlign w:val="center"/>
            <w:shd w:fill="F3F6FA"/>
          </w:tcPr>
          <w:p>
            <w:r>
              <w:t>WSHttpBinding</w:t>
            </w:r>
          </w:p>
        </w:tc>
        <w:tc>
          <w:tcPr>
            <w:tcW w:type="dxa" w:w="3312"/>
            <w:tcMar>
              <w:top w:w="90" w:type="dxa"/>
              <w:start w:w="100" w:type="dxa"/>
              <w:bottom w:w="90" w:type="dxa"/>
              <w:end w:w="100" w:type="dxa"/>
            </w:tcMar>
            <w:vAlign w:val="center"/>
            <w:shd w:fill="F3F6FA"/>
          </w:tcPr>
          <w:p>
            <w:r>
              <w:t>SOAP with WS-*; message security and reliable-session options</w:t>
            </w:r>
          </w:p>
        </w:tc>
        <w:tc>
          <w:tcPr>
            <w:tcW w:type="dxa" w:w="3312"/>
            <w:tcMar>
              <w:top w:w="90" w:type="dxa"/>
              <w:start w:w="100" w:type="dxa"/>
              <w:bottom w:w="90" w:type="dxa"/>
              <w:end w:w="100" w:type="dxa"/>
            </w:tcMar>
            <w:vAlign w:val="center"/>
            <w:shd w:fill="F3F6FA"/>
          </w:tcPr>
          <w:p>
            <w:r>
              <w:t>Enterprise SOAP over HTTP</w:t>
            </w:r>
          </w:p>
        </w:tc>
      </w:tr>
      <w:tr>
        <w:tc>
          <w:tcPr>
            <w:tcW w:type="dxa" w:w="3312"/>
            <w:tcMar>
              <w:top w:w="90" w:type="dxa"/>
              <w:start w:w="100" w:type="dxa"/>
              <w:bottom w:w="90" w:type="dxa"/>
              <w:end w:w="100" w:type="dxa"/>
            </w:tcMar>
            <w:vAlign w:val="center"/>
          </w:tcPr>
          <w:p>
            <w:r>
              <w:t>NetTcpBinding</w:t>
            </w:r>
          </w:p>
        </w:tc>
        <w:tc>
          <w:tcPr>
            <w:tcW w:type="dxa" w:w="3312"/>
            <w:tcMar>
              <w:top w:w="90" w:type="dxa"/>
              <w:start w:w="100" w:type="dxa"/>
              <w:bottom w:w="90" w:type="dxa"/>
              <w:end w:w="100" w:type="dxa"/>
            </w:tcMar>
            <w:vAlign w:val="center"/>
          </w:tcPr>
          <w:p>
            <w:r>
              <w:t>Binary encoding over TCP; high throughput; WCF-to-WCF</w:t>
            </w:r>
          </w:p>
        </w:tc>
        <w:tc>
          <w:tcPr>
            <w:tcW w:type="dxa" w:w="3312"/>
            <w:tcMar>
              <w:top w:w="90" w:type="dxa"/>
              <w:start w:w="100" w:type="dxa"/>
              <w:bottom w:w="90" w:type="dxa"/>
              <w:end w:w="100" w:type="dxa"/>
            </w:tcMar>
            <w:vAlign w:val="center"/>
          </w:tcPr>
          <w:p>
            <w:r>
              <w:t>Internal Windows/.NET networks</w:t>
            </w:r>
          </w:p>
        </w:tc>
      </w:tr>
      <w:tr>
        <w:tc>
          <w:tcPr>
            <w:tcW w:type="dxa" w:w="3312"/>
            <w:tcMar>
              <w:top w:w="90" w:type="dxa"/>
              <w:start w:w="100" w:type="dxa"/>
              <w:bottom w:w="90" w:type="dxa"/>
              <w:end w:w="100" w:type="dxa"/>
            </w:tcMar>
            <w:vAlign w:val="center"/>
            <w:shd w:fill="F3F6FA"/>
          </w:tcPr>
          <w:p>
            <w:r>
              <w:t>NetNamedPipeBinding</w:t>
            </w:r>
          </w:p>
        </w:tc>
        <w:tc>
          <w:tcPr>
            <w:tcW w:type="dxa" w:w="3312"/>
            <w:tcMar>
              <w:top w:w="90" w:type="dxa"/>
              <w:start w:w="100" w:type="dxa"/>
              <w:bottom w:w="90" w:type="dxa"/>
              <w:end w:w="100" w:type="dxa"/>
            </w:tcMar>
            <w:vAlign w:val="center"/>
            <w:shd w:fill="F3F6FA"/>
          </w:tcPr>
          <w:p>
            <w:r>
              <w:t>Same-machine IPC; fast; no network hop</w:t>
            </w:r>
          </w:p>
        </w:tc>
        <w:tc>
          <w:tcPr>
            <w:tcW w:type="dxa" w:w="3312"/>
            <w:tcMar>
              <w:top w:w="90" w:type="dxa"/>
              <w:start w:w="100" w:type="dxa"/>
              <w:bottom w:w="90" w:type="dxa"/>
              <w:end w:w="100" w:type="dxa"/>
            </w:tcMar>
            <w:vAlign w:val="center"/>
            <w:shd w:fill="F3F6FA"/>
          </w:tcPr>
          <w:p>
            <w:r>
              <w:t>Processes on one Windows machine</w:t>
            </w:r>
          </w:p>
        </w:tc>
      </w:tr>
      <w:tr>
        <w:tc>
          <w:tcPr>
            <w:tcW w:type="dxa" w:w="3312"/>
            <w:tcMar>
              <w:top w:w="90" w:type="dxa"/>
              <w:start w:w="100" w:type="dxa"/>
              <w:bottom w:w="90" w:type="dxa"/>
              <w:end w:w="100" w:type="dxa"/>
            </w:tcMar>
            <w:vAlign w:val="center"/>
          </w:tcPr>
          <w:p>
            <w:r>
              <w:t>WebHttpBinding</w:t>
            </w:r>
          </w:p>
        </w:tc>
        <w:tc>
          <w:tcPr>
            <w:tcW w:type="dxa" w:w="3312"/>
            <w:tcMar>
              <w:top w:w="90" w:type="dxa"/>
              <w:start w:w="100" w:type="dxa"/>
              <w:bottom w:w="90" w:type="dxa"/>
              <w:end w:w="100" w:type="dxa"/>
            </w:tcMar>
            <w:vAlign w:val="center"/>
          </w:tcPr>
          <w:p>
            <w:r>
              <w:t>HTTP-oriented REST-style WCF programming</w:t>
            </w:r>
          </w:p>
        </w:tc>
        <w:tc>
          <w:tcPr>
            <w:tcW w:type="dxa" w:w="3312"/>
            <w:tcMar>
              <w:top w:w="90" w:type="dxa"/>
              <w:start w:w="100" w:type="dxa"/>
              <w:bottom w:w="90" w:type="dxa"/>
              <w:end w:w="100" w:type="dxa"/>
            </w:tcMar>
            <w:vAlign w:val="center"/>
          </w:tcPr>
          <w:p>
            <w:r>
              <w:t>Existing WCF REST endpoints; generally not a first choice for new APIs</w:t>
            </w:r>
          </w:p>
        </w:tc>
      </w:tr>
      <w:tr>
        <w:tc>
          <w:tcPr>
            <w:tcW w:type="dxa" w:w="3312"/>
            <w:tcMar>
              <w:top w:w="90" w:type="dxa"/>
              <w:start w:w="100" w:type="dxa"/>
              <w:bottom w:w="90" w:type="dxa"/>
              <w:end w:w="100" w:type="dxa"/>
            </w:tcMar>
            <w:vAlign w:val="center"/>
            <w:shd w:fill="F3F6FA"/>
          </w:tcPr>
          <w:p>
            <w:r>
              <w:t>CustomBinding</w:t>
            </w:r>
          </w:p>
        </w:tc>
        <w:tc>
          <w:tcPr>
            <w:tcW w:type="dxa" w:w="3312"/>
            <w:tcMar>
              <w:top w:w="90" w:type="dxa"/>
              <w:start w:w="100" w:type="dxa"/>
              <w:bottom w:w="90" w:type="dxa"/>
              <w:end w:w="100" w:type="dxa"/>
            </w:tcMar>
            <w:vAlign w:val="center"/>
            <w:shd w:fill="F3F6FA"/>
          </w:tcPr>
          <w:p>
            <w:r>
              <w:t>Explicit stack composition</w:t>
            </w:r>
          </w:p>
        </w:tc>
        <w:tc>
          <w:tcPr>
            <w:tcW w:type="dxa" w:w="3312"/>
            <w:tcMar>
              <w:top w:w="90" w:type="dxa"/>
              <w:start w:w="100" w:type="dxa"/>
              <w:bottom w:w="90" w:type="dxa"/>
              <w:end w:w="100" w:type="dxa"/>
            </w:tcMar>
            <w:vAlign w:val="center"/>
            <w:shd w:fill="F3F6FA"/>
          </w:tcPr>
          <w:p>
            <w:r>
              <w:t>Special interoperability requirements only</w:t>
            </w:r>
          </w:p>
        </w:tc>
      </w:tr>
    </w:tbl>
    <w:p>
      <w:pPr>
        <w:spacing w:after="20"/>
      </w:pPr>
    </w:p>
    <w:p>
      <w:pPr>
        <w:pStyle w:val="Heading2"/>
      </w:pPr>
      <w:r>
        <w:t>Binding selection questions</w:t>
      </w:r>
    </w:p>
    <w:p>
      <w:pPr>
        <w:pStyle w:val="ListNumber"/>
      </w:pPr>
      <w:r>
        <w:t>Must non-.NET clients interoperate?</w:t>
      </w:r>
    </w:p>
    <w:p>
      <w:pPr>
        <w:pStyle w:val="ListNumber"/>
      </w:pPr>
      <w:r>
        <w:t>Is traffic internet-facing, intranet-only, or same-machine?</w:t>
      </w:r>
    </w:p>
    <w:p>
      <w:pPr>
        <w:pStyle w:val="ListNumber"/>
      </w:pPr>
      <w:r>
        <w:t>Do you need transport security only, or end-to-end message security?</w:t>
      </w:r>
    </w:p>
    <w:p>
      <w:pPr>
        <w:pStyle w:val="ListNumber"/>
      </w:pPr>
      <w:r>
        <w:t>Are reliable sessions or transaction flow mandatory?</w:t>
      </w:r>
    </w:p>
    <w:p>
      <w:pPr>
        <w:pStyle w:val="ListNumber"/>
      </w:pPr>
      <w:r>
        <w:t>What are payload size, throughput and latency targets?</w:t>
      </w:r>
    </w:p>
    <w:p>
      <w:pPr>
        <w:pStyle w:val="ListNumber"/>
      </w:pPr>
      <w:r>
        <w:t>Can operations teams support the required ports, certificates and diagnostics?</w:t>
      </w: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 xml:space="preserve">Rule of thumb  </w:t>
            </w:r>
            <w:r>
              <w:t>Choose the simplest binding that satisfies verified requirements. Every advanced feature adds configuration, runtime cost and failure modes.</w:t>
            </w:r>
          </w:p>
        </w:tc>
      </w:tr>
    </w:tbl>
    <w:p>
      <w:pPr>
        <w:spacing w:after="0"/>
      </w:pPr>
    </w:p>
    <w:p>
      <w:pPr>
        <w:pStyle w:val="Heading1"/>
      </w:pPr>
      <w:r>
        <w:t>5. End-to-End Request Lifecycle</w:t>
      </w:r>
    </w:p>
    <w:p>
      <w:pPr>
        <w:pStyle w:val="ListNumber"/>
      </w:pPr>
      <w:r>
        <w:t>The host creates a ServiceHost and reads service metadata, behaviors and endpoints.</w:t>
      </w:r>
    </w:p>
    <w:p>
      <w:pPr>
        <w:pStyle w:val="ListNumber"/>
      </w:pPr>
      <w:r>
        <w:t>A listener opens at the endpoint address through the selected transport.</w:t>
      </w:r>
    </w:p>
    <w:p>
      <w:pPr>
        <w:pStyle w:val="ListNumber"/>
      </w:pPr>
      <w:r>
        <w:t>The client creates a proxy or ChannelFactory channel.</w:t>
      </w:r>
    </w:p>
    <w:p>
      <w:pPr>
        <w:pStyle w:val="ListNumber"/>
      </w:pPr>
      <w:r>
        <w:t>Calling a proxy method creates a WCF Message. Parameters are serialized into the body.</w:t>
      </w:r>
    </w:p>
    <w:p>
      <w:pPr>
        <w:pStyle w:val="ListNumber"/>
      </w:pPr>
      <w:r>
        <w:t>Client inspectors and channel-stack elements process the outgoing message.</w:t>
      </w:r>
    </w:p>
    <w:p>
      <w:pPr>
        <w:pStyle w:val="ListNumber"/>
      </w:pPr>
      <w:r>
        <w:t>The transport sends bytes over HTTP, TCP, named pipes or another channel.</w:t>
      </w:r>
    </w:p>
    <w:p>
      <w:pPr>
        <w:pStyle w:val="ListNumber"/>
      </w:pPr>
      <w:r>
        <w:t>The service listener receives bytes and reconstructs a Message.</w:t>
      </w:r>
    </w:p>
    <w:p>
      <w:pPr>
        <w:pStyle w:val="ListNumber"/>
      </w:pPr>
      <w:r>
        <w:t>DispatchRuntime selects the endpoint, contract and operation, then runs inspectors, authorization and parameter deserialization.</w:t>
      </w:r>
    </w:p>
    <w:p>
      <w:pPr>
        <w:pStyle w:val="ListNumber"/>
      </w:pPr>
      <w:r>
        <w:t>An instance provider obtains or creates the service object according to InstanceContextMode.</w:t>
      </w:r>
    </w:p>
    <w:p>
      <w:pPr>
        <w:pStyle w:val="ListNumber"/>
      </w:pPr>
      <w:r>
        <w:t>The operation invoker calls the C# method.</w:t>
      </w:r>
    </w:p>
    <w:p>
      <w:pPr>
        <w:pStyle w:val="ListNumber"/>
      </w:pPr>
      <w:r>
        <w:t>The return value becomes a reply message; declared faults become SOAP faults.</w:t>
      </w:r>
    </w:p>
    <w:p>
      <w:pPr>
        <w:pStyle w:val="ListNumber"/>
      </w:pPr>
      <w:r>
        <w:t>The reply travels back through the channel stack, is deserialized, and the proxy returns a CLR value.</w:t>
      </w:r>
    </w:p>
    <w:tbl>
      <w:tblPr>
        <w:tblW w:type="auto" w:w="0"/>
        <w:jc w:val="center"/>
        <w:tblLayout w:type="autofit"/>
        <w:tblLook w:firstColumn="1" w:firstRow="1" w:lastColumn="0" w:lastRow="0" w:noHBand="0" w:noVBand="1" w:val="04A0"/>
      </w:tblPr>
      <w:tblGrid>
        <w:gridCol w:w="9936"/>
      </w:tblGrid>
      <w:tr>
        <w:tc>
          <w:tcPr>
            <w:tcW w:type="dxa" w:w="9936"/>
            <w:shd w:fill="EAF2F8"/>
            <w:tcMar>
              <w:top w:w="130" w:type="dxa"/>
              <w:start w:w="150" w:type="dxa"/>
              <w:bottom w:w="130" w:type="dxa"/>
              <w:end w:w="150" w:type="dxa"/>
            </w:tcMar>
          </w:tcPr>
          <w:p>
            <w:r>
              <w:rPr>
                <w:b/>
                <w:color w:val="17365D"/>
              </w:rPr>
              <w:t xml:space="preserve">Debugging lens  </w:t>
            </w:r>
            <w:r>
              <w:t>Classify failures by stage: DNS/connectivity, TLS, listener, message format, authentication, dispatch, deserialization, business code, serialization, reply transport, or client proxy state.</w:t>
            </w:r>
          </w:p>
        </w:tc>
      </w:tr>
    </w:tbl>
    <w:p>
      <w:pPr>
        <w:spacing w:after="0"/>
      </w:pPr>
    </w:p>
    <w:p>
      <w:pPr>
        <w:pStyle w:val="Heading1"/>
      </w:pPr>
      <w:r>
        <w:t>6. Small Working Implementation</w:t>
      </w:r>
    </w:p>
    <w:p>
      <w:r>
        <w:t>This minimal sample uses classic WCF on .NET Framework with code-based configuration. It contains a shared contract, a console-hosted service and a console client. BasicHttpBinding makes the wire format easy to inspect and broadly interoperable.</w:t>
      </w:r>
    </w:p>
    <w:p>
      <w:pPr>
        <w:pStyle w:val="Heading2"/>
      </w:pPr>
      <w:r>
        <w:t>Solution structure</w:t>
      </w:r>
    </w:p>
    <w:p>
      <w:pPr>
        <w:pStyle w:val="CodeBlock"/>
      </w:pPr>
      <w:r>
        <w:t>WcfLearning.sln</w:t>
        <w:br/>
        <w:t xml:space="preserve">  Contracts/        Class Library (.NET Framework)</w:t>
        <w:br/>
        <w:t xml:space="preserve">  CalculatorHost/   Console App (.NET Framework)</w:t>
        <w:br/>
        <w:t xml:space="preserve">  CalculatorClient/ Console App (.NET Framework)</w:t>
      </w:r>
    </w:p>
    <w:p>
      <w:pPr>
        <w:pStyle w:val="Heading2"/>
      </w:pPr>
      <w:r>
        <w:t>Step 1: Shared contract</w:t>
      </w:r>
    </w:p>
    <w:p>
      <w:pPr>
        <w:pStyle w:val="CodeBlock"/>
      </w:pPr>
      <w:r>
        <w:t>using System.Runtime.Serialization;</w:t>
        <w:br/>
        <w:t>using System.ServiceModel;</w:t>
      </w:r>
    </w:p>
    <w:p>
      <w:pPr>
        <w:pStyle w:val="CodeBlock"/>
      </w:pPr>
      <w:r>
        <w:t>namespace Contracts</w:t>
        <w:br/>
        <w:t>{</w:t>
        <w:br/>
        <w:t xml:space="preserve">    [ServiceContract]</w:t>
        <w:br/>
        <w:t xml:space="preserve">    public interface ICalculator</w:t>
        <w:br/>
        <w:t xml:space="preserve">    {</w:t>
        <w:br/>
        <w:t xml:space="preserve">        [OperationContract]</w:t>
        <w:br/>
        <w:t xml:space="preserve">        int Add(int left, int right);</w:t>
      </w:r>
    </w:p>
    <w:p>
      <w:pPr>
        <w:pStyle w:val="CodeBlock"/>
      </w:pPr>
      <w:r>
        <w:t xml:space="preserve">        [OperationContract]</w:t>
        <w:br/>
        <w:t xml:space="preserve">        [FaultContract(typeof(CalculationFault))]</w:t>
        <w:br/>
        <w:t xml:space="preserve">        int Divide(int numerator, int denominator);</w:t>
        <w:br/>
        <w:t xml:space="preserve">    }</w:t>
      </w:r>
    </w:p>
    <w:p>
      <w:pPr>
        <w:pStyle w:val="CodeBlock"/>
      </w:pPr>
      <w:r>
        <w:t xml:space="preserve">    [DataContract]</w:t>
        <w:br/>
        <w:t xml:space="preserve">    public class CalculationFault</w:t>
        <w:br/>
        <w:t xml:space="preserve">    {</w:t>
        <w:br/>
        <w:t xml:space="preserve">        [DataMember(Order = 1)]</w:t>
        <w:br/>
        <w:t xml:space="preserve">        public string Code { get; set; }</w:t>
      </w:r>
    </w:p>
    <w:p>
      <w:pPr>
        <w:pStyle w:val="CodeBlock"/>
      </w:pPr>
      <w:r>
        <w:t xml:space="preserve">        [DataMember(Order = 2)]</w:t>
        <w:br/>
        <w:t xml:space="preserve">        public string Message { get; set; }</w:t>
        <w:br/>
        <w:t xml:space="preserve">    }</w:t>
        <w:br/>
        <w:t>}</w:t>
      </w:r>
    </w:p>
    <w:p>
      <w:pPr>
        <w:pStyle w:val="Heading2"/>
      </w:pPr>
      <w:r>
        <w:t>Step 2: Service implementation</w:t>
      </w:r>
    </w:p>
    <w:p>
      <w:pPr>
        <w:pStyle w:val="CodeBlock"/>
      </w:pPr>
      <w:r>
        <w:t>using Contracts;</w:t>
        <w:br/>
        <w:t>using System.ServiceModel;</w:t>
      </w:r>
    </w:p>
    <w:p>
      <w:pPr>
        <w:pStyle w:val="CodeBlock"/>
      </w:pPr>
      <w:r>
        <w:t>namespace CalculatorHost</w:t>
        <w:br/>
        <w:t>{</w:t>
        <w:br/>
        <w:t xml:space="preserve">    [ServiceBehavior(InstanceContextMode = InstanceContextMode.PerCall,</w:t>
        <w:br/>
        <w:t xml:space="preserve">                     ConcurrencyMode = ConcurrencyMode.Single)]</w:t>
        <w:br/>
        <w:t xml:space="preserve">    public class CalculatorService : ICalculator</w:t>
        <w:br/>
        <w:t xml:space="preserve">    {</w:t>
        <w:br/>
        <w:t xml:space="preserve">        public int Add(int left, int right) =&gt; left + right;</w:t>
      </w:r>
    </w:p>
    <w:p>
      <w:pPr>
        <w:pStyle w:val="CodeBlock"/>
      </w:pPr>
      <w:r>
        <w:t xml:space="preserve">        public int Divide(int numerator, int denominator)</w:t>
        <w:br/>
        <w:t xml:space="preserve">        {</w:t>
        <w:br/>
        <w:t xml:space="preserve">            if (denominator == 0)</w:t>
        <w:br/>
        <w:t xml:space="preserve">            {</w:t>
        <w:br/>
        <w:t xml:space="preserve">                var detail = new CalculationFault</w:t>
        <w:br/>
        <w:t xml:space="preserve">                {</w:t>
        <w:br/>
        <w:t xml:space="preserve">                    Code = "DIVIDE_BY_ZERO",</w:t>
        <w:br/>
        <w:t xml:space="preserve">                    Message = "Denominator must be non-zero."</w:t>
        <w:br/>
        <w:t xml:space="preserve">                };</w:t>
        <w:br/>
        <w:t xml:space="preserve">                throw new FaultException&lt;CalculationFault&gt;(</w:t>
        <w:br/>
        <w:t xml:space="preserve">                    detail, new FaultReason(detail.Message));</w:t>
        <w:br/>
        <w:t xml:space="preserve">            }</w:t>
        <w:br/>
        <w:t xml:space="preserve">            return numerator / denominator;</w:t>
        <w:br/>
        <w:t xml:space="preserve">        }</w:t>
        <w:br/>
        <w:t xml:space="preserve">    }</w:t>
        <w:br/>
        <w:t>}</w:t>
      </w:r>
    </w:p>
    <w:p>
      <w:pPr>
        <w:pStyle w:val="Heading2"/>
      </w:pPr>
      <w:r>
        <w:t>Step 3: Self-host the service</w:t>
      </w:r>
    </w:p>
    <w:p>
      <w:pPr>
        <w:pStyle w:val="CodeBlock"/>
      </w:pPr>
      <w:r>
        <w:t>using System;</w:t>
        <w:br/>
        <w:t>using System.ServiceModel;</w:t>
        <w:br/>
        <w:t>using System.ServiceModel.Description;</w:t>
        <w:br/>
        <w:t>using Contracts;</w:t>
      </w:r>
    </w:p>
    <w:p>
      <w:pPr>
        <w:pStyle w:val="CodeBlock"/>
      </w:pPr>
      <w:r>
        <w:t>namespace CalculatorHost</w:t>
        <w:br/>
        <w:t>{</w:t>
        <w:br/>
        <w:t xml:space="preserve">    internal static class Program</w:t>
        <w:br/>
        <w:t xml:space="preserve">    {</w:t>
        <w:br/>
        <w:t xml:space="preserve">        private static void Main()</w:t>
        <w:br/>
        <w:t xml:space="preserve">        {</w:t>
        <w:br/>
        <w:t xml:space="preserve">            var baseAddress = new Uri("http://localhost:8080/calculator");</w:t>
        <w:br/>
        <w:t xml:space="preserve">            using (var host = new ServiceHost(typeof(CalculatorService), baseAddress))</w:t>
        <w:br/>
        <w:t xml:space="preserve">            {</w:t>
        <w:br/>
        <w:t xml:space="preserve">                var binding = new BasicHttpBinding</w:t>
        <w:br/>
        <w:t xml:space="preserve">                {</w:t>
        <w:br/>
        <w:t xml:space="preserve">                    OpenTimeout = TimeSpan.FromSeconds(10),</w:t>
        <w:br/>
        <w:t xml:space="preserve">                    CloseTimeout = TimeSpan.FromSeconds(10),</w:t>
        <w:br/>
        <w:t xml:space="preserve">                    SendTimeout = TimeSpan.FromSeconds(30),</w:t>
        <w:br/>
        <w:t xml:space="preserve">                    ReceiveTimeout = TimeSpan.FromMinutes(2),</w:t>
        <w:br/>
        <w:t xml:space="preserve">                    MaxReceivedMessageSize = 64 * 1024</w:t>
        <w:br/>
        <w:t xml:space="preserve">                };</w:t>
      </w:r>
    </w:p>
    <w:p>
      <w:pPr>
        <w:pStyle w:val="CodeBlock"/>
      </w:pPr>
      <w:r>
        <w:t xml:space="preserve">                host.AddServiceEndpoint(typeof(ICalculator), binding, "");</w:t>
      </w:r>
    </w:p>
    <w:p>
      <w:pPr>
        <w:pStyle w:val="CodeBlock"/>
      </w:pPr>
      <w:r>
        <w:t xml:space="preserve">                var metadata = new ServiceMetadataBehavior</w:t>
        <w:br/>
        <w:t xml:space="preserve">                {</w:t>
        <w:br/>
        <w:t xml:space="preserve">                    HttpGetEnabled = true</w:t>
        <w:br/>
        <w:t xml:space="preserve">                };</w:t>
        <w:br/>
        <w:t xml:space="preserve">                host.Description.Behaviors.Add(metadata);</w:t>
      </w:r>
    </w:p>
    <w:p>
      <w:pPr>
        <w:pStyle w:val="CodeBlock"/>
      </w:pPr>
      <w:r>
        <w:t xml:space="preserve">                host.Open();</w:t>
        <w:br/>
        <w:t xml:space="preserve">                Console.WriteLine("Service running at " + baseAddress);</w:t>
        <w:br/>
        <w:t xml:space="preserve">                Console.WriteLine("WSDL: " + baseAddress + "?wsdl");</w:t>
        <w:br/>
        <w:t xml:space="preserve">                Console.WriteLine("Press Enter to stop.");</w:t>
        <w:br/>
        <w:t xml:space="preserve">                Console.ReadLine();</w:t>
        <w:br/>
        <w:t xml:space="preserve">            }</w:t>
        <w:br/>
        <w:t xml:space="preserve">        }</w:t>
        <w:br/>
        <w:t xml:space="preserve">    }</w:t>
        <w:br/>
        <w:t>}</w:t>
      </w:r>
    </w:p>
    <w:p>
      <w:pPr>
        <w:pStyle w:val="Heading2"/>
      </w:pPr>
      <w:r>
        <w:t>Step 4: Build the client with ChannelFactory</w:t>
      </w:r>
    </w:p>
    <w:p>
      <w:pPr>
        <w:pStyle w:val="CodeBlock"/>
      </w:pPr>
      <w:r>
        <w:t>using System;</w:t>
        <w:br/>
        <w:t>using System.ServiceModel;</w:t>
        <w:br/>
        <w:t>using Contracts;</w:t>
      </w:r>
    </w:p>
    <w:p>
      <w:pPr>
        <w:pStyle w:val="CodeBlock"/>
      </w:pPr>
      <w:r>
        <w:t>namespace CalculatorClient</w:t>
        <w:br/>
        <w:t>{</w:t>
        <w:br/>
        <w:t xml:space="preserve">    internal static class Program</w:t>
        <w:br/>
        <w:t xml:space="preserve">    {</w:t>
        <w:br/>
        <w:t xml:space="preserve">        private static void Main()</w:t>
        <w:br/>
        <w:t xml:space="preserve">        {</w:t>
        <w:br/>
        <w:t xml:space="preserve">            var binding = new BasicHttpBinding</w:t>
        <w:br/>
        <w:t xml:space="preserve">            {</w:t>
        <w:br/>
        <w:t xml:space="preserve">                SendTimeout = TimeSpan.FromSeconds(30),</w:t>
        <w:br/>
        <w:t xml:space="preserve">                MaxReceivedMessageSize = 64 * 1024</w:t>
        <w:br/>
        <w:t xml:space="preserve">            };</w:t>
        <w:br/>
        <w:t xml:space="preserve">            var address = new EndpointAddress("http://localhost:8080/calculator");</w:t>
        <w:br/>
        <w:t xml:space="preserve">            var factory = new ChannelFactory&lt;ICalculator&gt;(binding, address);</w:t>
        <w:br/>
        <w:t xml:space="preserve">            ICalculator proxy = null;</w:t>
      </w:r>
    </w:p>
    <w:p>
      <w:pPr>
        <w:pStyle w:val="CodeBlock"/>
      </w:pPr>
      <w:r>
        <w:t xml:space="preserve">            try</w:t>
        <w:br/>
        <w:t xml:space="preserve">            {</w:t>
        <w:br/>
        <w:t xml:space="preserve">                proxy = factory.CreateChannel();</w:t>
        <w:br/>
        <w:t xml:space="preserve">                Console.WriteLine("2 + 3 = " + proxy.Add(2, 3));</w:t>
      </w:r>
    </w:p>
    <w:p>
      <w:pPr>
        <w:pStyle w:val="CodeBlock"/>
      </w:pPr>
      <w:r>
        <w:t xml:space="preserve">                try</w:t>
        <w:br/>
        <w:t xml:space="preserve">                {</w:t>
        <w:br/>
        <w:t xml:space="preserve">                    proxy.Divide(10, 0);</w:t>
        <w:br/>
        <w:t xml:space="preserve">                }</w:t>
        <w:br/>
        <w:t xml:space="preserve">                catch (FaultException&lt;CalculationFault&gt; ex)</w:t>
        <w:br/>
        <w:t xml:space="preserve">                {</w:t>
        <w:br/>
        <w:t xml:space="preserve">                    Console.WriteLine(ex.Detail.Code + ": " + ex.Detail.Message);</w:t>
        <w:br/>
        <w:t xml:space="preserve">                }</w:t>
      </w:r>
    </w:p>
    <w:p>
      <w:pPr>
        <w:pStyle w:val="CodeBlock"/>
      </w:pPr>
      <w:r>
        <w:t xml:space="preserve">                ((IClientChannel)proxy).Close();</w:t>
        <w:br/>
        <w:t xml:space="preserve">                factory.Close();</w:t>
        <w:br/>
        <w:t xml:space="preserve">            }</w:t>
        <w:br/>
        <w:t xml:space="preserve">            catch</w:t>
        <w:br/>
        <w:t xml:space="preserve">            {</w:t>
        <w:br/>
        <w:t xml:space="preserve">                ((IClientChannel)proxy)?.Abort();</w:t>
        <w:br/>
        <w:t xml:space="preserve">                factory.Abort();</w:t>
        <w:br/>
        <w:t xml:space="preserve">                throw;</w:t>
        <w:br/>
        <w:t xml:space="preserve">            }</w:t>
        <w:br/>
        <w:t xml:space="preserve">        }</w:t>
        <w:br/>
        <w:t xml:space="preserve">    }</w:t>
        <w:br/>
        <w:t>}</w:t>
      </w:r>
    </w:p>
    <w:p>
      <w:pPr>
        <w:pStyle w:val="Heading2"/>
      </w:pPr>
      <w:r>
        <w:t>Step 5: Run it</w:t>
      </w:r>
    </w:p>
    <w:p>
      <w:pPr>
        <w:pStyle w:val="ListNumber"/>
      </w:pPr>
      <w:r>
        <w:t>Build the solution. If HTTP URL reservation blocks startup, run the host elevated for learning or reserve the URL with the appropriate Windows HTTP configuration.</w:t>
      </w:r>
    </w:p>
    <w:p>
      <w:pPr>
        <w:pStyle w:val="ListNumber"/>
      </w:pPr>
      <w:r>
        <w:t>Start CalculatorHost and keep it running.</w:t>
      </w:r>
    </w:p>
    <w:p>
      <w:pPr>
        <w:pStyle w:val="ListNumber"/>
      </w:pPr>
      <w:r>
        <w:t>Open http://localhost:8080/calculator?wsdl to see generated metadata.</w:t>
      </w:r>
    </w:p>
    <w:p>
      <w:pPr>
        <w:pStyle w:val="ListNumber"/>
      </w:pPr>
      <w:r>
        <w:t>Start CalculatorClient. Expect “2 + 3 = 5” and a typed divide-by-zero fault.</w:t>
      </w:r>
    </w:p>
    <w:p>
      <w:pPr>
        <w:pStyle w:val="ListNumber"/>
      </w:pPr>
      <w:r>
        <w:t>Stop the host and run the client again to observe an EndpointNotFoundException or communication failure.</w:t>
      </w:r>
    </w:p>
    <w:tbl>
      <w:tblPr>
        <w:tblW w:type="auto" w:w="0"/>
        <w:jc w:val="center"/>
        <w:tblLayout w:type="autofit"/>
        <w:tblLook w:firstColumn="1" w:firstRow="1" w:lastColumn="0" w:lastRow="0" w:noHBand="0" w:noVBand="1" w:val="04A0"/>
      </w:tblPr>
      <w:tblGrid>
        <w:gridCol w:w="9936"/>
      </w:tblGrid>
      <w:tr>
        <w:tc>
          <w:tcPr>
            <w:tcW w:type="dxa" w:w="9936"/>
            <w:shd w:fill="FCE4D6"/>
            <w:tcMar>
              <w:top w:w="130" w:type="dxa"/>
              <w:start w:w="150" w:type="dxa"/>
              <w:bottom w:w="130" w:type="dxa"/>
              <w:end w:w="150" w:type="dxa"/>
            </w:tcMar>
          </w:tcPr>
          <w:p>
            <w:r>
              <w:rPr>
                <w:b/>
                <w:color w:val="17365D"/>
              </w:rPr>
              <w:t xml:space="preserve">Production correction  </w:t>
            </w:r>
            <w:r>
              <w:t>Do not expose unrestricted HTTP metadata in production unless required. Use HTTPS, least-privilege URL reservations, explicit limits, centralized configuration and controlled diagnostics.</w:t>
            </w:r>
          </w:p>
        </w:tc>
      </w:tr>
    </w:tbl>
    <w:p>
      <w:pPr>
        <w:spacing w:after="0"/>
      </w:pPr>
    </w:p>
    <w:p>
      <w:pPr>
        <w:pStyle w:val="Heading1"/>
      </w:pPr>
      <w:r>
        <w:t>7. What Happens Internally</w:t>
      </w:r>
    </w:p>
    <w:p>
      <w:pPr>
        <w:pStyle w:val="Heading2"/>
      </w:pPr>
      <w:r>
        <w:t>Description model</w:t>
      </w:r>
    </w:p>
    <w:p>
      <w:r>
        <w:t>At startup, WCF builds a ServiceDescription from attributes, code and configuration. It contains contract descriptions, operation descriptions, endpoints and behaviors. This model is converted into runtime objects.</w:t>
      </w:r>
    </w:p>
    <w:p>
      <w:pPr>
        <w:pStyle w:val="Heading2"/>
      </w:pPr>
      <w:r>
        <w:t>Channel stack</w:t>
      </w:r>
    </w:p>
    <w:p>
      <w:r>
        <w:t>The channel stack is a pipeline. A binding creates binding elements, and each element contributes a protocol capability. Conceptually, the client processes messages from higher-level encoding/security/reliability layers down to the transport; the service reverses the process.</w:t>
      </w:r>
    </w:p>
    <w:p>
      <w:pPr>
        <w:pStyle w:val="CodeBlock"/>
      </w:pPr>
      <w:r>
        <w:t>Client method call</w:t>
        <w:br/>
        <w:t xml:space="preserve">  -&gt; proxy formatter / serializer</w:t>
        <w:br/>
        <w:t xml:space="preserve">  -&gt; message inspectors</w:t>
        <w:br/>
        <w:t xml:space="preserve">  -&gt; security / reliability / transactions (if configured)</w:t>
        <w:br/>
        <w:t xml:space="preserve">  -&gt; encoder (text, MTOM, binary)</w:t>
        <w:br/>
        <w:t xml:space="preserve">  -&gt; transport channel (HTTP, TCP, pipe)</w:t>
        <w:br/>
        <w:t xml:space="preserve">  -&gt; network</w:t>
        <w:br/>
        <w:t xml:space="preserve">  -&gt; service transport listener</w:t>
        <w:br/>
        <w:t xml:space="preserve">  -&gt; decoder / protocols</w:t>
        <w:br/>
        <w:t xml:space="preserve">  -&gt; dispatcher</w:t>
        <w:br/>
        <w:t xml:space="preserve">  -&gt; operation invoker</w:t>
        <w:br/>
        <w:t xml:space="preserve">  -&gt; service method</w:t>
      </w:r>
    </w:p>
    <w:p>
      <w:pPr>
        <w:pStyle w:val="Heading2"/>
      </w:pPr>
      <w:r>
        <w:t>Client runtime</w:t>
      </w:r>
    </w:p>
    <w:p>
      <w:pPr>
        <w:pStyle w:val="ListBullet"/>
      </w:pPr>
      <w:r>
        <w:t>ChannelFactory&lt;T&gt; builds a factory from the contract, binding and endpoint.</w:t>
      </w:r>
    </w:p>
    <w:p>
      <w:pPr>
        <w:pStyle w:val="ListBullet"/>
      </w:pPr>
      <w:r>
        <w:t>CreateChannel returns a transparent method-like proxy backed by an IClientChannel.</w:t>
      </w:r>
    </w:p>
    <w:p>
      <w:pPr>
        <w:pStyle w:val="ListBullet"/>
      </w:pPr>
      <w:r>
        <w:t>ClientOperation contains serializers and formatters for each operation.</w:t>
      </w:r>
    </w:p>
    <w:p>
      <w:pPr>
        <w:pStyle w:val="ListBullet"/>
      </w:pPr>
      <w:r>
        <w:t>IClientMessageInspector can inspect or modify messages before send and after reply.</w:t>
      </w:r>
    </w:p>
    <w:p>
      <w:pPr>
        <w:pStyle w:val="ListBullet"/>
      </w:pPr>
      <w:r>
        <w:t>A channel has Created, Opening, Opened, Closing, Closed and Faulted states. A faulted channel cannot be reused.</w:t>
      </w:r>
    </w:p>
    <w:p>
      <w:pPr>
        <w:pStyle w:val="Heading2"/>
      </w:pPr>
      <w:r>
        <w:t>Service runtime</w:t>
      </w:r>
    </w:p>
    <w:p>
      <w:pPr>
        <w:pStyle w:val="ListBullet"/>
      </w:pPr>
      <w:r>
        <w:t>ChannelDispatcher owns listeners and accepts incoming channels.</w:t>
      </w:r>
    </w:p>
    <w:p>
      <w:pPr>
        <w:pStyle w:val="ListBullet"/>
      </w:pPr>
      <w:r>
        <w:t>EndpointDispatcher matches To/Action filters and routes a message.</w:t>
      </w:r>
    </w:p>
    <w:p>
      <w:pPr>
        <w:pStyle w:val="ListBullet"/>
      </w:pPr>
      <w:r>
        <w:t>DispatchRuntime manages operation selection, inspectors, authorization, instance creation and invocation.</w:t>
      </w:r>
    </w:p>
    <w:p>
      <w:pPr>
        <w:pStyle w:val="ListBullet"/>
      </w:pPr>
      <w:r>
        <w:t>DispatchOperation contains formatters, fault handling and the operation invoker.</w:t>
      </w:r>
    </w:p>
    <w:p>
      <w:pPr>
        <w:pStyle w:val="ListBullet"/>
      </w:pPr>
      <w:r>
        <w:t>InstanceContext groups a service instance with its channels and session state.</w:t>
      </w:r>
    </w:p>
    <w:p>
      <w:pPr>
        <w:pStyle w:val="Heading2"/>
      </w:pPr>
      <w:r>
        <w:t>Serialization internals</w:t>
      </w:r>
    </w:p>
    <w:p>
      <w:r>
        <w:t>DataContractSerializer converts parameter graphs into XML based on declared contracts and known types. It is schema-oriented rather than a general-purpose object persistence mechanism. Type information, object references and polymorphism need explicit thought. Large graphs can hit quotas such as MaxItemsInObjectGraph.</w:t>
      </w:r>
    </w:p>
    <w:p>
      <w:pPr>
        <w:pStyle w:val="Heading2"/>
      </w:pPr>
      <w:r>
        <w:t>Metadata</w:t>
      </w:r>
    </w:p>
    <w:p>
      <w:r>
        <w:t>WSDL describes operations and message shapes. XSD describes data types. A tool such as svcutil.exe or “Add Service Reference” can generate a client proxy and configuration. Generated code is convenient across teams, while shared contracts plus ChannelFactory reduce duplication in tightly controlled .NET solutions.</w:t>
      </w:r>
    </w:p>
    <w:p>
      <w:pPr>
        <w:pStyle w:val="Heading1"/>
      </w:pPr>
      <w:r>
        <w:t>8. Configuration and Hosting</w:t>
      </w:r>
    </w:p>
    <w:p>
      <w:pPr>
        <w:pStyle w:val="Heading2"/>
      </w:pPr>
      <w:r>
        <w:t>Hosting choices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Host</w:t>
            </w:r>
          </w:p>
        </w:tc>
        <w:tc>
          <w:tcPr>
            <w:tcW w:type="dxa" w:w="3312"/>
            <w:shd w:fill="2F5597"/>
            <w:tcMar>
              <w:top w:w="90" w:type="dxa"/>
              <w:start w:w="100" w:type="dxa"/>
              <w:bottom w:w="90" w:type="dxa"/>
              <w:end w:w="100" w:type="dxa"/>
            </w:tcMar>
            <w:vAlign w:val="center"/>
          </w:tcPr>
          <w:p>
            <w:r>
              <w:rPr>
                <w:b/>
                <w:color w:val="FFFFFF"/>
              </w:rPr>
              <w:t>Strengths</w:t>
            </w:r>
          </w:p>
        </w:tc>
        <w:tc>
          <w:tcPr>
            <w:tcW w:type="dxa" w:w="3312"/>
            <w:shd w:fill="2F5597"/>
            <w:tcMar>
              <w:top w:w="90" w:type="dxa"/>
              <w:start w:w="100" w:type="dxa"/>
              <w:bottom w:w="90" w:type="dxa"/>
              <w:end w:w="100" w:type="dxa"/>
            </w:tcMar>
            <w:vAlign w:val="center"/>
          </w:tcPr>
          <w:p>
            <w:r>
              <w:rPr>
                <w:b/>
                <w:color w:val="FFFFFF"/>
              </w:rPr>
              <w:t>Risks / notes</w:t>
            </w:r>
          </w:p>
        </w:tc>
      </w:tr>
      <w:tr>
        <w:tc>
          <w:tcPr>
            <w:tcW w:type="dxa" w:w="3312"/>
            <w:tcMar>
              <w:top w:w="90" w:type="dxa"/>
              <w:start w:w="100" w:type="dxa"/>
              <w:bottom w:w="90" w:type="dxa"/>
              <w:end w:w="100" w:type="dxa"/>
            </w:tcMar>
            <w:vAlign w:val="center"/>
          </w:tcPr>
          <w:p>
            <w:r>
              <w:t>IIS</w:t>
            </w:r>
          </w:p>
        </w:tc>
        <w:tc>
          <w:tcPr>
            <w:tcW w:type="dxa" w:w="3312"/>
            <w:tcMar>
              <w:top w:w="90" w:type="dxa"/>
              <w:start w:w="100" w:type="dxa"/>
              <w:bottom w:w="90" w:type="dxa"/>
              <w:end w:w="100" w:type="dxa"/>
            </w:tcMar>
            <w:vAlign w:val="center"/>
          </w:tcPr>
          <w:p>
            <w:r>
              <w:t>Process management, HTTP activation, mature operations</w:t>
            </w:r>
          </w:p>
        </w:tc>
        <w:tc>
          <w:tcPr>
            <w:tcW w:type="dxa" w:w="3312"/>
            <w:tcMar>
              <w:top w:w="90" w:type="dxa"/>
              <w:start w:w="100" w:type="dxa"/>
              <w:bottom w:w="90" w:type="dxa"/>
              <w:end w:w="100" w:type="dxa"/>
            </w:tcMar>
            <w:vAlign w:val="center"/>
          </w:tcPr>
          <w:p>
            <w:r>
              <w:t>Historically HTTP-focused; app-pool lifecycle</w:t>
            </w:r>
          </w:p>
        </w:tc>
      </w:tr>
      <w:tr>
        <w:tc>
          <w:tcPr>
            <w:tcW w:type="dxa" w:w="3312"/>
            <w:tcMar>
              <w:top w:w="90" w:type="dxa"/>
              <w:start w:w="100" w:type="dxa"/>
              <w:bottom w:w="90" w:type="dxa"/>
              <w:end w:w="100" w:type="dxa"/>
            </w:tcMar>
            <w:vAlign w:val="center"/>
            <w:shd w:fill="F3F6FA"/>
          </w:tcPr>
          <w:p>
            <w:r>
              <w:t>WAS</w:t>
            </w:r>
          </w:p>
        </w:tc>
        <w:tc>
          <w:tcPr>
            <w:tcW w:type="dxa" w:w="3312"/>
            <w:tcMar>
              <w:top w:w="90" w:type="dxa"/>
              <w:start w:w="100" w:type="dxa"/>
              <w:bottom w:w="90" w:type="dxa"/>
              <w:end w:w="100" w:type="dxa"/>
            </w:tcMar>
            <w:vAlign w:val="center"/>
            <w:shd w:fill="F3F6FA"/>
          </w:tcPr>
          <w:p>
            <w:r>
              <w:t>Activation for additional protocols depending on configuration</w:t>
            </w:r>
          </w:p>
        </w:tc>
        <w:tc>
          <w:tcPr>
            <w:tcW w:type="dxa" w:w="3312"/>
            <w:tcMar>
              <w:top w:w="90" w:type="dxa"/>
              <w:start w:w="100" w:type="dxa"/>
              <w:bottom w:w="90" w:type="dxa"/>
              <w:end w:w="100" w:type="dxa"/>
            </w:tcMar>
            <w:vAlign w:val="center"/>
            <w:shd w:fill="F3F6FA"/>
          </w:tcPr>
          <w:p>
            <w:r>
              <w:t>Windows infrastructure complexity</w:t>
            </w:r>
          </w:p>
        </w:tc>
      </w:tr>
      <w:tr>
        <w:tc>
          <w:tcPr>
            <w:tcW w:type="dxa" w:w="3312"/>
            <w:tcMar>
              <w:top w:w="90" w:type="dxa"/>
              <w:start w:w="100" w:type="dxa"/>
              <w:bottom w:w="90" w:type="dxa"/>
              <w:end w:w="100" w:type="dxa"/>
            </w:tcMar>
            <w:vAlign w:val="center"/>
          </w:tcPr>
          <w:p>
            <w:r>
              <w:t>Windows Service</w:t>
            </w:r>
          </w:p>
        </w:tc>
        <w:tc>
          <w:tcPr>
            <w:tcW w:type="dxa" w:w="3312"/>
            <w:tcMar>
              <w:top w:w="90" w:type="dxa"/>
              <w:start w:w="100" w:type="dxa"/>
              <w:bottom w:w="90" w:type="dxa"/>
              <w:end w:w="100" w:type="dxa"/>
            </w:tcMar>
            <w:vAlign w:val="center"/>
          </w:tcPr>
          <w:p>
            <w:r>
              <w:t>Long-running process, non-HTTP bindings, controlled startup</w:t>
            </w:r>
          </w:p>
        </w:tc>
        <w:tc>
          <w:tcPr>
            <w:tcW w:type="dxa" w:w="3312"/>
            <w:tcMar>
              <w:top w:w="90" w:type="dxa"/>
              <w:start w:w="100" w:type="dxa"/>
              <w:bottom w:w="90" w:type="dxa"/>
              <w:end w:w="100" w:type="dxa"/>
            </w:tcMar>
            <w:vAlign w:val="center"/>
          </w:tcPr>
          <w:p>
            <w:r>
              <w:t>You own deployment, recovery and service identity</w:t>
            </w:r>
          </w:p>
        </w:tc>
      </w:tr>
      <w:tr>
        <w:tc>
          <w:tcPr>
            <w:tcW w:type="dxa" w:w="3312"/>
            <w:tcMar>
              <w:top w:w="90" w:type="dxa"/>
              <w:start w:w="100" w:type="dxa"/>
              <w:bottom w:w="90" w:type="dxa"/>
              <w:end w:w="100" w:type="dxa"/>
            </w:tcMar>
            <w:vAlign w:val="center"/>
            <w:shd w:fill="F3F6FA"/>
          </w:tcPr>
          <w:p>
            <w:r>
              <w:t>Console / self-host</w:t>
            </w:r>
          </w:p>
        </w:tc>
        <w:tc>
          <w:tcPr>
            <w:tcW w:type="dxa" w:w="3312"/>
            <w:tcMar>
              <w:top w:w="90" w:type="dxa"/>
              <w:start w:w="100" w:type="dxa"/>
              <w:bottom w:w="90" w:type="dxa"/>
              <w:end w:w="100" w:type="dxa"/>
            </w:tcMar>
            <w:vAlign w:val="center"/>
            <w:shd w:fill="F3F6FA"/>
          </w:tcPr>
          <w:p>
            <w:r>
              <w:t>Simple learning, testing and specialized hosting</w:t>
            </w:r>
          </w:p>
        </w:tc>
        <w:tc>
          <w:tcPr>
            <w:tcW w:type="dxa" w:w="3312"/>
            <w:tcMar>
              <w:top w:w="90" w:type="dxa"/>
              <w:start w:w="100" w:type="dxa"/>
              <w:bottom w:w="90" w:type="dxa"/>
              <w:end w:w="100" w:type="dxa"/>
            </w:tcMar>
            <w:vAlign w:val="center"/>
            <w:shd w:fill="F3F6FA"/>
          </w:tcPr>
          <w:p>
            <w:r>
              <w:t>You own lifecycle, recovery, permissions and monitoring</w:t>
            </w:r>
          </w:p>
        </w:tc>
      </w:tr>
    </w:tbl>
    <w:p>
      <w:pPr>
        <w:spacing w:after="20"/>
      </w:pPr>
    </w:p>
    <w:p>
      <w:pPr>
        <w:pStyle w:val="Heading2"/>
      </w:pPr>
      <w:r>
        <w:t>Code versus configuration</w:t>
      </w:r>
    </w:p>
    <w:p>
      <w:r>
        <w:t>Configuration permits operational changes without recompilation but can fail late due to spelling, names or mismatched settings. Code configuration offers compiler support and colocated intent but requires deployment for changes. Production systems often keep architecture in code and environment-specific values in validated configuration.</w:t>
      </w:r>
    </w:p>
    <w:p>
      <w:pPr>
        <w:pStyle w:val="Heading2"/>
      </w:pPr>
      <w:r>
        <w:t>Timeouts are directional</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Timeout</w:t>
            </w:r>
          </w:p>
        </w:tc>
        <w:tc>
          <w:tcPr>
            <w:tcW w:type="dxa" w:w="4968"/>
            <w:shd w:fill="2F5597"/>
            <w:tcMar>
              <w:top w:w="90" w:type="dxa"/>
              <w:start w:w="100" w:type="dxa"/>
              <w:bottom w:w="90" w:type="dxa"/>
              <w:end w:w="100" w:type="dxa"/>
            </w:tcMar>
            <w:vAlign w:val="center"/>
          </w:tcPr>
          <w:p>
            <w:r>
              <w:rPr>
                <w:b/>
                <w:color w:val="FFFFFF"/>
              </w:rPr>
              <w:t>Meaning</w:t>
            </w:r>
          </w:p>
        </w:tc>
      </w:tr>
      <w:tr>
        <w:tc>
          <w:tcPr>
            <w:tcW w:type="dxa" w:w="4968"/>
            <w:tcMar>
              <w:top w:w="90" w:type="dxa"/>
              <w:start w:w="100" w:type="dxa"/>
              <w:bottom w:w="90" w:type="dxa"/>
              <w:end w:w="100" w:type="dxa"/>
            </w:tcMar>
            <w:vAlign w:val="center"/>
          </w:tcPr>
          <w:p>
            <w:r>
              <w:t>OpenTimeout</w:t>
            </w:r>
          </w:p>
        </w:tc>
        <w:tc>
          <w:tcPr>
            <w:tcW w:type="dxa" w:w="4968"/>
            <w:tcMar>
              <w:top w:w="90" w:type="dxa"/>
              <w:start w:w="100" w:type="dxa"/>
              <w:bottom w:w="90" w:type="dxa"/>
              <w:end w:w="100" w:type="dxa"/>
            </w:tcMar>
            <w:vAlign w:val="center"/>
          </w:tcPr>
          <w:p>
            <w:r>
              <w:t>Time allowed to establish/open a communication object</w:t>
            </w:r>
          </w:p>
        </w:tc>
      </w:tr>
      <w:tr>
        <w:tc>
          <w:tcPr>
            <w:tcW w:type="dxa" w:w="4968"/>
            <w:tcMar>
              <w:top w:w="90" w:type="dxa"/>
              <w:start w:w="100" w:type="dxa"/>
              <w:bottom w:w="90" w:type="dxa"/>
              <w:end w:w="100" w:type="dxa"/>
            </w:tcMar>
            <w:vAlign w:val="center"/>
            <w:shd w:fill="F3F6FA"/>
          </w:tcPr>
          <w:p>
            <w:r>
              <w:t>CloseTimeout</w:t>
            </w:r>
          </w:p>
        </w:tc>
        <w:tc>
          <w:tcPr>
            <w:tcW w:type="dxa" w:w="4968"/>
            <w:tcMar>
              <w:top w:w="90" w:type="dxa"/>
              <w:start w:w="100" w:type="dxa"/>
              <w:bottom w:w="90" w:type="dxa"/>
              <w:end w:w="100" w:type="dxa"/>
            </w:tcMar>
            <w:vAlign w:val="center"/>
            <w:shd w:fill="F3F6FA"/>
          </w:tcPr>
          <w:p>
            <w:r>
              <w:t>Time allowed for graceful close</w:t>
            </w:r>
          </w:p>
        </w:tc>
      </w:tr>
      <w:tr>
        <w:tc>
          <w:tcPr>
            <w:tcW w:type="dxa" w:w="4968"/>
            <w:tcMar>
              <w:top w:w="90" w:type="dxa"/>
              <w:start w:w="100" w:type="dxa"/>
              <w:bottom w:w="90" w:type="dxa"/>
              <w:end w:w="100" w:type="dxa"/>
            </w:tcMar>
            <w:vAlign w:val="center"/>
          </w:tcPr>
          <w:p>
            <w:r>
              <w:t>SendTimeout</w:t>
            </w:r>
          </w:p>
        </w:tc>
        <w:tc>
          <w:tcPr>
            <w:tcW w:type="dxa" w:w="4968"/>
            <w:tcMar>
              <w:top w:w="90" w:type="dxa"/>
              <w:start w:w="100" w:type="dxa"/>
              <w:bottom w:w="90" w:type="dxa"/>
              <w:end w:w="100" w:type="dxa"/>
            </w:tcMar>
            <w:vAlign w:val="center"/>
          </w:tcPr>
          <w:p>
            <w:r>
              <w:t>Client-side budget for sending/request completion; often sets operation timeout</w:t>
            </w:r>
          </w:p>
        </w:tc>
      </w:tr>
      <w:tr>
        <w:tc>
          <w:tcPr>
            <w:tcW w:type="dxa" w:w="4968"/>
            <w:tcMar>
              <w:top w:w="90" w:type="dxa"/>
              <w:start w:w="100" w:type="dxa"/>
              <w:bottom w:w="90" w:type="dxa"/>
              <w:end w:w="100" w:type="dxa"/>
            </w:tcMar>
            <w:vAlign w:val="center"/>
            <w:shd w:fill="F3F6FA"/>
          </w:tcPr>
          <w:p>
            <w:r>
              <w:t>ReceiveTimeout</w:t>
            </w:r>
          </w:p>
        </w:tc>
        <w:tc>
          <w:tcPr>
            <w:tcW w:type="dxa" w:w="4968"/>
            <w:tcMar>
              <w:top w:w="90" w:type="dxa"/>
              <w:start w:w="100" w:type="dxa"/>
              <w:bottom w:w="90" w:type="dxa"/>
              <w:end w:w="100" w:type="dxa"/>
            </w:tcMar>
            <w:vAlign w:val="center"/>
            <w:shd w:fill="F3F6FA"/>
          </w:tcPr>
          <w:p>
            <w:r>
              <w:t>Service-side idle/session timeout in many bindings; not simply “reply timeout”</w:t>
            </w:r>
          </w:p>
        </w:tc>
      </w:tr>
    </w:tbl>
    <w:p>
      <w:pPr>
        <w:spacing w:after="20"/>
      </w:pPr>
    </w:p>
    <w:p>
      <w:pPr>
        <w:pStyle w:val="Heading2"/>
      </w:pPr>
      <w:r>
        <w:t>Quotas and limits</w:t>
      </w:r>
    </w:p>
    <w:p>
      <w:pPr>
        <w:pStyle w:val="ListBullet"/>
      </w:pPr>
      <w:r>
        <w:t>MaxReceivedMessageSize: maximum received message bytes.</w:t>
      </w:r>
    </w:p>
    <w:p>
      <w:pPr>
        <w:pStyle w:val="ListBullet"/>
      </w:pPr>
      <w:r>
        <w:t>ReaderQuotas: XML depth, string length, array length, bytes per read and name-table characters.</w:t>
      </w:r>
    </w:p>
    <w:p>
      <w:pPr>
        <w:pStyle w:val="ListBullet"/>
      </w:pPr>
      <w:r>
        <w:t>MaxItemsInObjectGraph: serializer object-count limit.</w:t>
      </w:r>
    </w:p>
    <w:p>
      <w:pPr>
        <w:pStyle w:val="ListBullet"/>
      </w:pPr>
      <w:r>
        <w:t>Throttling: MaxConcurrentCalls, MaxConcurrentSessions and MaxConcurrentInstances.</w:t>
      </w:r>
    </w:p>
    <w:p>
      <w:pPr>
        <w:pStyle w:val="ListBullet"/>
      </w:pPr>
      <w:r>
        <w:t>Backlog and connection limits: transport-specific capacity controls.</w:t>
      </w:r>
    </w:p>
    <w:tbl>
      <w:tblPr>
        <w:tblW w:type="auto" w:w="0"/>
        <w:jc w:val="center"/>
        <w:tblLayout w:type="autofit"/>
        <w:tblLook w:firstColumn="1" w:firstRow="1" w:lastColumn="0" w:lastRow="0" w:noHBand="0" w:noVBand="1" w:val="04A0"/>
      </w:tblPr>
      <w:tblGrid>
        <w:gridCol w:w="9936"/>
      </w:tblGrid>
      <w:tr>
        <w:tc>
          <w:tcPr>
            <w:tcW w:type="dxa" w:w="9936"/>
            <w:shd w:fill="F4CCCC"/>
            <w:tcMar>
              <w:top w:w="130" w:type="dxa"/>
              <w:start w:w="150" w:type="dxa"/>
              <w:bottom w:w="130" w:type="dxa"/>
              <w:end w:w="150" w:type="dxa"/>
            </w:tcMar>
          </w:tcPr>
          <w:p>
            <w:r>
              <w:rPr>
                <w:b/>
                <w:color w:val="17365D"/>
              </w:rPr>
              <w:t xml:space="preserve">Security principle  </w:t>
            </w:r>
            <w:r>
              <w:t>Do not “fix” quota failures by setting everything to int.MaxValue. Size limits are reliability and security controls. Measure legitimate payloads, add margin, and reject abnormal input.</w:t>
            </w:r>
          </w:p>
        </w:tc>
      </w:tr>
    </w:tbl>
    <w:p>
      <w:pPr>
        <w:spacing w:after="0"/>
      </w:pPr>
    </w:p>
    <w:p>
      <w:pPr>
        <w:pStyle w:val="Heading1"/>
      </w:pPr>
      <w:r>
        <w:t>9. Serialization, Versioning and Faults</w:t>
      </w:r>
    </w:p>
    <w:p>
      <w:pPr>
        <w:pStyle w:val="Heading2"/>
      </w:pPr>
      <w:r>
        <w:t>Data-contract versioning</w:t>
      </w:r>
    </w:p>
    <w:p>
      <w:pPr>
        <w:pStyle w:val="ListBullet"/>
      </w:pPr>
      <w:r>
        <w:t>Prefer additive change: add optional members with stable names and Order values.</w:t>
      </w:r>
    </w:p>
    <w:p>
      <w:pPr>
        <w:pStyle w:val="ListBullet"/>
      </w:pPr>
      <w:r>
        <w:t>Do not casually rename members or change their wire type.</w:t>
      </w:r>
    </w:p>
    <w:p>
      <w:pPr>
        <w:pStyle w:val="ListBullet"/>
      </w:pPr>
      <w:r>
        <w:t>Use namespaces deliberately because they are part of the wire contract.</w:t>
      </w:r>
    </w:p>
    <w:p>
      <w:pPr>
        <w:pStyle w:val="ListBullet"/>
      </w:pPr>
      <w:r>
        <w:t>Old clients typically ignore unknown optional members; new services must tolerate missing optional members.</w:t>
      </w:r>
    </w:p>
    <w:p>
      <w:pPr>
        <w:pStyle w:val="ListBullet"/>
      </w:pPr>
      <w:r>
        <w:t>For major incompatible changes, publish a new contract namespace or endpoint version.</w:t>
      </w:r>
    </w:p>
    <w:p>
      <w:pPr>
        <w:pStyle w:val="CodeBlock"/>
      </w:pPr>
      <w:r>
        <w:t>[DataContract(Name = "Customer", Namespace = "urn:contoso:crm:v1")]</w:t>
        <w:br/>
        <w:t>public class CustomerDto</w:t>
        <w:br/>
        <w:t>{</w:t>
        <w:br/>
        <w:t xml:space="preserve">    [DataMember(Order = 1, IsRequired = true)]</w:t>
        <w:br/>
        <w:t xml:space="preserve">    public string Id { get; set; }</w:t>
      </w:r>
    </w:p>
    <w:p>
      <w:pPr>
        <w:pStyle w:val="CodeBlock"/>
      </w:pPr>
      <w:r>
        <w:t xml:space="preserve">    // Added later. Optional preserves compatibility.</w:t>
        <w:br/>
        <w:t xml:space="preserve">    [DataMember(Order = 2, EmitDefaultValue = false)]</w:t>
        <w:br/>
        <w:t xml:space="preserve">    public string PreferredLanguage { get; set; }</w:t>
        <w:br/>
        <w:t>}</w:t>
      </w:r>
    </w:p>
    <w:p>
      <w:pPr>
        <w:pStyle w:val="Heading2"/>
      </w:pPr>
      <w:r>
        <w:t>Fault design</w:t>
      </w:r>
    </w:p>
    <w:p>
      <w:r>
        <w:t>Use typed FaultException&lt;T&gt; for expected business, validation and policy failures. Give faults stable machine-readable codes and safe messages. Unexpected exceptions should be logged with a correlation ID and converted into a generic fault. Never send stack traces, SQL text, secrets or internal paths to clients.</w:t>
      </w:r>
    </w:p>
    <w:p>
      <w:pPr>
        <w:pStyle w:val="CodeBlock"/>
      </w:pPr>
      <w:r>
        <w:t>public class GlobalErrorHandler : IErrorHandler</w:t>
        <w:br/>
        <w:t>{</w:t>
        <w:br/>
        <w:t xml:space="preserve">    public bool HandleError(Exception error)</w:t>
        <w:br/>
        <w:t xml:space="preserve">    {</w:t>
        <w:br/>
        <w:t xml:space="preserve">        // Log full exception with correlation ID.</w:t>
        <w:br/>
        <w:t xml:space="preserve">        return true;</w:t>
        <w:br/>
        <w:t xml:space="preserve">    }</w:t>
      </w:r>
    </w:p>
    <w:p>
      <w:pPr>
        <w:pStyle w:val="CodeBlock"/>
      </w:pPr>
      <w:r>
        <w:t xml:space="preserve">    public void ProvideFault(Exception error, MessageVersion version, ref Message fault)</w:t>
        <w:br/>
        <w:t xml:space="preserve">    {</w:t>
        <w:br/>
        <w:t xml:space="preserve">        var id = Guid.NewGuid().ToString("N");</w:t>
        <w:br/>
        <w:t xml:space="preserve">        var safe = new FaultException(</w:t>
        <w:br/>
        <w:t xml:space="preserve">            "Unexpected service error. Correlation ID: " + id);</w:t>
        <w:br/>
        <w:t xml:space="preserve">        var messageFault = safe.CreateMessageFault();</w:t>
        <w:br/>
        <w:t xml:space="preserve">        fault = Message.CreateMessage(version, messageFault, safe.Action);</w:t>
        <w:br/>
        <w:t xml:space="preserve">    }</w:t>
        <w:br/>
        <w:t>}</w:t>
      </w:r>
    </w:p>
    <w:p>
      <w:pPr>
        <w:pStyle w:val="Heading1"/>
      </w:pPr>
      <w:r>
        <w:t>10. Instance Management, Concurrency and Sessions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InstanceContextMode</w:t>
            </w:r>
          </w:p>
        </w:tc>
        <w:tc>
          <w:tcPr>
            <w:tcW w:type="dxa" w:w="3312"/>
            <w:shd w:fill="2F5597"/>
            <w:tcMar>
              <w:top w:w="90" w:type="dxa"/>
              <w:start w:w="100" w:type="dxa"/>
              <w:bottom w:w="90" w:type="dxa"/>
              <w:end w:w="100" w:type="dxa"/>
            </w:tcMar>
            <w:vAlign w:val="center"/>
          </w:tcPr>
          <w:p>
            <w:r>
              <w:rPr>
                <w:b/>
                <w:color w:val="FFFFFF"/>
              </w:rPr>
              <w:t>Lifecycle</w:t>
            </w:r>
          </w:p>
        </w:tc>
        <w:tc>
          <w:tcPr>
            <w:tcW w:type="dxa" w:w="3312"/>
            <w:shd w:fill="2F5597"/>
            <w:tcMar>
              <w:top w:w="90" w:type="dxa"/>
              <w:start w:w="100" w:type="dxa"/>
              <w:bottom w:w="90" w:type="dxa"/>
              <w:end w:w="100" w:type="dxa"/>
            </w:tcMar>
            <w:vAlign w:val="center"/>
          </w:tcPr>
          <w:p>
            <w:r>
              <w:rPr>
                <w:b/>
                <w:color w:val="FFFFFF"/>
              </w:rPr>
              <w:t>Use</w:t>
            </w:r>
          </w:p>
        </w:tc>
      </w:tr>
      <w:tr>
        <w:tc>
          <w:tcPr>
            <w:tcW w:type="dxa" w:w="3312"/>
            <w:tcMar>
              <w:top w:w="90" w:type="dxa"/>
              <w:start w:w="100" w:type="dxa"/>
              <w:bottom w:w="90" w:type="dxa"/>
              <w:end w:w="100" w:type="dxa"/>
            </w:tcMar>
            <w:vAlign w:val="center"/>
          </w:tcPr>
          <w:p>
            <w:r>
              <w:t>PerCall</w:t>
            </w:r>
          </w:p>
        </w:tc>
        <w:tc>
          <w:tcPr>
            <w:tcW w:type="dxa" w:w="3312"/>
            <w:tcMar>
              <w:top w:w="90" w:type="dxa"/>
              <w:start w:w="100" w:type="dxa"/>
              <w:bottom w:w="90" w:type="dxa"/>
              <w:end w:w="100" w:type="dxa"/>
            </w:tcMar>
            <w:vAlign w:val="center"/>
          </w:tcPr>
          <w:p>
            <w:r>
              <w:t>New service instance per request</w:t>
            </w:r>
          </w:p>
        </w:tc>
        <w:tc>
          <w:tcPr>
            <w:tcW w:type="dxa" w:w="3312"/>
            <w:tcMar>
              <w:top w:w="90" w:type="dxa"/>
              <w:start w:w="100" w:type="dxa"/>
              <w:bottom w:w="90" w:type="dxa"/>
              <w:end w:w="100" w:type="dxa"/>
            </w:tcMar>
            <w:vAlign w:val="center"/>
          </w:tcPr>
          <w:p>
            <w:r>
              <w:t>Default choice for stateless scalable services</w:t>
            </w:r>
          </w:p>
        </w:tc>
      </w:tr>
      <w:tr>
        <w:tc>
          <w:tcPr>
            <w:tcW w:type="dxa" w:w="3312"/>
            <w:tcMar>
              <w:top w:w="90" w:type="dxa"/>
              <w:start w:w="100" w:type="dxa"/>
              <w:bottom w:w="90" w:type="dxa"/>
              <w:end w:w="100" w:type="dxa"/>
            </w:tcMar>
            <w:vAlign w:val="center"/>
            <w:shd w:fill="F3F6FA"/>
          </w:tcPr>
          <w:p>
            <w:r>
              <w:t>PerSession</w:t>
            </w:r>
          </w:p>
        </w:tc>
        <w:tc>
          <w:tcPr>
            <w:tcW w:type="dxa" w:w="3312"/>
            <w:tcMar>
              <w:top w:w="90" w:type="dxa"/>
              <w:start w:w="100" w:type="dxa"/>
              <w:bottom w:w="90" w:type="dxa"/>
              <w:end w:w="100" w:type="dxa"/>
            </w:tcMar>
            <w:vAlign w:val="center"/>
            <w:shd w:fill="F3F6FA"/>
          </w:tcPr>
          <w:p>
            <w:r>
              <w:t>One instance per supported session</w:t>
            </w:r>
          </w:p>
        </w:tc>
        <w:tc>
          <w:tcPr>
            <w:tcW w:type="dxa" w:w="3312"/>
            <w:tcMar>
              <w:top w:w="90" w:type="dxa"/>
              <w:start w:w="100" w:type="dxa"/>
              <w:bottom w:w="90" w:type="dxa"/>
              <w:end w:w="100" w:type="dxa"/>
            </w:tcMar>
            <w:vAlign w:val="center"/>
            <w:shd w:fill="F3F6FA"/>
          </w:tcPr>
          <w:p>
            <w:r>
              <w:t>Stateful conversation; requires compatible binding/session</w:t>
            </w:r>
          </w:p>
        </w:tc>
      </w:tr>
      <w:tr>
        <w:tc>
          <w:tcPr>
            <w:tcW w:type="dxa" w:w="3312"/>
            <w:tcMar>
              <w:top w:w="90" w:type="dxa"/>
              <w:start w:w="100" w:type="dxa"/>
              <w:bottom w:w="90" w:type="dxa"/>
              <w:end w:w="100" w:type="dxa"/>
            </w:tcMar>
            <w:vAlign w:val="center"/>
          </w:tcPr>
          <w:p>
            <w:r>
              <w:t>Single</w:t>
            </w:r>
          </w:p>
        </w:tc>
        <w:tc>
          <w:tcPr>
            <w:tcW w:type="dxa" w:w="3312"/>
            <w:tcMar>
              <w:top w:w="90" w:type="dxa"/>
              <w:start w:w="100" w:type="dxa"/>
              <w:bottom w:w="90" w:type="dxa"/>
              <w:end w:w="100" w:type="dxa"/>
            </w:tcMar>
            <w:vAlign w:val="center"/>
          </w:tcPr>
          <w:p>
            <w:r>
              <w:t>One instance serves all calls</w:t>
            </w:r>
          </w:p>
        </w:tc>
        <w:tc>
          <w:tcPr>
            <w:tcW w:type="dxa" w:w="3312"/>
            <w:tcMar>
              <w:top w:w="90" w:type="dxa"/>
              <w:start w:w="100" w:type="dxa"/>
              <w:bottom w:w="90" w:type="dxa"/>
              <w:end w:w="100" w:type="dxa"/>
            </w:tcMar>
            <w:vAlign w:val="center"/>
          </w:tcPr>
          <w:p>
            <w:r>
              <w:t>Shared singleton state; requires careful synchronization</w:t>
            </w:r>
          </w:p>
        </w:tc>
      </w:tr>
    </w:tbl>
    <w:p>
      <w:pPr>
        <w:spacing w:after="20"/>
      </w:pP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ConcurrencyMode</w:t>
            </w:r>
          </w:p>
        </w:tc>
        <w:tc>
          <w:tcPr>
            <w:tcW w:type="dxa" w:w="3312"/>
            <w:shd w:fill="2F5597"/>
            <w:tcMar>
              <w:top w:w="90" w:type="dxa"/>
              <w:start w:w="100" w:type="dxa"/>
              <w:bottom w:w="90" w:type="dxa"/>
              <w:end w:w="100" w:type="dxa"/>
            </w:tcMar>
            <w:vAlign w:val="center"/>
          </w:tcPr>
          <w:p>
            <w:r>
              <w:rPr>
                <w:b/>
                <w:color w:val="FFFFFF"/>
              </w:rPr>
              <w:t>Behavior</w:t>
            </w:r>
          </w:p>
        </w:tc>
        <w:tc>
          <w:tcPr>
            <w:tcW w:type="dxa" w:w="3312"/>
            <w:shd w:fill="2F5597"/>
            <w:tcMar>
              <w:top w:w="90" w:type="dxa"/>
              <w:start w:w="100" w:type="dxa"/>
              <w:bottom w:w="90" w:type="dxa"/>
              <w:end w:w="100" w:type="dxa"/>
            </w:tcMar>
            <w:vAlign w:val="center"/>
          </w:tcPr>
          <w:p>
            <w:r>
              <w:rPr>
                <w:b/>
                <w:color w:val="FFFFFF"/>
              </w:rPr>
              <w:t>Risk</w:t>
            </w:r>
          </w:p>
        </w:tc>
      </w:tr>
      <w:tr>
        <w:tc>
          <w:tcPr>
            <w:tcW w:type="dxa" w:w="3312"/>
            <w:tcMar>
              <w:top w:w="90" w:type="dxa"/>
              <w:start w:w="100" w:type="dxa"/>
              <w:bottom w:w="90" w:type="dxa"/>
              <w:end w:w="100" w:type="dxa"/>
            </w:tcMar>
            <w:vAlign w:val="center"/>
          </w:tcPr>
          <w:p>
            <w:r>
              <w:t>Single</w:t>
            </w:r>
          </w:p>
        </w:tc>
        <w:tc>
          <w:tcPr>
            <w:tcW w:type="dxa" w:w="3312"/>
            <w:tcMar>
              <w:top w:w="90" w:type="dxa"/>
              <w:start w:w="100" w:type="dxa"/>
              <w:bottom w:w="90" w:type="dxa"/>
              <w:end w:w="100" w:type="dxa"/>
            </w:tcMar>
            <w:vAlign w:val="center"/>
          </w:tcPr>
          <w:p>
            <w:r>
              <w:t>One thread enters an InstanceContext at a time</w:t>
            </w:r>
          </w:p>
        </w:tc>
        <w:tc>
          <w:tcPr>
            <w:tcW w:type="dxa" w:w="3312"/>
            <w:tcMar>
              <w:top w:w="90" w:type="dxa"/>
              <w:start w:w="100" w:type="dxa"/>
              <w:bottom w:w="90" w:type="dxa"/>
              <w:end w:w="100" w:type="dxa"/>
            </w:tcMar>
            <w:vAlign w:val="center"/>
          </w:tcPr>
          <w:p>
            <w:r>
              <w:t>Throughput bottleneck for long calls</w:t>
            </w:r>
          </w:p>
        </w:tc>
      </w:tr>
      <w:tr>
        <w:tc>
          <w:tcPr>
            <w:tcW w:type="dxa" w:w="3312"/>
            <w:tcMar>
              <w:top w:w="90" w:type="dxa"/>
              <w:start w:w="100" w:type="dxa"/>
              <w:bottom w:w="90" w:type="dxa"/>
              <w:end w:w="100" w:type="dxa"/>
            </w:tcMar>
            <w:vAlign w:val="center"/>
            <w:shd w:fill="F3F6FA"/>
          </w:tcPr>
          <w:p>
            <w:r>
              <w:t>Multiple</w:t>
            </w:r>
          </w:p>
        </w:tc>
        <w:tc>
          <w:tcPr>
            <w:tcW w:type="dxa" w:w="3312"/>
            <w:tcMar>
              <w:top w:w="90" w:type="dxa"/>
              <w:start w:w="100" w:type="dxa"/>
              <w:bottom w:w="90" w:type="dxa"/>
              <w:end w:w="100" w:type="dxa"/>
            </w:tcMar>
            <w:vAlign w:val="center"/>
            <w:shd w:fill="F3F6FA"/>
          </w:tcPr>
          <w:p>
            <w:r>
              <w:t>Multiple threads can enter</w:t>
            </w:r>
          </w:p>
        </w:tc>
        <w:tc>
          <w:tcPr>
            <w:tcW w:type="dxa" w:w="3312"/>
            <w:tcMar>
              <w:top w:w="90" w:type="dxa"/>
              <w:start w:w="100" w:type="dxa"/>
              <w:bottom w:w="90" w:type="dxa"/>
              <w:end w:w="100" w:type="dxa"/>
            </w:tcMar>
            <w:vAlign w:val="center"/>
            <w:shd w:fill="F3F6FA"/>
          </w:tcPr>
          <w:p>
            <w:r>
              <w:t>Service state must be thread-safe</w:t>
            </w:r>
          </w:p>
        </w:tc>
      </w:tr>
      <w:tr>
        <w:tc>
          <w:tcPr>
            <w:tcW w:type="dxa" w:w="3312"/>
            <w:tcMar>
              <w:top w:w="90" w:type="dxa"/>
              <w:start w:w="100" w:type="dxa"/>
              <w:bottom w:w="90" w:type="dxa"/>
              <w:end w:w="100" w:type="dxa"/>
            </w:tcMar>
            <w:vAlign w:val="center"/>
          </w:tcPr>
          <w:p>
            <w:r>
              <w:t>Reentrant</w:t>
            </w:r>
          </w:p>
        </w:tc>
        <w:tc>
          <w:tcPr>
            <w:tcW w:type="dxa" w:w="3312"/>
            <w:tcMar>
              <w:top w:w="90" w:type="dxa"/>
              <w:start w:w="100" w:type="dxa"/>
              <w:bottom w:w="90" w:type="dxa"/>
              <w:end w:w="100" w:type="dxa"/>
            </w:tcMar>
            <w:vAlign w:val="center"/>
          </w:tcPr>
          <w:p>
            <w:r>
              <w:t>Allows reentry around outbound calls</w:t>
            </w:r>
          </w:p>
        </w:tc>
        <w:tc>
          <w:tcPr>
            <w:tcW w:type="dxa" w:w="3312"/>
            <w:tcMar>
              <w:top w:w="90" w:type="dxa"/>
              <w:start w:w="100" w:type="dxa"/>
              <w:bottom w:w="90" w:type="dxa"/>
              <w:end w:w="100" w:type="dxa"/>
            </w:tcMar>
            <w:vAlign w:val="center"/>
          </w:tcPr>
          <w:p>
            <w:r>
              <w:t>Advanced callback/deadlock scenarios</w:t>
            </w:r>
          </w:p>
        </w:tc>
      </w:tr>
    </w:tbl>
    <w:p>
      <w:pPr>
        <w:spacing w:after="20"/>
      </w:pPr>
    </w:p>
    <w:p>
      <w:r>
        <w:t>The combination matters. PerCall + Single is simple because each request gets its own object. Single + Multiple can scale calls but every mutable field is shared concurrently. PerSession can consume memory and couples scaling to connection/session affinity.</w:t>
      </w:r>
    </w:p>
    <w:p>
      <w:pPr>
        <w:pStyle w:val="Heading2"/>
      </w:pPr>
      <w:r>
        <w:t>Deadlock pattern to avoid</w:t>
      </w:r>
    </w:p>
    <w:p>
      <w:r>
        <w:t>A service holds a lock and makes an outbound call or duplex callback. The remote side calls back and waits for the same lock. Avoid holding locks across network calls. Copy required state under the lock, release it, then call externally.</w:t>
      </w:r>
    </w:p>
    <w:p>
      <w:pPr>
        <w:pStyle w:val="Heading1"/>
      </w:pPr>
      <w:r>
        <w:t>11. Security</w:t>
      </w:r>
    </w:p>
    <w:p>
      <w:pPr>
        <w:pStyle w:val="Heading2"/>
      </w:pPr>
      <w:r>
        <w:t>Security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Layer</w:t>
            </w:r>
          </w:p>
        </w:tc>
        <w:tc>
          <w:tcPr>
            <w:tcW w:type="dxa" w:w="3312"/>
            <w:shd w:fill="2F5597"/>
            <w:tcMar>
              <w:top w:w="90" w:type="dxa"/>
              <w:start w:w="100" w:type="dxa"/>
              <w:bottom w:w="90" w:type="dxa"/>
              <w:end w:w="100" w:type="dxa"/>
            </w:tcMar>
            <w:vAlign w:val="center"/>
          </w:tcPr>
          <w:p>
            <w:r>
              <w:rPr>
                <w:b/>
                <w:color w:val="FFFFFF"/>
              </w:rPr>
              <w:t>Protects</w:t>
            </w:r>
          </w:p>
        </w:tc>
        <w:tc>
          <w:tcPr>
            <w:tcW w:type="dxa" w:w="3312"/>
            <w:shd w:fill="2F5597"/>
            <w:tcMar>
              <w:top w:w="90" w:type="dxa"/>
              <w:start w:w="100" w:type="dxa"/>
              <w:bottom w:w="90" w:type="dxa"/>
              <w:end w:w="100" w:type="dxa"/>
            </w:tcMar>
            <w:vAlign w:val="center"/>
          </w:tcPr>
          <w:p>
            <w:r>
              <w:rPr>
                <w:b/>
                <w:color w:val="FFFFFF"/>
              </w:rPr>
              <w:t>Examples</w:t>
            </w:r>
          </w:p>
        </w:tc>
      </w:tr>
      <w:tr>
        <w:tc>
          <w:tcPr>
            <w:tcW w:type="dxa" w:w="3312"/>
            <w:tcMar>
              <w:top w:w="90" w:type="dxa"/>
              <w:start w:w="100" w:type="dxa"/>
              <w:bottom w:w="90" w:type="dxa"/>
              <w:end w:w="100" w:type="dxa"/>
            </w:tcMar>
            <w:vAlign w:val="center"/>
          </w:tcPr>
          <w:p>
            <w:r>
              <w:t>Transport security</w:t>
            </w:r>
          </w:p>
        </w:tc>
        <w:tc>
          <w:tcPr>
            <w:tcW w:type="dxa" w:w="3312"/>
            <w:tcMar>
              <w:top w:w="90" w:type="dxa"/>
              <w:start w:w="100" w:type="dxa"/>
              <w:bottom w:w="90" w:type="dxa"/>
              <w:end w:w="100" w:type="dxa"/>
            </w:tcMar>
            <w:vAlign w:val="center"/>
          </w:tcPr>
          <w:p>
            <w:r>
              <w:t>Point-to-point channel</w:t>
            </w:r>
          </w:p>
        </w:tc>
        <w:tc>
          <w:tcPr>
            <w:tcW w:type="dxa" w:w="3312"/>
            <w:tcMar>
              <w:top w:w="90" w:type="dxa"/>
              <w:start w:w="100" w:type="dxa"/>
              <w:bottom w:w="90" w:type="dxa"/>
              <w:end w:w="100" w:type="dxa"/>
            </w:tcMar>
            <w:vAlign w:val="center"/>
          </w:tcPr>
          <w:p>
            <w:r>
              <w:t>HTTPS/TLS, Windows transport security</w:t>
            </w:r>
          </w:p>
        </w:tc>
      </w:tr>
      <w:tr>
        <w:tc>
          <w:tcPr>
            <w:tcW w:type="dxa" w:w="3312"/>
            <w:tcMar>
              <w:top w:w="90" w:type="dxa"/>
              <w:start w:w="100" w:type="dxa"/>
              <w:bottom w:w="90" w:type="dxa"/>
              <w:end w:w="100" w:type="dxa"/>
            </w:tcMar>
            <w:vAlign w:val="center"/>
            <w:shd w:fill="F3F6FA"/>
          </w:tcPr>
          <w:p>
            <w:r>
              <w:t>Message security</w:t>
            </w:r>
          </w:p>
        </w:tc>
        <w:tc>
          <w:tcPr>
            <w:tcW w:type="dxa" w:w="3312"/>
            <w:tcMar>
              <w:top w:w="90" w:type="dxa"/>
              <w:start w:w="100" w:type="dxa"/>
              <w:bottom w:w="90" w:type="dxa"/>
              <w:end w:w="100" w:type="dxa"/>
            </w:tcMar>
            <w:vAlign w:val="center"/>
            <w:shd w:fill="F3F6FA"/>
          </w:tcPr>
          <w:p>
            <w:r>
              <w:t>SOAP message end-to-end through intermediaries</w:t>
            </w:r>
          </w:p>
        </w:tc>
        <w:tc>
          <w:tcPr>
            <w:tcW w:type="dxa" w:w="3312"/>
            <w:tcMar>
              <w:top w:w="90" w:type="dxa"/>
              <w:start w:w="100" w:type="dxa"/>
              <w:bottom w:w="90" w:type="dxa"/>
              <w:end w:w="100" w:type="dxa"/>
            </w:tcMar>
            <w:vAlign w:val="center"/>
            <w:shd w:fill="F3F6FA"/>
          </w:tcPr>
          <w:p>
            <w:r>
              <w:t>WS-Security signatures and encryption</w:t>
            </w:r>
          </w:p>
        </w:tc>
      </w:tr>
      <w:tr>
        <w:tc>
          <w:tcPr>
            <w:tcW w:type="dxa" w:w="3312"/>
            <w:tcMar>
              <w:top w:w="90" w:type="dxa"/>
              <w:start w:w="100" w:type="dxa"/>
              <w:bottom w:w="90" w:type="dxa"/>
              <w:end w:w="100" w:type="dxa"/>
            </w:tcMar>
            <w:vAlign w:val="center"/>
          </w:tcPr>
          <w:p>
            <w:r>
              <w:t>Authentication</w:t>
            </w:r>
          </w:p>
        </w:tc>
        <w:tc>
          <w:tcPr>
            <w:tcW w:type="dxa" w:w="3312"/>
            <w:tcMar>
              <w:top w:w="90" w:type="dxa"/>
              <w:start w:w="100" w:type="dxa"/>
              <w:bottom w:w="90" w:type="dxa"/>
              <w:end w:w="100" w:type="dxa"/>
            </w:tcMar>
            <w:vAlign w:val="center"/>
          </w:tcPr>
          <w:p>
            <w:r>
              <w:t>Who is calling?</w:t>
            </w:r>
          </w:p>
        </w:tc>
        <w:tc>
          <w:tcPr>
            <w:tcW w:type="dxa" w:w="3312"/>
            <w:tcMar>
              <w:top w:w="90" w:type="dxa"/>
              <w:start w:w="100" w:type="dxa"/>
              <w:bottom w:w="90" w:type="dxa"/>
              <w:end w:w="100" w:type="dxa"/>
            </w:tcMar>
            <w:vAlign w:val="center"/>
          </w:tcPr>
          <w:p>
            <w:r>
              <w:t>Windows, certificate, username token, federated token depending on binding</w:t>
            </w:r>
          </w:p>
        </w:tc>
      </w:tr>
      <w:tr>
        <w:tc>
          <w:tcPr>
            <w:tcW w:type="dxa" w:w="3312"/>
            <w:tcMar>
              <w:top w:w="90" w:type="dxa"/>
              <w:start w:w="100" w:type="dxa"/>
              <w:bottom w:w="90" w:type="dxa"/>
              <w:end w:w="100" w:type="dxa"/>
            </w:tcMar>
            <w:vAlign w:val="center"/>
            <w:shd w:fill="F3F6FA"/>
          </w:tcPr>
          <w:p>
            <w:r>
              <w:t>Authorization</w:t>
            </w:r>
          </w:p>
        </w:tc>
        <w:tc>
          <w:tcPr>
            <w:tcW w:type="dxa" w:w="3312"/>
            <w:tcMar>
              <w:top w:w="90" w:type="dxa"/>
              <w:start w:w="100" w:type="dxa"/>
              <w:bottom w:w="90" w:type="dxa"/>
              <w:end w:w="100" w:type="dxa"/>
            </w:tcMar>
            <w:vAlign w:val="center"/>
            <w:shd w:fill="F3F6FA"/>
          </w:tcPr>
          <w:p>
            <w:r>
              <w:t>What may the caller do?</w:t>
            </w:r>
          </w:p>
        </w:tc>
        <w:tc>
          <w:tcPr>
            <w:tcW w:type="dxa" w:w="3312"/>
            <w:tcMar>
              <w:top w:w="90" w:type="dxa"/>
              <w:start w:w="100" w:type="dxa"/>
              <w:bottom w:w="90" w:type="dxa"/>
              <w:end w:w="100" w:type="dxa"/>
            </w:tcMar>
            <w:vAlign w:val="center"/>
            <w:shd w:fill="F3F6FA"/>
          </w:tcPr>
          <w:p>
            <w:r>
              <w:t>Claims, roles, operation policies</w:t>
            </w:r>
          </w:p>
        </w:tc>
      </w:tr>
      <w:tr>
        <w:tc>
          <w:tcPr>
            <w:tcW w:type="dxa" w:w="3312"/>
            <w:tcMar>
              <w:top w:w="90" w:type="dxa"/>
              <w:start w:w="100" w:type="dxa"/>
              <w:bottom w:w="90" w:type="dxa"/>
              <w:end w:w="100" w:type="dxa"/>
            </w:tcMar>
            <w:vAlign w:val="center"/>
          </w:tcPr>
          <w:p>
            <w:r>
              <w:t>Auditing</w:t>
            </w:r>
          </w:p>
        </w:tc>
        <w:tc>
          <w:tcPr>
            <w:tcW w:type="dxa" w:w="3312"/>
            <w:tcMar>
              <w:top w:w="90" w:type="dxa"/>
              <w:start w:w="100" w:type="dxa"/>
              <w:bottom w:w="90" w:type="dxa"/>
              <w:end w:w="100" w:type="dxa"/>
            </w:tcMar>
            <w:vAlign w:val="center"/>
          </w:tcPr>
          <w:p>
            <w:r>
              <w:t>What happened?</w:t>
            </w:r>
          </w:p>
        </w:tc>
        <w:tc>
          <w:tcPr>
            <w:tcW w:type="dxa" w:w="3312"/>
            <w:tcMar>
              <w:top w:w="90" w:type="dxa"/>
              <w:start w:w="100" w:type="dxa"/>
              <w:bottom w:w="90" w:type="dxa"/>
              <w:end w:w="100" w:type="dxa"/>
            </w:tcMar>
            <w:vAlign w:val="center"/>
          </w:tcPr>
          <w:p>
            <w:r>
              <w:t>Identity, operation, decision, correlation ID; avoid secret data</w:t>
            </w:r>
          </w:p>
        </w:tc>
      </w:tr>
    </w:tbl>
    <w:p>
      <w:pPr>
        <w:spacing w:after="20"/>
      </w:pPr>
    </w:p>
    <w:p>
      <w:pPr>
        <w:pStyle w:val="Heading2"/>
      </w:pPr>
      <w:r>
        <w:t>Practical baseline</w:t>
      </w:r>
    </w:p>
    <w:p>
      <w:pPr>
        <w:pStyle w:val="ListBullet"/>
      </w:pPr>
      <w:r>
        <w:t>Use HTTPS for HTTP endpoints and validate certificates.</w:t>
      </w:r>
    </w:p>
    <w:p>
      <w:pPr>
        <w:pStyle w:val="ListBullet"/>
      </w:pPr>
      <w:r>
        <w:t>Run services under a least-privilege identity.</w:t>
      </w:r>
    </w:p>
    <w:p>
      <w:pPr>
        <w:pStyle w:val="ListBullet"/>
      </w:pPr>
      <w:r>
        <w:t>Prefer integrated Windows authentication for trusted domain intranets when appropriate.</w:t>
      </w:r>
    </w:p>
    <w:p>
      <w:pPr>
        <w:pStyle w:val="ListBullet"/>
      </w:pPr>
      <w:r>
        <w:t>Authorize at the operation/business-resource level, not only at the firewall.</w:t>
      </w:r>
    </w:p>
    <w:p>
      <w:pPr>
        <w:pStyle w:val="ListBullet"/>
      </w:pPr>
      <w:r>
        <w:t>Protect secrets with a managed secret store; never hard-code credentials.</w:t>
      </w:r>
    </w:p>
    <w:p>
      <w:pPr>
        <w:pStyle w:val="ListBullet"/>
      </w:pPr>
      <w:r>
        <w:t>Disable detailed exception information outside controlled development.</w:t>
      </w:r>
    </w:p>
    <w:p>
      <w:pPr>
        <w:pStyle w:val="ListBullet"/>
      </w:pPr>
      <w:r>
        <w:t>Set message size, XML and concurrency quotas.</w:t>
      </w:r>
    </w:p>
    <w:p>
      <w:pPr>
        <w:pStyle w:val="ListBullet"/>
      </w:pPr>
      <w:r>
        <w:t>Patch the OS, .NET runtime, CoreWCF packages and dependencies under a defined support policy.</w:t>
      </w:r>
    </w:p>
    <w:tbl>
      <w:tblPr>
        <w:tblW w:type="auto" w:w="0"/>
        <w:jc w:val="center"/>
        <w:tblLayout w:type="autofit"/>
        <w:tblLook w:firstColumn="1" w:firstRow="1" w:lastColumn="0" w:lastRow="0" w:noHBand="0" w:noVBand="1" w:val="04A0"/>
      </w:tblPr>
      <w:tblGrid>
        <w:gridCol w:w="9936"/>
      </w:tblGrid>
      <w:tr>
        <w:tc>
          <w:tcPr>
            <w:tcW w:type="dxa" w:w="9936"/>
            <w:shd w:fill="FCE4D6"/>
            <w:tcMar>
              <w:top w:w="130" w:type="dxa"/>
              <w:start w:w="150" w:type="dxa"/>
              <w:bottom w:w="130" w:type="dxa"/>
              <w:end w:w="150" w:type="dxa"/>
            </w:tcMar>
          </w:tcPr>
          <w:p>
            <w:r>
              <w:rPr>
                <w:b/>
                <w:color w:val="17365D"/>
              </w:rPr>
              <w:t xml:space="preserve">Threat model  </w:t>
            </w:r>
            <w:r>
              <w:t>Ask who can connect, who can read or modify traffic, whether intermediaries terminate TLS, what replay means, what data is sensitive, and how credentials/certificates rotate.</w:t>
            </w:r>
          </w:p>
        </w:tc>
      </w:tr>
    </w:tbl>
    <w:p>
      <w:pPr>
        <w:spacing w:after="0"/>
      </w:pPr>
    </w:p>
    <w:p>
      <w:pPr>
        <w:pStyle w:val="Heading1"/>
      </w:pPr>
      <w:r>
        <w:t>12. Reliability, Performance and Observability</w:t>
      </w:r>
    </w:p>
    <w:p>
      <w:pPr>
        <w:pStyle w:val="Heading2"/>
      </w:pPr>
      <w:r>
        <w:t>Performance levers</w:t>
      </w:r>
    </w:p>
    <w:p>
      <w:pPr>
        <w:pStyle w:val="ListBullet"/>
      </w:pPr>
      <w:r>
        <w:t>Reduce network round trips through coarse-grained operations.</w:t>
      </w:r>
    </w:p>
    <w:p>
      <w:pPr>
        <w:pStyle w:val="ListBullet"/>
      </w:pPr>
      <w:r>
        <w:t>Use DTOs designed for the wire, not huge domain object graphs.</w:t>
      </w:r>
    </w:p>
    <w:p>
      <w:pPr>
        <w:pStyle w:val="ListBullet"/>
      </w:pPr>
      <w:r>
        <w:t>Choose text for interoperability, binary for controlled WCF-to-WCF performance, and MTOM for large binary content where justified.</w:t>
      </w:r>
    </w:p>
    <w:p>
      <w:pPr>
        <w:pStyle w:val="ListBullet"/>
      </w:pPr>
      <w:r>
        <w:t>Reuse ChannelFactory objects when safe; creating them repeatedly is expensive. Manage client channels carefully.</w:t>
      </w:r>
    </w:p>
    <w:p>
      <w:pPr>
        <w:pStyle w:val="ListBullet"/>
      </w:pPr>
      <w:r>
        <w:t>Tune throttling from load tests, downstream capacity and thread behavior.</w:t>
      </w:r>
    </w:p>
    <w:p>
      <w:pPr>
        <w:pStyle w:val="ListBullet"/>
      </w:pPr>
      <w:r>
        <w:t>Use asynchronous operations for I/O-heavy work where supported by your target stack.</w:t>
      </w:r>
    </w:p>
    <w:p>
      <w:pPr>
        <w:pStyle w:val="ListBullet"/>
      </w:pPr>
      <w:r>
        <w:t>Measure serialization time, queue time, service execution time, downstream time and payload bytes separately.</w:t>
      </w:r>
    </w:p>
    <w:p>
      <w:pPr>
        <w:pStyle w:val="Heading2"/>
      </w:pPr>
      <w:r>
        <w:t>Safe client cleanup</w:t>
      </w:r>
    </w:p>
    <w:p>
      <w:r>
        <w:t>Close can throw because it performs network work. If a channel or factory is faulted, abort it. Avoid a plain using statement around client proxies when Dispose/Close could hide the original business exception.</w:t>
      </w:r>
    </w:p>
    <w:p>
      <w:pPr>
        <w:pStyle w:val="Heading2"/>
      </w:pPr>
      <w:r>
        <w:t>Retries</w:t>
      </w:r>
    </w:p>
    <w:p>
      <w:pPr>
        <w:pStyle w:val="ListBullet"/>
      </w:pPr>
      <w:r>
        <w:t>Retry only transient failures and only when the operation is idempotent or protected by an idempotency key.</w:t>
      </w:r>
    </w:p>
    <w:p>
      <w:pPr>
        <w:pStyle w:val="ListBullet"/>
      </w:pPr>
      <w:r>
        <w:t>Use a small bounded retry count with exponential backoff and jitter.</w:t>
      </w:r>
    </w:p>
    <w:p>
      <w:pPr>
        <w:pStyle w:val="ListBullet"/>
      </w:pPr>
      <w:r>
        <w:t>Do not retry validation faults, authentication failures or deterministic contract mismatches.</w:t>
      </w:r>
    </w:p>
    <w:p>
      <w:pPr>
        <w:pStyle w:val="ListBullet"/>
      </w:pPr>
      <w:r>
        <w:t>Ensure total retry time fits the caller’s end-to-end deadline.</w:t>
      </w:r>
    </w:p>
    <w:p>
      <w:pPr>
        <w:pStyle w:val="ListBullet"/>
      </w:pPr>
      <w:r>
        <w:t>Add circuit breaking and bulkheads at integration boundaries where the hosting stack allows it.</w:t>
      </w:r>
    </w:p>
    <w:p>
      <w:pPr>
        <w:pStyle w:val="Heading2"/>
      </w:pPr>
      <w:r>
        <w:t>Observability fields</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Signal</w:t>
            </w:r>
          </w:p>
        </w:tc>
        <w:tc>
          <w:tcPr>
            <w:tcW w:type="dxa" w:w="4968"/>
            <w:shd w:fill="2F5597"/>
            <w:tcMar>
              <w:top w:w="90" w:type="dxa"/>
              <w:start w:w="100" w:type="dxa"/>
              <w:bottom w:w="90" w:type="dxa"/>
              <w:end w:w="100" w:type="dxa"/>
            </w:tcMar>
            <w:vAlign w:val="center"/>
          </w:tcPr>
          <w:p>
            <w:r>
              <w:rPr>
                <w:b/>
                <w:color w:val="FFFFFF"/>
              </w:rPr>
              <w:t>Capture</w:t>
            </w:r>
          </w:p>
        </w:tc>
      </w:tr>
      <w:tr>
        <w:tc>
          <w:tcPr>
            <w:tcW w:type="dxa" w:w="4968"/>
            <w:tcMar>
              <w:top w:w="90" w:type="dxa"/>
              <w:start w:w="100" w:type="dxa"/>
              <w:bottom w:w="90" w:type="dxa"/>
              <w:end w:w="100" w:type="dxa"/>
            </w:tcMar>
            <w:vAlign w:val="center"/>
          </w:tcPr>
          <w:p>
            <w:r>
              <w:t>Request log</w:t>
            </w:r>
          </w:p>
        </w:tc>
        <w:tc>
          <w:tcPr>
            <w:tcW w:type="dxa" w:w="4968"/>
            <w:tcMar>
              <w:top w:w="90" w:type="dxa"/>
              <w:start w:w="100" w:type="dxa"/>
              <w:bottom w:w="90" w:type="dxa"/>
              <w:end w:w="100" w:type="dxa"/>
            </w:tcMar>
            <w:vAlign w:val="center"/>
          </w:tcPr>
          <w:p>
            <w:r>
              <w:t>Timestamp, endpoint, operation, caller identity category, correlation ID</w:t>
            </w:r>
          </w:p>
        </w:tc>
      </w:tr>
      <w:tr>
        <w:tc>
          <w:tcPr>
            <w:tcW w:type="dxa" w:w="4968"/>
            <w:tcMar>
              <w:top w:w="90" w:type="dxa"/>
              <w:start w:w="100" w:type="dxa"/>
              <w:bottom w:w="90" w:type="dxa"/>
              <w:end w:w="100" w:type="dxa"/>
            </w:tcMar>
            <w:vAlign w:val="center"/>
            <w:shd w:fill="F3F6FA"/>
          </w:tcPr>
          <w:p>
            <w:r>
              <w:t>Latency</w:t>
            </w:r>
          </w:p>
        </w:tc>
        <w:tc>
          <w:tcPr>
            <w:tcW w:type="dxa" w:w="4968"/>
            <w:tcMar>
              <w:top w:w="90" w:type="dxa"/>
              <w:start w:w="100" w:type="dxa"/>
              <w:bottom w:w="90" w:type="dxa"/>
              <w:end w:w="100" w:type="dxa"/>
            </w:tcMar>
            <w:vAlign w:val="center"/>
            <w:shd w:fill="F3F6FA"/>
          </w:tcPr>
          <w:p>
            <w:r>
              <w:t>Total and stage timings; p50, p95, p99</w:t>
            </w:r>
          </w:p>
        </w:tc>
      </w:tr>
      <w:tr>
        <w:tc>
          <w:tcPr>
            <w:tcW w:type="dxa" w:w="4968"/>
            <w:tcMar>
              <w:top w:w="90" w:type="dxa"/>
              <w:start w:w="100" w:type="dxa"/>
              <w:bottom w:w="90" w:type="dxa"/>
              <w:end w:w="100" w:type="dxa"/>
            </w:tcMar>
            <w:vAlign w:val="center"/>
          </w:tcPr>
          <w:p>
            <w:r>
              <w:t>Traffic</w:t>
            </w:r>
          </w:p>
        </w:tc>
        <w:tc>
          <w:tcPr>
            <w:tcW w:type="dxa" w:w="4968"/>
            <w:tcMar>
              <w:top w:w="90" w:type="dxa"/>
              <w:start w:w="100" w:type="dxa"/>
              <w:bottom w:w="90" w:type="dxa"/>
              <w:end w:w="100" w:type="dxa"/>
            </w:tcMar>
            <w:vAlign w:val="center"/>
          </w:tcPr>
          <w:p>
            <w:r>
              <w:t>Requests/sec, payload sizes, concurrent calls/sessions</w:t>
            </w:r>
          </w:p>
        </w:tc>
      </w:tr>
      <w:tr>
        <w:tc>
          <w:tcPr>
            <w:tcW w:type="dxa" w:w="4968"/>
            <w:tcMar>
              <w:top w:w="90" w:type="dxa"/>
              <w:start w:w="100" w:type="dxa"/>
              <w:bottom w:w="90" w:type="dxa"/>
              <w:end w:w="100" w:type="dxa"/>
            </w:tcMar>
            <w:vAlign w:val="center"/>
            <w:shd w:fill="F3F6FA"/>
          </w:tcPr>
          <w:p>
            <w:r>
              <w:t>Errors</w:t>
            </w:r>
          </w:p>
        </w:tc>
        <w:tc>
          <w:tcPr>
            <w:tcW w:type="dxa" w:w="4968"/>
            <w:tcMar>
              <w:top w:w="90" w:type="dxa"/>
              <w:start w:w="100" w:type="dxa"/>
              <w:bottom w:w="90" w:type="dxa"/>
              <w:end w:w="100" w:type="dxa"/>
            </w:tcMar>
            <w:vAlign w:val="center"/>
            <w:shd w:fill="F3F6FA"/>
          </w:tcPr>
          <w:p>
            <w:r>
              <w:t>Fault code, exception type internally, channel state, dependency</w:t>
            </w:r>
          </w:p>
        </w:tc>
      </w:tr>
      <w:tr>
        <w:tc>
          <w:tcPr>
            <w:tcW w:type="dxa" w:w="4968"/>
            <w:tcMar>
              <w:top w:w="90" w:type="dxa"/>
              <w:start w:w="100" w:type="dxa"/>
              <w:bottom w:w="90" w:type="dxa"/>
              <w:end w:w="100" w:type="dxa"/>
            </w:tcMar>
            <w:vAlign w:val="center"/>
          </w:tcPr>
          <w:p>
            <w:r>
              <w:t>Capacity</w:t>
            </w:r>
          </w:p>
        </w:tc>
        <w:tc>
          <w:tcPr>
            <w:tcW w:type="dxa" w:w="4968"/>
            <w:tcMar>
              <w:top w:w="90" w:type="dxa"/>
              <w:start w:w="100" w:type="dxa"/>
              <w:bottom w:w="90" w:type="dxa"/>
              <w:end w:w="100" w:type="dxa"/>
            </w:tcMar>
            <w:vAlign w:val="center"/>
          </w:tcPr>
          <w:p>
            <w:r>
              <w:t>Thread pool, CPU, memory, GC, connection queues, throttling rejections</w:t>
            </w:r>
          </w:p>
        </w:tc>
      </w:tr>
    </w:tbl>
    <w:p>
      <w:pPr>
        <w:spacing w:after="20"/>
      </w:pPr>
    </w:p>
    <w:p>
      <w:pPr>
        <w:pStyle w:val="Heading1"/>
      </w:pPr>
      <w:r>
        <w:t>13. When to Use and When Not to Use WCF</w:t>
      </w:r>
    </w:p>
    <w:p>
      <w:pPr>
        <w:pStyle w:val="Heading2"/>
      </w:pPr>
      <w:r>
        <w:t>Use WCF when</w:t>
      </w:r>
    </w:p>
    <w:p>
      <w:pPr>
        <w:pStyle w:val="ListBullet"/>
      </w:pPr>
      <w:r>
        <w:t>You maintain a stable .NET Framework enterprise estate already built on WCF.</w:t>
      </w:r>
    </w:p>
    <w:p>
      <w:pPr>
        <w:pStyle w:val="ListBullet"/>
      </w:pPr>
      <w:r>
        <w:t>A partner or industry contract requires SOAP/WSDL or WS-* behavior.</w:t>
      </w:r>
    </w:p>
    <w:p>
      <w:pPr>
        <w:pStyle w:val="ListBullet"/>
      </w:pPr>
      <w:r>
        <w:t>You need Windows-integrated intranet communication with existing operational expertise.</w:t>
      </w:r>
    </w:p>
    <w:p>
      <w:pPr>
        <w:pStyle w:val="ListBullet"/>
      </w:pPr>
      <w:r>
        <w:t>Existing clients depend on NetTcpBinding, callbacks, message security, reliable sessions or transaction flow.</w:t>
      </w:r>
    </w:p>
    <w:p>
      <w:pPr>
        <w:pStyle w:val="ListBullet"/>
      </w:pPr>
      <w:r>
        <w:t>Migration risk is higher than the value of immediate replacement, and the platform remains supported and secured.</w:t>
      </w:r>
    </w:p>
    <w:p>
      <w:pPr>
        <w:pStyle w:val="Heading2"/>
      </w:pPr>
      <w:r>
        <w:t>Consider CoreWCF when</w:t>
      </w:r>
    </w:p>
    <w:p>
      <w:pPr>
        <w:pStyle w:val="ListBullet"/>
      </w:pPr>
      <w:r>
        <w:t>You need to move an existing WCF service implementation toward modern .NET while preserving compatible contracts and much of the service model.</w:t>
      </w:r>
    </w:p>
    <w:p>
      <w:pPr>
        <w:pStyle w:val="ListBullet"/>
      </w:pPr>
      <w:r>
        <w:t>A staged modernization is safer than replacing every client and protocol at once.</w:t>
      </w:r>
    </w:p>
    <w:p>
      <w:pPr>
        <w:pStyle w:val="ListBullet"/>
      </w:pPr>
      <w:r>
        <w:t>Your required bindings and behaviors are supported after a feature-by-feature gap assessment.</w:t>
      </w:r>
    </w:p>
    <w:p>
      <w:pPr>
        <w:pStyle w:val="Heading2"/>
      </w:pPr>
      <w:r>
        <w:t>Do not choose WCF first when</w:t>
      </w:r>
    </w:p>
    <w:p>
      <w:pPr>
        <w:pStyle w:val="ListBullet"/>
      </w:pPr>
      <w:r>
        <w:t>You are creating a new public HTTP API where JSON/REST and OpenAPI are the ecosystem standard.</w:t>
      </w:r>
    </w:p>
    <w:p>
      <w:pPr>
        <w:pStyle w:val="ListBullet"/>
      </w:pPr>
      <w:r>
        <w:t>You need browser/mobile-first clients with minimal SOAP tooling.</w:t>
      </w:r>
    </w:p>
    <w:p>
      <w:pPr>
        <w:pStyle w:val="ListBullet"/>
      </w:pPr>
      <w:r>
        <w:t>You need cloud-native streaming or low-latency polyglot RPC and gRPC fits the environment.</w:t>
      </w:r>
    </w:p>
    <w:p>
      <w:pPr>
        <w:pStyle w:val="ListBullet"/>
      </w:pPr>
      <w:r>
        <w:t>You need event-driven decoupling where a durable broker is a better model than synchronous RPC.</w:t>
      </w:r>
    </w:p>
    <w:p>
      <w:pPr>
        <w:pStyle w:val="ListBullet"/>
      </w:pPr>
      <w:r>
        <w:t>The team lacks Windows/WCF operational skills and no unique WCF capability is required.</w:t>
      </w:r>
    </w:p>
    <w:p>
      <w:pPr>
        <w:pStyle w:val="ListBullet"/>
      </w:pPr>
      <w:r>
        <w:t>You expect lightweight container-first cross-platform services and can design a modern contract without legacy compatibility constraints.</w:t>
      </w:r>
    </w:p>
    <w:p>
      <w:pPr>
        <w:pStyle w:val="Heading1"/>
      </w:pPr>
      <w:r>
        <w:t>14. Production Incident Walkthroughs</w:t>
      </w:r>
    </w:p>
    <w:tbl>
      <w:tblPr>
        <w:tblW w:type="auto" w:w="0"/>
        <w:jc w:val="center"/>
        <w:tblLayout w:type="autofit"/>
        <w:tblLook w:firstColumn="1" w:firstRow="1" w:lastColumn="0" w:lastRow="0" w:noHBand="0" w:noVBand="1" w:val="04A0"/>
      </w:tblPr>
      <w:tblGrid>
        <w:gridCol w:w="9936"/>
      </w:tblGrid>
      <w:tr>
        <w:tc>
          <w:tcPr>
            <w:tcW w:type="dxa" w:w="9936"/>
            <w:shd w:fill="EAF2F8"/>
            <w:tcMar>
              <w:top w:w="130" w:type="dxa"/>
              <w:start w:w="150" w:type="dxa"/>
              <w:bottom w:w="130" w:type="dxa"/>
              <w:end w:w="150" w:type="dxa"/>
            </w:tcMar>
          </w:tcPr>
          <w:p>
            <w:r>
              <w:rPr>
                <w:b/>
                <w:color w:val="17365D"/>
              </w:rPr>
              <w:t xml:space="preserve">Note  </w:t>
            </w:r>
            <w:r>
              <w:t>These are representative production-style incidents, written as realistic case studies rather than claims about personal experience.</w:t>
            </w:r>
          </w:p>
        </w:tc>
      </w:tr>
    </w:tbl>
    <w:p>
      <w:pPr>
        <w:spacing w:after="0"/>
      </w:pPr>
    </w:p>
    <w:p>
      <w:pPr>
        <w:pStyle w:val="Heading2"/>
      </w:pPr>
      <w:r>
        <w:t>Incident A: Intermittent client failures after a server exception</w:t>
      </w:r>
    </w:p>
    <w:p>
      <w:r>
        <w:t>Symptoms: After one timeout or CommunicationException, later calls on the cached proxy immediately failed with “The communication object cannot be used for communication because it is in the Faulted state.”</w:t>
      </w:r>
    </w:p>
    <w:p>
      <w:r>
        <w:t>Root cause: The application treated a WCF proxy like a normal reusable object. A communication failure faulted its underlying channel, but the proxy remained in a singleton cache.</w:t>
      </w:r>
    </w:p>
    <w:p>
      <w:r>
        <w:t>Resolution: Removed shared proxy caching. Reused ChannelFactory&lt;T&gt; instead, created a channel per logical operation or short-lived unit of work, closed successful channels, and aborted faulted channels. Added metrics for channel-state failures and transient connection errors.</w:t>
      </w:r>
    </w:p>
    <w:p>
      <w:r>
        <w:t>Prevention: Encapsulate channel lifetime in one tested helper; never return a faulted channel to a pool; classify idempotent operations before adding retries.</w:t>
      </w:r>
    </w:p>
    <w:p>
      <w:pPr>
        <w:pStyle w:val="Heading2"/>
      </w:pPr>
      <w:r>
        <w:t>Incident B: Large messages fail only in production</w:t>
      </w:r>
    </w:p>
    <w:p>
      <w:r>
        <w:t>Symptoms: Small requests passed. Larger payloads failed with quota or “maximum message size quota exceeded” errors. Raising only MaxReceivedMessageSize on the client did not fix it.</w:t>
      </w:r>
    </w:p>
    <w:p>
      <w:r>
        <w:t>Root cause: Limits were asymmetric. The receiving service had a lower MaxReceivedMessageSize, and XML reader quotas or MaxItemsInObjectGraph were also lower than the payload shape required.</w:t>
      </w:r>
    </w:p>
    <w:p>
      <w:r>
        <w:t>Resolution: Measured legitimate wire size and graph complexity, aligned limits on the actual receiving side, increased only the necessary quotas, and introduced upload size validation and telemetry. For very large content, redesigned the API to stream or use external object storage rather than embedding giant object graphs.</w:t>
      </w:r>
    </w:p>
    <w:p>
      <w:r>
        <w:t>Prevention: Contract tests at boundary sizes, explicit documented quotas, and dashboards for request bytes and rejection reason.</w:t>
      </w:r>
    </w:p>
    <w:p>
      <w:pPr>
        <w:pStyle w:val="Heading2"/>
      </w:pPr>
      <w:r>
        <w:t>Incident C: Throughput collapses during a dependency slowdown</w:t>
      </w:r>
    </w:p>
    <w:p>
      <w:r>
        <w:t>Symptoms: Latency rose sharply, threads accumulated, and even healthy operations timed out after a downstream database slowed.</w:t>
      </w:r>
    </w:p>
    <w:p>
      <w:r>
        <w:t>Root cause: Long synchronous calls occupied service concurrency slots. Timeouts were inconsistent, throttling did not reflect dependency capacity, and callers retried simultaneously, creating a retry storm.</w:t>
      </w:r>
    </w:p>
    <w:p>
      <w:r>
        <w:t>Resolution: Set an end-to-end deadline budget, reduced and aligned downstream timeouts, bounded retries with jitter, made commands idempotent, separated expensive operations, and tuned service throttling from load tests. Added dependency timing and saturation metrics.</w:t>
      </w:r>
    </w:p>
    <w:p>
      <w:r>
        <w:t>Trade-off: Lower timeouts shed work sooner and protect the system, but users may see more fast failures during brief spikes. The correct value follows the service-level objective and dependency behavior, not guesswork.</w:t>
      </w:r>
    </w:p>
    <w:p>
      <w:pPr>
        <w:pStyle w:val="Heading1"/>
      </w:pPr>
      <w:r>
        <w:t>15. Trade-offs and Alternatives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2F5597"/>
            <w:tcMar>
              <w:top w:w="90" w:type="dxa"/>
              <w:start w:w="100" w:type="dxa"/>
              <w:bottom w:w="90" w:type="dxa"/>
              <w:end w:w="100" w:type="dxa"/>
            </w:tcMar>
            <w:vAlign w:val="center"/>
          </w:tcPr>
          <w:p>
            <w:r>
              <w:rPr>
                <w:b/>
                <w:color w:val="FFFFFF"/>
              </w:rPr>
              <w:t>Choice</w:t>
            </w:r>
          </w:p>
        </w:tc>
        <w:tc>
          <w:tcPr>
            <w:tcW w:type="dxa" w:w="3312"/>
            <w:shd w:fill="2F5597"/>
            <w:tcMar>
              <w:top w:w="90" w:type="dxa"/>
              <w:start w:w="100" w:type="dxa"/>
              <w:bottom w:w="90" w:type="dxa"/>
              <w:end w:w="100" w:type="dxa"/>
            </w:tcMar>
            <w:vAlign w:val="center"/>
          </w:tcPr>
          <w:p>
            <w:r>
              <w:rPr>
                <w:b/>
                <w:color w:val="FFFFFF"/>
              </w:rPr>
              <w:t>Advantages</w:t>
            </w:r>
          </w:p>
        </w:tc>
        <w:tc>
          <w:tcPr>
            <w:tcW w:type="dxa" w:w="3312"/>
            <w:shd w:fill="2F5597"/>
            <w:tcMar>
              <w:top w:w="90" w:type="dxa"/>
              <w:start w:w="100" w:type="dxa"/>
              <w:bottom w:w="90" w:type="dxa"/>
              <w:end w:w="100" w:type="dxa"/>
            </w:tcMar>
            <w:vAlign w:val="center"/>
          </w:tcPr>
          <w:p>
            <w:r>
              <w:rPr>
                <w:b/>
                <w:color w:val="FFFFFF"/>
              </w:rPr>
              <w:t>Costs</w:t>
            </w:r>
          </w:p>
        </w:tc>
      </w:tr>
      <w:tr>
        <w:tc>
          <w:tcPr>
            <w:tcW w:type="dxa" w:w="3312"/>
            <w:tcMar>
              <w:top w:w="90" w:type="dxa"/>
              <w:start w:w="100" w:type="dxa"/>
              <w:bottom w:w="90" w:type="dxa"/>
              <w:end w:w="100" w:type="dxa"/>
            </w:tcMar>
            <w:vAlign w:val="center"/>
          </w:tcPr>
          <w:p>
            <w:r>
              <w:t>WCF SOAP</w:t>
            </w:r>
          </w:p>
        </w:tc>
        <w:tc>
          <w:tcPr>
            <w:tcW w:type="dxa" w:w="3312"/>
            <w:tcMar>
              <w:top w:w="90" w:type="dxa"/>
              <w:start w:w="100" w:type="dxa"/>
              <w:bottom w:w="90" w:type="dxa"/>
              <w:end w:w="100" w:type="dxa"/>
            </w:tcMar>
            <w:vAlign w:val="center"/>
          </w:tcPr>
          <w:p>
            <w:r>
              <w:t>Mature contracts, WS-* features, tooling, enterprise compatibility</w:t>
            </w:r>
          </w:p>
        </w:tc>
        <w:tc>
          <w:tcPr>
            <w:tcW w:type="dxa" w:w="3312"/>
            <w:tcMar>
              <w:top w:w="90" w:type="dxa"/>
              <w:start w:w="100" w:type="dxa"/>
              <w:bottom w:w="90" w:type="dxa"/>
              <w:end w:w="100" w:type="dxa"/>
            </w:tcMar>
            <w:vAlign w:val="center"/>
          </w:tcPr>
          <w:p>
            <w:r>
              <w:t>Complex configuration, XML overhead, legacy skillset</w:t>
            </w:r>
          </w:p>
        </w:tc>
      </w:tr>
      <w:tr>
        <w:tc>
          <w:tcPr>
            <w:tcW w:type="dxa" w:w="3312"/>
            <w:tcMar>
              <w:top w:w="90" w:type="dxa"/>
              <w:start w:w="100" w:type="dxa"/>
              <w:bottom w:w="90" w:type="dxa"/>
              <w:end w:w="100" w:type="dxa"/>
            </w:tcMar>
            <w:vAlign w:val="center"/>
            <w:shd w:fill="F3F6FA"/>
          </w:tcPr>
          <w:p>
            <w:r>
              <w:t>CoreWCF</w:t>
            </w:r>
          </w:p>
        </w:tc>
        <w:tc>
          <w:tcPr>
            <w:tcW w:type="dxa" w:w="3312"/>
            <w:tcMar>
              <w:top w:w="90" w:type="dxa"/>
              <w:start w:w="100" w:type="dxa"/>
              <w:bottom w:w="90" w:type="dxa"/>
              <w:end w:w="100" w:type="dxa"/>
            </w:tcMar>
            <w:vAlign w:val="center"/>
            <w:shd w:fill="F3F6FA"/>
          </w:tcPr>
          <w:p>
            <w:r>
              <w:t>Modern .NET migration path for many WCF servers</w:t>
            </w:r>
          </w:p>
        </w:tc>
        <w:tc>
          <w:tcPr>
            <w:tcW w:type="dxa" w:w="3312"/>
            <w:tcMar>
              <w:top w:w="90" w:type="dxa"/>
              <w:start w:w="100" w:type="dxa"/>
              <w:bottom w:w="90" w:type="dxa"/>
              <w:end w:w="100" w:type="dxa"/>
            </w:tcMar>
            <w:vAlign w:val="center"/>
            <w:shd w:fill="F3F6FA"/>
          </w:tcPr>
          <w:p>
            <w:r>
              <w:t>Not a perfect feature-for-feature replacement; migration validation required</w:t>
            </w:r>
          </w:p>
        </w:tc>
      </w:tr>
      <w:tr>
        <w:tc>
          <w:tcPr>
            <w:tcW w:type="dxa" w:w="3312"/>
            <w:tcMar>
              <w:top w:w="90" w:type="dxa"/>
              <w:start w:w="100" w:type="dxa"/>
              <w:bottom w:w="90" w:type="dxa"/>
              <w:end w:w="100" w:type="dxa"/>
            </w:tcMar>
            <w:vAlign w:val="center"/>
          </w:tcPr>
          <w:p>
            <w:r>
              <w:t>ASP.NET Core REST</w:t>
            </w:r>
          </w:p>
        </w:tc>
        <w:tc>
          <w:tcPr>
            <w:tcW w:type="dxa" w:w="3312"/>
            <w:tcMar>
              <w:top w:w="90" w:type="dxa"/>
              <w:start w:w="100" w:type="dxa"/>
              <w:bottom w:w="90" w:type="dxa"/>
              <w:end w:w="100" w:type="dxa"/>
            </w:tcMar>
            <w:vAlign w:val="center"/>
          </w:tcPr>
          <w:p>
            <w:r>
              <w:t>Simple web ecosystem, JSON, OpenAPI, broad client reach</w:t>
            </w:r>
          </w:p>
        </w:tc>
        <w:tc>
          <w:tcPr>
            <w:tcW w:type="dxa" w:w="3312"/>
            <w:tcMar>
              <w:top w:w="90" w:type="dxa"/>
              <w:start w:w="100" w:type="dxa"/>
              <w:bottom w:w="90" w:type="dxa"/>
              <w:end w:w="100" w:type="dxa"/>
            </w:tcMar>
            <w:vAlign w:val="center"/>
          </w:tcPr>
          <w:p>
            <w:r>
              <w:t>No native equivalent for every WS-* capability</w:t>
            </w:r>
          </w:p>
        </w:tc>
      </w:tr>
      <w:tr>
        <w:tc>
          <w:tcPr>
            <w:tcW w:type="dxa" w:w="3312"/>
            <w:tcMar>
              <w:top w:w="90" w:type="dxa"/>
              <w:start w:w="100" w:type="dxa"/>
              <w:bottom w:w="90" w:type="dxa"/>
              <w:end w:w="100" w:type="dxa"/>
            </w:tcMar>
            <w:vAlign w:val="center"/>
            <w:shd w:fill="F3F6FA"/>
          </w:tcPr>
          <w:p>
            <w:r>
              <w:t>gRPC</w:t>
            </w:r>
          </w:p>
        </w:tc>
        <w:tc>
          <w:tcPr>
            <w:tcW w:type="dxa" w:w="3312"/>
            <w:tcMar>
              <w:top w:w="90" w:type="dxa"/>
              <w:start w:w="100" w:type="dxa"/>
              <w:bottom w:w="90" w:type="dxa"/>
              <w:end w:w="100" w:type="dxa"/>
            </w:tcMar>
            <w:vAlign w:val="center"/>
            <w:shd w:fill="F3F6FA"/>
          </w:tcPr>
          <w:p>
            <w:r>
              <w:t>Strong contracts, efficient binary protocol, streaming</w:t>
            </w:r>
          </w:p>
        </w:tc>
        <w:tc>
          <w:tcPr>
            <w:tcW w:type="dxa" w:w="3312"/>
            <w:tcMar>
              <w:top w:w="90" w:type="dxa"/>
              <w:start w:w="100" w:type="dxa"/>
              <w:bottom w:w="90" w:type="dxa"/>
              <w:end w:w="100" w:type="dxa"/>
            </w:tcMar>
            <w:vAlign w:val="center"/>
            <w:shd w:fill="F3F6FA"/>
          </w:tcPr>
          <w:p>
            <w:r>
              <w:t>HTTP/2/proxy constraints, browser considerations, different ecosystem</w:t>
            </w:r>
          </w:p>
        </w:tc>
      </w:tr>
      <w:tr>
        <w:tc>
          <w:tcPr>
            <w:tcW w:type="dxa" w:w="3312"/>
            <w:tcMar>
              <w:top w:w="90" w:type="dxa"/>
              <w:start w:w="100" w:type="dxa"/>
              <w:bottom w:w="90" w:type="dxa"/>
              <w:end w:w="100" w:type="dxa"/>
            </w:tcMar>
            <w:vAlign w:val="center"/>
          </w:tcPr>
          <w:p>
            <w:r>
              <w:t>Message broker</w:t>
            </w:r>
          </w:p>
        </w:tc>
        <w:tc>
          <w:tcPr>
            <w:tcW w:type="dxa" w:w="3312"/>
            <w:tcMar>
              <w:top w:w="90" w:type="dxa"/>
              <w:start w:w="100" w:type="dxa"/>
              <w:bottom w:w="90" w:type="dxa"/>
              <w:end w:w="100" w:type="dxa"/>
            </w:tcMar>
            <w:vAlign w:val="center"/>
          </w:tcPr>
          <w:p>
            <w:r>
              <w:t>Durability, decoupling, load leveling</w:t>
            </w:r>
          </w:p>
        </w:tc>
        <w:tc>
          <w:tcPr>
            <w:tcW w:type="dxa" w:w="3312"/>
            <w:tcMar>
              <w:top w:w="90" w:type="dxa"/>
              <w:start w:w="100" w:type="dxa"/>
              <w:bottom w:w="90" w:type="dxa"/>
              <w:end w:w="100" w:type="dxa"/>
            </w:tcMar>
            <w:vAlign w:val="center"/>
          </w:tcPr>
          <w:p>
            <w:r>
              <w:t>Eventual consistency, operational broker complexity</w:t>
            </w:r>
          </w:p>
        </w:tc>
      </w:tr>
      <w:tr>
        <w:tc>
          <w:tcPr>
            <w:tcW w:type="dxa" w:w="3312"/>
            <w:tcMar>
              <w:top w:w="90" w:type="dxa"/>
              <w:start w:w="100" w:type="dxa"/>
              <w:bottom w:w="90" w:type="dxa"/>
              <w:end w:w="100" w:type="dxa"/>
            </w:tcMar>
            <w:vAlign w:val="center"/>
            <w:shd w:fill="F3F6FA"/>
          </w:tcPr>
          <w:p>
            <w:r>
              <w:t>Direct database sharing</w:t>
            </w:r>
          </w:p>
        </w:tc>
        <w:tc>
          <w:tcPr>
            <w:tcW w:type="dxa" w:w="3312"/>
            <w:tcMar>
              <w:top w:w="90" w:type="dxa"/>
              <w:start w:w="100" w:type="dxa"/>
              <w:bottom w:w="90" w:type="dxa"/>
              <w:end w:w="100" w:type="dxa"/>
            </w:tcMar>
            <w:vAlign w:val="center"/>
            <w:shd w:fill="F3F6FA"/>
          </w:tcPr>
          <w:p>
            <w:r>
              <w:t>Initially simple</w:t>
            </w:r>
          </w:p>
        </w:tc>
        <w:tc>
          <w:tcPr>
            <w:tcW w:type="dxa" w:w="3312"/>
            <w:tcMar>
              <w:top w:w="90" w:type="dxa"/>
              <w:start w:w="100" w:type="dxa"/>
              <w:bottom w:w="90" w:type="dxa"/>
              <w:end w:w="100" w:type="dxa"/>
            </w:tcMar>
            <w:vAlign w:val="center"/>
            <w:shd w:fill="F3F6FA"/>
          </w:tcPr>
          <w:p>
            <w:r>
              <w:t>Tight coupling, security and schema ownership problems; generally avoid</w:t>
            </w:r>
          </w:p>
        </w:tc>
      </w:tr>
    </w:tbl>
    <w:p>
      <w:pPr>
        <w:spacing w:after="20"/>
      </w:pPr>
    </w:p>
    <w:p>
      <w:pPr>
        <w:pStyle w:val="Heading2"/>
      </w:pPr>
      <w:r>
        <w:t>Decision matrix</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Requirement</w:t>
            </w:r>
          </w:p>
        </w:tc>
        <w:tc>
          <w:tcPr>
            <w:tcW w:type="dxa" w:w="4968"/>
            <w:shd w:fill="2F5597"/>
            <w:tcMar>
              <w:top w:w="90" w:type="dxa"/>
              <w:start w:w="100" w:type="dxa"/>
              <w:bottom w:w="90" w:type="dxa"/>
              <w:end w:w="100" w:type="dxa"/>
            </w:tcMar>
            <w:vAlign w:val="center"/>
          </w:tcPr>
          <w:p>
            <w:r>
              <w:rPr>
                <w:b/>
                <w:color w:val="FFFFFF"/>
              </w:rPr>
              <w:t>Likely option</w:t>
            </w:r>
          </w:p>
        </w:tc>
      </w:tr>
      <w:tr>
        <w:tc>
          <w:tcPr>
            <w:tcW w:type="dxa" w:w="4968"/>
            <w:tcMar>
              <w:top w:w="90" w:type="dxa"/>
              <w:start w:w="100" w:type="dxa"/>
              <w:bottom w:w="90" w:type="dxa"/>
              <w:end w:w="100" w:type="dxa"/>
            </w:tcMar>
            <w:vAlign w:val="center"/>
          </w:tcPr>
          <w:p>
            <w:r>
              <w:t>Existing SOAP clients and WS-*</w:t>
            </w:r>
          </w:p>
        </w:tc>
        <w:tc>
          <w:tcPr>
            <w:tcW w:type="dxa" w:w="4968"/>
            <w:tcMar>
              <w:top w:w="90" w:type="dxa"/>
              <w:start w:w="100" w:type="dxa"/>
              <w:bottom w:w="90" w:type="dxa"/>
              <w:end w:w="100" w:type="dxa"/>
            </w:tcMar>
            <w:vAlign w:val="center"/>
          </w:tcPr>
          <w:p>
            <w:r>
              <w:t>WCF or CoreWCF after compatibility assessment</w:t>
            </w:r>
          </w:p>
        </w:tc>
      </w:tr>
      <w:tr>
        <w:tc>
          <w:tcPr>
            <w:tcW w:type="dxa" w:w="4968"/>
            <w:tcMar>
              <w:top w:w="90" w:type="dxa"/>
              <w:start w:w="100" w:type="dxa"/>
              <w:bottom w:w="90" w:type="dxa"/>
              <w:end w:w="100" w:type="dxa"/>
            </w:tcMar>
            <w:vAlign w:val="center"/>
            <w:shd w:fill="F3F6FA"/>
          </w:tcPr>
          <w:p>
            <w:r>
              <w:t>New public CRUD API</w:t>
            </w:r>
          </w:p>
        </w:tc>
        <w:tc>
          <w:tcPr>
            <w:tcW w:type="dxa" w:w="4968"/>
            <w:tcMar>
              <w:top w:w="90" w:type="dxa"/>
              <w:start w:w="100" w:type="dxa"/>
              <w:bottom w:w="90" w:type="dxa"/>
              <w:end w:w="100" w:type="dxa"/>
            </w:tcMar>
            <w:vAlign w:val="center"/>
            <w:shd w:fill="F3F6FA"/>
          </w:tcPr>
          <w:p>
            <w:r>
              <w:t>ASP.NET Core REST</w:t>
            </w:r>
          </w:p>
        </w:tc>
      </w:tr>
      <w:tr>
        <w:tc>
          <w:tcPr>
            <w:tcW w:type="dxa" w:w="4968"/>
            <w:tcMar>
              <w:top w:w="90" w:type="dxa"/>
              <w:start w:w="100" w:type="dxa"/>
              <w:bottom w:w="90" w:type="dxa"/>
              <w:end w:w="100" w:type="dxa"/>
            </w:tcMar>
            <w:vAlign w:val="center"/>
          </w:tcPr>
          <w:p>
            <w:r>
              <w:t>Internal high-throughput typed RPC</w:t>
            </w:r>
          </w:p>
        </w:tc>
        <w:tc>
          <w:tcPr>
            <w:tcW w:type="dxa" w:w="4968"/>
            <w:tcMar>
              <w:top w:w="90" w:type="dxa"/>
              <w:start w:w="100" w:type="dxa"/>
              <w:bottom w:w="90" w:type="dxa"/>
              <w:end w:w="100" w:type="dxa"/>
            </w:tcMar>
            <w:vAlign w:val="center"/>
          </w:tcPr>
          <w:p>
            <w:r>
              <w:t>gRPC</w:t>
            </w:r>
          </w:p>
        </w:tc>
      </w:tr>
      <w:tr>
        <w:tc>
          <w:tcPr>
            <w:tcW w:type="dxa" w:w="4968"/>
            <w:tcMar>
              <w:top w:w="90" w:type="dxa"/>
              <w:start w:w="100" w:type="dxa"/>
              <w:bottom w:w="90" w:type="dxa"/>
              <w:end w:w="100" w:type="dxa"/>
            </w:tcMar>
            <w:vAlign w:val="center"/>
            <w:shd w:fill="F3F6FA"/>
          </w:tcPr>
          <w:p>
            <w:r>
              <w:t>Durable asynchronous workflow</w:t>
            </w:r>
          </w:p>
        </w:tc>
        <w:tc>
          <w:tcPr>
            <w:tcW w:type="dxa" w:w="4968"/>
            <w:tcMar>
              <w:top w:w="90" w:type="dxa"/>
              <w:start w:w="100" w:type="dxa"/>
              <w:bottom w:w="90" w:type="dxa"/>
              <w:end w:w="100" w:type="dxa"/>
            </w:tcMar>
            <w:vAlign w:val="center"/>
            <w:shd w:fill="F3F6FA"/>
          </w:tcPr>
          <w:p>
            <w:r>
              <w:t>Message broker</w:t>
            </w:r>
          </w:p>
        </w:tc>
      </w:tr>
      <w:tr>
        <w:tc>
          <w:tcPr>
            <w:tcW w:type="dxa" w:w="4968"/>
            <w:tcMar>
              <w:top w:w="90" w:type="dxa"/>
              <w:start w:w="100" w:type="dxa"/>
              <w:bottom w:w="90" w:type="dxa"/>
              <w:end w:w="100" w:type="dxa"/>
            </w:tcMar>
            <w:vAlign w:val="center"/>
          </w:tcPr>
          <w:p>
            <w:r>
              <w:t>Same-machine legacy IPC</w:t>
            </w:r>
          </w:p>
        </w:tc>
        <w:tc>
          <w:tcPr>
            <w:tcW w:type="dxa" w:w="4968"/>
            <w:tcMar>
              <w:top w:w="90" w:type="dxa"/>
              <w:start w:w="100" w:type="dxa"/>
              <w:bottom w:w="90" w:type="dxa"/>
              <w:end w:w="100" w:type="dxa"/>
            </w:tcMar>
            <w:vAlign w:val="center"/>
          </w:tcPr>
          <w:p>
            <w:r>
              <w:t>Named pipes may remain practical</w:t>
            </w:r>
          </w:p>
        </w:tc>
      </w:tr>
      <w:tr>
        <w:tc>
          <w:tcPr>
            <w:tcW w:type="dxa" w:w="4968"/>
            <w:tcMar>
              <w:top w:w="90" w:type="dxa"/>
              <w:start w:w="100" w:type="dxa"/>
              <w:bottom w:w="90" w:type="dxa"/>
              <w:end w:w="100" w:type="dxa"/>
            </w:tcMar>
            <w:vAlign w:val="center"/>
            <w:shd w:fill="F3F6FA"/>
          </w:tcPr>
          <w:p>
            <w:r>
              <w:t>Incremental WCF modernization</w:t>
            </w:r>
          </w:p>
        </w:tc>
        <w:tc>
          <w:tcPr>
            <w:tcW w:type="dxa" w:w="4968"/>
            <w:tcMar>
              <w:top w:w="90" w:type="dxa"/>
              <w:start w:w="100" w:type="dxa"/>
              <w:bottom w:w="90" w:type="dxa"/>
              <w:end w:w="100" w:type="dxa"/>
            </w:tcMar>
            <w:vAlign w:val="center"/>
            <w:shd w:fill="F3F6FA"/>
          </w:tcPr>
          <w:p>
            <w:r>
              <w:t>CoreWCF or façade/strangler migration</w:t>
            </w:r>
          </w:p>
        </w:tc>
      </w:tr>
    </w:tbl>
    <w:p>
      <w:pPr>
        <w:spacing w:after="20"/>
      </w:pPr>
    </w:p>
    <w:p>
      <w:pPr>
        <w:pStyle w:val="Heading1"/>
      </w:pPr>
      <w:r>
        <w:t>16. Testing and Deployment</w:t>
      </w:r>
    </w:p>
    <w:p>
      <w:pPr>
        <w:pStyle w:val="Heading2"/>
      </w:pPr>
      <w:r>
        <w:t>Testing pyramid</w:t>
      </w:r>
    </w:p>
    <w:p>
      <w:pPr>
        <w:pStyle w:val="ListBullet"/>
      </w:pPr>
      <w:r>
        <w:t>Unit tests: service business logic without a host.</w:t>
      </w:r>
    </w:p>
    <w:p>
      <w:pPr>
        <w:pStyle w:val="ListBullet"/>
      </w:pPr>
      <w:r>
        <w:t>Contract tests: serialization names, namespaces, required members, fault codes and backward compatibility.</w:t>
      </w:r>
    </w:p>
    <w:p>
      <w:pPr>
        <w:pStyle w:val="ListBullet"/>
      </w:pPr>
      <w:r>
        <w:t>In-process/integration tests: host a real endpoint on an isolated port and call through a real channel.</w:t>
      </w:r>
    </w:p>
    <w:p>
      <w:pPr>
        <w:pStyle w:val="ListBullet"/>
      </w:pPr>
      <w:r>
        <w:t>Interoperability tests: generated clients from another stack or preserved partner messages.</w:t>
      </w:r>
    </w:p>
    <w:p>
      <w:pPr>
        <w:pStyle w:val="ListBullet"/>
      </w:pPr>
      <w:r>
        <w:t>Performance tests: representative payloads, concurrency, slow dependencies and long duration.</w:t>
      </w:r>
    </w:p>
    <w:p>
      <w:pPr>
        <w:pStyle w:val="ListBullet"/>
      </w:pPr>
      <w:r>
        <w:t>Resilience tests: stop the host, expire certificates, reject credentials, exceed quotas and inject timeouts.</w:t>
      </w:r>
    </w:p>
    <w:p>
      <w:pPr>
        <w:pStyle w:val="Heading2"/>
      </w:pPr>
      <w:r>
        <w:t>Deployment checklist</w:t>
      </w:r>
    </w:p>
    <w:p>
      <w:pPr>
        <w:pStyle w:val="ListBullet"/>
      </w:pPr>
      <w:r>
        <w:t>Endpoint addresses and DNS are environment-specific and validated at startup.</w:t>
      </w:r>
    </w:p>
    <w:p>
      <w:pPr>
        <w:pStyle w:val="ListBullet"/>
      </w:pPr>
      <w:r>
        <w:t>Certificates are trusted, unexpired, correctly named and monitored for rotation.</w:t>
      </w:r>
    </w:p>
    <w:p>
      <w:pPr>
        <w:pStyle w:val="ListBullet"/>
      </w:pPr>
      <w:r>
        <w:t>Service identity has least privilege and required URL/port permissions.</w:t>
      </w:r>
    </w:p>
    <w:p>
      <w:pPr>
        <w:pStyle w:val="ListBullet"/>
      </w:pPr>
      <w:r>
        <w:t>Firewall/load balancer idle timeouts match service/session behavior.</w:t>
      </w:r>
    </w:p>
    <w:p>
      <w:pPr>
        <w:pStyle w:val="ListBullet"/>
      </w:pPr>
      <w:r>
        <w:t>Bindings and quotas match on both sides where necessary.</w:t>
      </w:r>
    </w:p>
    <w:p>
      <w:pPr>
        <w:pStyle w:val="ListBullet"/>
      </w:pPr>
      <w:r>
        <w:t>Metadata/debugging endpoints are restricted or disabled.</w:t>
      </w:r>
    </w:p>
    <w:p>
      <w:pPr>
        <w:pStyle w:val="ListBullet"/>
      </w:pPr>
      <w:r>
        <w:t>Health checks distinguish process alive, endpoint listening and dependencies ready.</w:t>
      </w:r>
    </w:p>
    <w:p>
      <w:pPr>
        <w:pStyle w:val="ListBullet"/>
      </w:pPr>
      <w:r>
        <w:t>Logs have correlation IDs and redact credentials and sensitive payloads.</w:t>
      </w:r>
    </w:p>
    <w:p>
      <w:pPr>
        <w:pStyle w:val="ListBullet"/>
      </w:pPr>
      <w:r>
        <w:t>Rollback and client compatibility plans are tested.</w:t>
      </w:r>
    </w:p>
    <w:p>
      <w:pPr>
        <w:pStyle w:val="Heading1"/>
      </w:pPr>
      <w:r>
        <w:t>17. Interview Questions with Model Answers</w:t>
      </w:r>
    </w:p>
    <w:p>
      <w:pPr>
        <w:pStyle w:val="Heading2"/>
      </w:pPr>
      <w:r>
        <w:t>What is WCF?</w:t>
      </w:r>
    </w:p>
    <w:p>
      <w:r>
        <w:t>A distributed communication framework in .NET Framework that exposes service contracts through endpoints. Each endpoint combines address, binding and contract.</w:t>
      </w:r>
    </w:p>
    <w:p>
      <w:pPr>
        <w:pStyle w:val="Heading2"/>
      </w:pPr>
      <w:r>
        <w:t>What is ABC?</w:t>
      </w:r>
    </w:p>
    <w:p>
      <w:r>
        <w:t>Address says where, binding says how, and contract says what operations and messages are available.</w:t>
      </w:r>
    </w:p>
    <w:p>
      <w:pPr>
        <w:pStyle w:val="Heading2"/>
      </w:pPr>
      <w:r>
        <w:t>Why can a WCF proxy not be reused after a communication failure?</w:t>
      </w:r>
    </w:p>
    <w:p>
      <w:r>
        <w:t>Many communication failures move the channel to Faulted. Faulted communication objects must be aborted and recreated.</w:t>
      </w:r>
    </w:p>
    <w:p>
      <w:pPr>
        <w:pStyle w:val="Heading2"/>
      </w:pPr>
      <w:r>
        <w:t>BasicHttpBinding versus WSHttpBinding?</w:t>
      </w:r>
    </w:p>
    <w:p>
      <w:r>
        <w:t>BasicHttpBinding favors SOAP 1.1 interoperability and simpler features. WSHttpBinding supports a richer WS-* stack such as message security and reliable sessions, with added complexity.</w:t>
      </w:r>
    </w:p>
    <w:p>
      <w:pPr>
        <w:pStyle w:val="Heading2"/>
      </w:pPr>
      <w:r>
        <w:t>PerCall versus PerSession?</w:t>
      </w:r>
    </w:p>
    <w:p>
      <w:r>
        <w:t>PerCall creates a fresh instance per request and scales stateless services simply. PerSession keeps instance state for a compatible session, increasing memory and lifecycle coupling.</w:t>
      </w:r>
    </w:p>
    <w:p>
      <w:pPr>
        <w:pStyle w:val="Heading2"/>
      </w:pPr>
      <w:r>
        <w:t>Why use FaultException&lt;T&gt;?</w:t>
      </w:r>
    </w:p>
    <w:p>
      <w:r>
        <w:t>It makes expected errors part of the wire contract and prevents leaking implementation exceptions.</w:t>
      </w:r>
    </w:p>
    <w:p>
      <w:pPr>
        <w:pStyle w:val="Heading2"/>
      </w:pPr>
      <w:r>
        <w:t>How do you improve throughput?</w:t>
      </w:r>
    </w:p>
    <w:p>
      <w:r>
        <w:t>Reduce chatty calls, right-size payloads, reuse factories, manage channels correctly, tune throttles from load tests, and instrument downstream latency.</w:t>
      </w:r>
    </w:p>
    <w:p>
      <w:pPr>
        <w:pStyle w:val="Heading2"/>
      </w:pPr>
      <w:r>
        <w:t>What is CoreWCF?</w:t>
      </w:r>
    </w:p>
    <w:p>
      <w:r>
        <w:t>A port of the service side of WCF to modern .NET that supports migration of many existing services; compatibility must be assessed feature by feature.</w:t>
      </w:r>
    </w:p>
    <w:p>
      <w:pPr>
        <w:pStyle w:val="Heading2"/>
      </w:pPr>
      <w:r>
        <w:t>Would you use WCF for a new microservice?</w:t>
      </w:r>
    </w:p>
    <w:p>
      <w:r>
        <w:t>Usually not by default. REST, gRPC or messaging often fit modern cloud-native systems better. WCF is justified by concrete SOAP/WS-* or legacy compatibility needs.</w:t>
      </w:r>
    </w:p>
    <w:p>
      <w:pPr>
        <w:pStyle w:val="Heading2"/>
      </w:pPr>
      <w:r>
        <w:t>How do you version a data contract?</w:t>
      </w:r>
    </w:p>
    <w:p>
      <w:r>
        <w:t>Prefer additive optional members, preserve names/namespaces/types, and create a new endpoint or namespace for incompatible changes.</w:t>
      </w:r>
    </w:p>
    <w:p>
      <w:pPr>
        <w:pStyle w:val="Heading1"/>
      </w:pPr>
      <w:r>
        <w:t>18. Learning Exercises and Cheat Sheets</w:t>
      </w:r>
    </w:p>
    <w:p>
      <w:pPr>
        <w:pStyle w:val="Heading2"/>
      </w:pPr>
      <w:r>
        <w:t>Exercises</w:t>
      </w:r>
    </w:p>
    <w:p>
      <w:pPr>
        <w:pStyle w:val="ListNumber"/>
      </w:pPr>
      <w:r>
        <w:t>Add a Multiply operation and verify the WSDL changes.</w:t>
      </w:r>
    </w:p>
    <w:p>
      <w:pPr>
        <w:pStyle w:val="ListNumber"/>
      </w:pPr>
      <w:r>
        <w:t>Add a CustomerDto with explicit DataMember ordering. Serialize old and new versions.</w:t>
      </w:r>
    </w:p>
    <w:p>
      <w:pPr>
        <w:pStyle w:val="ListNumber"/>
      </w:pPr>
      <w:r>
        <w:t>Switch the sample from BasicHttpBinding to NetTcpBinding and document firewall/hosting changes.</w:t>
      </w:r>
    </w:p>
    <w:p>
      <w:pPr>
        <w:pStyle w:val="ListNumber"/>
      </w:pPr>
      <w:r>
        <w:t>Add an IErrorHandler behavior that generates correlation IDs.</w:t>
      </w:r>
    </w:p>
    <w:p>
      <w:pPr>
        <w:pStyle w:val="ListNumber"/>
      </w:pPr>
      <w:r>
        <w:t>Set MaxReceivedMessageSize to a tiny value, reproduce the failure, and identify which side receives the oversized message.</w:t>
      </w:r>
    </w:p>
    <w:p>
      <w:pPr>
        <w:pStyle w:val="ListNumber"/>
      </w:pPr>
      <w:r>
        <w:t>Run 50 parallel calls against a singleton service with an unsafe counter. Observe the race, then fix or redesign it.</w:t>
      </w:r>
    </w:p>
    <w:p>
      <w:pPr>
        <w:pStyle w:val="ListNumber"/>
      </w:pPr>
      <w:r>
        <w:t>Simulate a timeout after the server commits a command. Add an idempotency key.</w:t>
      </w:r>
    </w:p>
    <w:p>
      <w:pPr>
        <w:pStyle w:val="ListNumber"/>
      </w:pPr>
      <w:r>
        <w:t>Create a compatibility checklist for migrating the sample to CoreWCF.</w:t>
      </w:r>
    </w:p>
    <w:p>
      <w:pPr>
        <w:pStyle w:val="Heading2"/>
      </w:pPr>
      <w:r>
        <w:t>One-page diagnostic flow</w:t>
      </w:r>
    </w:p>
    <w:p>
      <w:pPr>
        <w:pStyle w:val="ListNumber"/>
      </w:pPr>
      <w:r>
        <w:t>Can DNS and the port be reached?</w:t>
      </w:r>
    </w:p>
    <w:p>
      <w:pPr>
        <w:pStyle w:val="ListNumber"/>
      </w:pPr>
      <w:r>
        <w:t>Does TLS certificate validation succeed?</w:t>
      </w:r>
    </w:p>
    <w:p>
      <w:pPr>
        <w:pStyle w:val="ListNumber"/>
      </w:pPr>
      <w:r>
        <w:t>Is the service host open and endpoint address correct?</w:t>
      </w:r>
    </w:p>
    <w:p>
      <w:pPr>
        <w:pStyle w:val="ListNumber"/>
      </w:pPr>
      <w:r>
        <w:t>Do client and server binding/security settings match?</w:t>
      </w:r>
    </w:p>
    <w:p>
      <w:pPr>
        <w:pStyle w:val="ListNumber"/>
      </w:pPr>
      <w:r>
        <w:t>Is authentication accepted and authorization allowed?</w:t>
      </w:r>
    </w:p>
    <w:p>
      <w:pPr>
        <w:pStyle w:val="ListNumber"/>
      </w:pPr>
      <w:r>
        <w:t>Does the SOAP action match an operation?</w:t>
      </w:r>
    </w:p>
    <w:p>
      <w:pPr>
        <w:pStyle w:val="ListNumber"/>
      </w:pPr>
      <w:r>
        <w:t>Can input deserialize within quotas?</w:t>
      </w:r>
    </w:p>
    <w:p>
      <w:pPr>
        <w:pStyle w:val="ListNumber"/>
      </w:pPr>
      <w:r>
        <w:t>Did service code throw a typed fault or unexpected exception?</w:t>
      </w:r>
    </w:p>
    <w:p>
      <w:pPr>
        <w:pStyle w:val="ListNumber"/>
      </w:pPr>
      <w:r>
        <w:t>Can the reply serialize and fit receiver quotas?</w:t>
      </w:r>
    </w:p>
    <w:p>
      <w:pPr>
        <w:pStyle w:val="ListNumber"/>
      </w:pPr>
      <w:r>
        <w:t>Is the client channel Opened, Closed or Faulted?</w:t>
      </w:r>
    </w:p>
    <w:p>
      <w:pPr>
        <w:pStyle w:val="Heading2"/>
      </w:pPr>
      <w:r>
        <w:t>Core classes cheat sheet</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Class / attribute</w:t>
            </w:r>
          </w:p>
        </w:tc>
        <w:tc>
          <w:tcPr>
            <w:tcW w:type="dxa" w:w="4968"/>
            <w:shd w:fill="2F5597"/>
            <w:tcMar>
              <w:top w:w="90" w:type="dxa"/>
              <w:start w:w="100" w:type="dxa"/>
              <w:bottom w:w="90" w:type="dxa"/>
              <w:end w:w="100" w:type="dxa"/>
            </w:tcMar>
            <w:vAlign w:val="center"/>
          </w:tcPr>
          <w:p>
            <w:r>
              <w:rPr>
                <w:b/>
                <w:color w:val="FFFFFF"/>
              </w:rPr>
              <w:t>Purpose</w:t>
            </w:r>
          </w:p>
        </w:tc>
      </w:tr>
      <w:tr>
        <w:tc>
          <w:tcPr>
            <w:tcW w:type="dxa" w:w="4968"/>
            <w:tcMar>
              <w:top w:w="90" w:type="dxa"/>
              <w:start w:w="100" w:type="dxa"/>
              <w:bottom w:w="90" w:type="dxa"/>
              <w:end w:w="100" w:type="dxa"/>
            </w:tcMar>
            <w:vAlign w:val="center"/>
          </w:tcPr>
          <w:p>
            <w:r>
              <w:t>ServiceContractAttribute</w:t>
            </w:r>
          </w:p>
        </w:tc>
        <w:tc>
          <w:tcPr>
            <w:tcW w:type="dxa" w:w="4968"/>
            <w:tcMar>
              <w:top w:w="90" w:type="dxa"/>
              <w:start w:w="100" w:type="dxa"/>
              <w:bottom w:w="90" w:type="dxa"/>
              <w:end w:w="100" w:type="dxa"/>
            </w:tcMar>
            <w:vAlign w:val="center"/>
          </w:tcPr>
          <w:p>
            <w:r>
              <w:t>Marks a service contract</w:t>
            </w:r>
          </w:p>
        </w:tc>
      </w:tr>
      <w:tr>
        <w:tc>
          <w:tcPr>
            <w:tcW w:type="dxa" w:w="4968"/>
            <w:tcMar>
              <w:top w:w="90" w:type="dxa"/>
              <w:start w:w="100" w:type="dxa"/>
              <w:bottom w:w="90" w:type="dxa"/>
              <w:end w:w="100" w:type="dxa"/>
            </w:tcMar>
            <w:vAlign w:val="center"/>
            <w:shd w:fill="F3F6FA"/>
          </w:tcPr>
          <w:p>
            <w:r>
              <w:t>OperationContractAttribute</w:t>
            </w:r>
          </w:p>
        </w:tc>
        <w:tc>
          <w:tcPr>
            <w:tcW w:type="dxa" w:w="4968"/>
            <w:tcMar>
              <w:top w:w="90" w:type="dxa"/>
              <w:start w:w="100" w:type="dxa"/>
              <w:bottom w:w="90" w:type="dxa"/>
              <w:end w:w="100" w:type="dxa"/>
            </w:tcMar>
            <w:vAlign w:val="center"/>
            <w:shd w:fill="F3F6FA"/>
          </w:tcPr>
          <w:p>
            <w:r>
              <w:t>Exposes an operation</w:t>
            </w:r>
          </w:p>
        </w:tc>
      </w:tr>
      <w:tr>
        <w:tc>
          <w:tcPr>
            <w:tcW w:type="dxa" w:w="4968"/>
            <w:tcMar>
              <w:top w:w="90" w:type="dxa"/>
              <w:start w:w="100" w:type="dxa"/>
              <w:bottom w:w="90" w:type="dxa"/>
              <w:end w:w="100" w:type="dxa"/>
            </w:tcMar>
            <w:vAlign w:val="center"/>
          </w:tcPr>
          <w:p>
            <w:r>
              <w:t>DataContractAttribute / DataMemberAttribute</w:t>
            </w:r>
          </w:p>
        </w:tc>
        <w:tc>
          <w:tcPr>
            <w:tcW w:type="dxa" w:w="4968"/>
            <w:tcMar>
              <w:top w:w="90" w:type="dxa"/>
              <w:start w:w="100" w:type="dxa"/>
              <w:bottom w:w="90" w:type="dxa"/>
              <w:end w:w="100" w:type="dxa"/>
            </w:tcMar>
            <w:vAlign w:val="center"/>
          </w:tcPr>
          <w:p>
            <w:r>
              <w:t>Controls wire data shape</w:t>
            </w:r>
          </w:p>
        </w:tc>
      </w:tr>
      <w:tr>
        <w:tc>
          <w:tcPr>
            <w:tcW w:type="dxa" w:w="4968"/>
            <w:tcMar>
              <w:top w:w="90" w:type="dxa"/>
              <w:start w:w="100" w:type="dxa"/>
              <w:bottom w:w="90" w:type="dxa"/>
              <w:end w:w="100" w:type="dxa"/>
            </w:tcMar>
            <w:vAlign w:val="center"/>
            <w:shd w:fill="F3F6FA"/>
          </w:tcPr>
          <w:p>
            <w:r>
              <w:t>FaultContractAttribute</w:t>
            </w:r>
          </w:p>
        </w:tc>
        <w:tc>
          <w:tcPr>
            <w:tcW w:type="dxa" w:w="4968"/>
            <w:tcMar>
              <w:top w:w="90" w:type="dxa"/>
              <w:start w:w="100" w:type="dxa"/>
              <w:bottom w:w="90" w:type="dxa"/>
              <w:end w:w="100" w:type="dxa"/>
            </w:tcMar>
            <w:vAlign w:val="center"/>
            <w:shd w:fill="F3F6FA"/>
          </w:tcPr>
          <w:p>
            <w:r>
              <w:t>Declares typed faults</w:t>
            </w:r>
          </w:p>
        </w:tc>
      </w:tr>
      <w:tr>
        <w:tc>
          <w:tcPr>
            <w:tcW w:type="dxa" w:w="4968"/>
            <w:tcMar>
              <w:top w:w="90" w:type="dxa"/>
              <w:start w:w="100" w:type="dxa"/>
              <w:bottom w:w="90" w:type="dxa"/>
              <w:end w:w="100" w:type="dxa"/>
            </w:tcMar>
            <w:vAlign w:val="center"/>
          </w:tcPr>
          <w:p>
            <w:r>
              <w:t>ServiceHost</w:t>
            </w:r>
          </w:p>
        </w:tc>
        <w:tc>
          <w:tcPr>
            <w:tcW w:type="dxa" w:w="4968"/>
            <w:tcMar>
              <w:top w:w="90" w:type="dxa"/>
              <w:start w:w="100" w:type="dxa"/>
              <w:bottom w:w="90" w:type="dxa"/>
              <w:end w:w="100" w:type="dxa"/>
            </w:tcMar>
            <w:vAlign w:val="center"/>
          </w:tcPr>
          <w:p>
            <w:r>
              <w:t>Hosts classic WCF service</w:t>
            </w:r>
          </w:p>
        </w:tc>
      </w:tr>
      <w:tr>
        <w:tc>
          <w:tcPr>
            <w:tcW w:type="dxa" w:w="4968"/>
            <w:tcMar>
              <w:top w:w="90" w:type="dxa"/>
              <w:start w:w="100" w:type="dxa"/>
              <w:bottom w:w="90" w:type="dxa"/>
              <w:end w:w="100" w:type="dxa"/>
            </w:tcMar>
            <w:vAlign w:val="center"/>
            <w:shd w:fill="F3F6FA"/>
          </w:tcPr>
          <w:p>
            <w:r>
              <w:t>ChannelFactory&lt;T&gt;</w:t>
            </w:r>
          </w:p>
        </w:tc>
        <w:tc>
          <w:tcPr>
            <w:tcW w:type="dxa" w:w="4968"/>
            <w:tcMar>
              <w:top w:w="90" w:type="dxa"/>
              <w:start w:w="100" w:type="dxa"/>
              <w:bottom w:w="90" w:type="dxa"/>
              <w:end w:w="100" w:type="dxa"/>
            </w:tcMar>
            <w:vAlign w:val="center"/>
            <w:shd w:fill="F3F6FA"/>
          </w:tcPr>
          <w:p>
            <w:r>
              <w:t>Builds typed client channels</w:t>
            </w:r>
          </w:p>
        </w:tc>
      </w:tr>
      <w:tr>
        <w:tc>
          <w:tcPr>
            <w:tcW w:type="dxa" w:w="4968"/>
            <w:tcMar>
              <w:top w:w="90" w:type="dxa"/>
              <w:start w:w="100" w:type="dxa"/>
              <w:bottom w:w="90" w:type="dxa"/>
              <w:end w:w="100" w:type="dxa"/>
            </w:tcMar>
            <w:vAlign w:val="center"/>
          </w:tcPr>
          <w:p>
            <w:r>
              <w:t>EndpointAddress</w:t>
            </w:r>
          </w:p>
        </w:tc>
        <w:tc>
          <w:tcPr>
            <w:tcW w:type="dxa" w:w="4968"/>
            <w:tcMar>
              <w:top w:w="90" w:type="dxa"/>
              <w:start w:w="100" w:type="dxa"/>
              <w:bottom w:w="90" w:type="dxa"/>
              <w:end w:w="100" w:type="dxa"/>
            </w:tcMar>
            <w:vAlign w:val="center"/>
          </w:tcPr>
          <w:p>
            <w:r>
              <w:t>Represents endpoint location and identity</w:t>
            </w:r>
          </w:p>
        </w:tc>
      </w:tr>
      <w:tr>
        <w:tc>
          <w:tcPr>
            <w:tcW w:type="dxa" w:w="4968"/>
            <w:tcMar>
              <w:top w:w="90" w:type="dxa"/>
              <w:start w:w="100" w:type="dxa"/>
              <w:bottom w:w="90" w:type="dxa"/>
              <w:end w:w="100" w:type="dxa"/>
            </w:tcMar>
            <w:vAlign w:val="center"/>
            <w:shd w:fill="F3F6FA"/>
          </w:tcPr>
          <w:p>
            <w:r>
              <w:t>Binding</w:t>
            </w:r>
          </w:p>
        </w:tc>
        <w:tc>
          <w:tcPr>
            <w:tcW w:type="dxa" w:w="4968"/>
            <w:tcMar>
              <w:top w:w="90" w:type="dxa"/>
              <w:start w:w="100" w:type="dxa"/>
              <w:bottom w:w="90" w:type="dxa"/>
              <w:end w:w="100" w:type="dxa"/>
            </w:tcMar>
            <w:vAlign w:val="center"/>
            <w:shd w:fill="F3F6FA"/>
          </w:tcPr>
          <w:p>
            <w:r>
              <w:t>Defines protocol stack</w:t>
            </w:r>
          </w:p>
        </w:tc>
      </w:tr>
      <w:tr>
        <w:tc>
          <w:tcPr>
            <w:tcW w:type="dxa" w:w="4968"/>
            <w:tcMar>
              <w:top w:w="90" w:type="dxa"/>
              <w:start w:w="100" w:type="dxa"/>
              <w:bottom w:w="90" w:type="dxa"/>
              <w:end w:w="100" w:type="dxa"/>
            </w:tcMar>
            <w:vAlign w:val="center"/>
          </w:tcPr>
          <w:p>
            <w:r>
              <w:t>OperationContext</w:t>
            </w:r>
          </w:p>
        </w:tc>
        <w:tc>
          <w:tcPr>
            <w:tcW w:type="dxa" w:w="4968"/>
            <w:tcMar>
              <w:top w:w="90" w:type="dxa"/>
              <w:start w:w="100" w:type="dxa"/>
              <w:bottom w:w="90" w:type="dxa"/>
              <w:end w:w="100" w:type="dxa"/>
            </w:tcMar>
            <w:vAlign w:val="center"/>
          </w:tcPr>
          <w:p>
            <w:r>
              <w:t>Current call context and headers</w:t>
            </w:r>
          </w:p>
        </w:tc>
      </w:tr>
      <w:tr>
        <w:tc>
          <w:tcPr>
            <w:tcW w:type="dxa" w:w="4968"/>
            <w:tcMar>
              <w:top w:w="90" w:type="dxa"/>
              <w:start w:w="100" w:type="dxa"/>
              <w:bottom w:w="90" w:type="dxa"/>
              <w:end w:w="100" w:type="dxa"/>
            </w:tcMar>
            <w:vAlign w:val="center"/>
            <w:shd w:fill="F3F6FA"/>
          </w:tcPr>
          <w:p>
            <w:r>
              <w:t>IErrorHandler</w:t>
            </w:r>
          </w:p>
        </w:tc>
        <w:tc>
          <w:tcPr>
            <w:tcW w:type="dxa" w:w="4968"/>
            <w:tcMar>
              <w:top w:w="90" w:type="dxa"/>
              <w:start w:w="100" w:type="dxa"/>
              <w:bottom w:w="90" w:type="dxa"/>
              <w:end w:w="100" w:type="dxa"/>
            </w:tcMar>
            <w:vAlign w:val="center"/>
            <w:shd w:fill="F3F6FA"/>
          </w:tcPr>
          <w:p>
            <w:r>
              <w:t>Central service-side error transformation/logging</w:t>
            </w:r>
          </w:p>
        </w:tc>
      </w:tr>
      <w:tr>
        <w:tc>
          <w:tcPr>
            <w:tcW w:type="dxa" w:w="4968"/>
            <w:tcMar>
              <w:top w:w="90" w:type="dxa"/>
              <w:start w:w="100" w:type="dxa"/>
              <w:bottom w:w="90" w:type="dxa"/>
              <w:end w:w="100" w:type="dxa"/>
            </w:tcMar>
            <w:vAlign w:val="center"/>
          </w:tcPr>
          <w:p>
            <w:r>
              <w:t>IClientMessageInspector / IDispatchMessageInspector</w:t>
            </w:r>
          </w:p>
        </w:tc>
        <w:tc>
          <w:tcPr>
            <w:tcW w:type="dxa" w:w="4968"/>
            <w:tcMar>
              <w:top w:w="90" w:type="dxa"/>
              <w:start w:w="100" w:type="dxa"/>
              <w:bottom w:w="90" w:type="dxa"/>
              <w:end w:w="100" w:type="dxa"/>
            </w:tcMar>
            <w:vAlign w:val="center"/>
          </w:tcPr>
          <w:p>
            <w:r>
              <w:t>Message observation/custom headers</w:t>
            </w:r>
          </w:p>
        </w:tc>
      </w:tr>
    </w:tbl>
    <w:p>
      <w:pPr>
        <w:spacing w:after="20"/>
      </w:pPr>
    </w:p>
    <w:p>
      <w:pPr>
        <w:pStyle w:val="Heading1"/>
      </w:pPr>
      <w:r>
        <w:t>19. Glossary and References</w:t>
      </w:r>
    </w:p>
    <w:tbl>
      <w:tblPr>
        <w:tblStyle w:val="TableGrid"/>
        <w:tblW w:type="auto" w:w="0"/>
        <w:jc w:val="center"/>
        <w:tblLook w:firstColumn="1" w:firstRow="1" w:lastColumn="0" w:lastRow="0" w:noHBand="0" w:noVBand="1" w:val="04A0"/>
      </w:tblPr>
      <w:tblGrid>
        <w:gridCol w:w="4968"/>
        <w:gridCol w:w="4968"/>
      </w:tblGrid>
      <w:tr>
        <w:tc>
          <w:tcPr>
            <w:tcW w:type="dxa" w:w="4968"/>
            <w:shd w:fill="2F5597"/>
            <w:tcMar>
              <w:top w:w="90" w:type="dxa"/>
              <w:start w:w="100" w:type="dxa"/>
              <w:bottom w:w="90" w:type="dxa"/>
              <w:end w:w="100" w:type="dxa"/>
            </w:tcMar>
            <w:vAlign w:val="center"/>
          </w:tcPr>
          <w:p>
            <w:r>
              <w:rPr>
                <w:b/>
                <w:color w:val="FFFFFF"/>
              </w:rPr>
              <w:t>Term</w:t>
            </w:r>
          </w:p>
        </w:tc>
        <w:tc>
          <w:tcPr>
            <w:tcW w:type="dxa" w:w="4968"/>
            <w:shd w:fill="2F5597"/>
            <w:tcMar>
              <w:top w:w="90" w:type="dxa"/>
              <w:start w:w="100" w:type="dxa"/>
              <w:bottom w:w="90" w:type="dxa"/>
              <w:end w:w="100" w:type="dxa"/>
            </w:tcMar>
            <w:vAlign w:val="center"/>
          </w:tcPr>
          <w:p>
            <w:r>
              <w:rPr>
                <w:b/>
                <w:color w:val="FFFFFF"/>
              </w:rPr>
              <w:t>Definition</w:t>
            </w:r>
          </w:p>
        </w:tc>
      </w:tr>
      <w:tr>
        <w:tc>
          <w:tcPr>
            <w:tcW w:type="dxa" w:w="4968"/>
            <w:tcMar>
              <w:top w:w="90" w:type="dxa"/>
              <w:start w:w="100" w:type="dxa"/>
              <w:bottom w:w="90" w:type="dxa"/>
              <w:end w:w="100" w:type="dxa"/>
            </w:tcMar>
            <w:vAlign w:val="center"/>
          </w:tcPr>
          <w:p>
            <w:r>
              <w:t>SOAP</w:t>
            </w:r>
          </w:p>
        </w:tc>
        <w:tc>
          <w:tcPr>
            <w:tcW w:type="dxa" w:w="4968"/>
            <w:tcMar>
              <w:top w:w="90" w:type="dxa"/>
              <w:start w:w="100" w:type="dxa"/>
              <w:bottom w:w="90" w:type="dxa"/>
              <w:end w:w="100" w:type="dxa"/>
            </w:tcMar>
            <w:vAlign w:val="center"/>
          </w:tcPr>
          <w:p>
            <w:r>
              <w:t>XML-based messaging protocol with an envelope, headers, body and faults.</w:t>
            </w:r>
          </w:p>
        </w:tc>
      </w:tr>
      <w:tr>
        <w:tc>
          <w:tcPr>
            <w:tcW w:type="dxa" w:w="4968"/>
            <w:tcMar>
              <w:top w:w="90" w:type="dxa"/>
              <w:start w:w="100" w:type="dxa"/>
              <w:bottom w:w="90" w:type="dxa"/>
              <w:end w:w="100" w:type="dxa"/>
            </w:tcMar>
            <w:vAlign w:val="center"/>
            <w:shd w:fill="F3F6FA"/>
          </w:tcPr>
          <w:p>
            <w:r>
              <w:t>WSDL</w:t>
            </w:r>
          </w:p>
        </w:tc>
        <w:tc>
          <w:tcPr>
            <w:tcW w:type="dxa" w:w="4968"/>
            <w:tcMar>
              <w:top w:w="90" w:type="dxa"/>
              <w:start w:w="100" w:type="dxa"/>
              <w:bottom w:w="90" w:type="dxa"/>
              <w:end w:w="100" w:type="dxa"/>
            </w:tcMar>
            <w:vAlign w:val="center"/>
            <w:shd w:fill="F3F6FA"/>
          </w:tcPr>
          <w:p>
            <w:r>
              <w:t>Machine-readable service description for operations, messages and endpoints.</w:t>
            </w:r>
          </w:p>
        </w:tc>
      </w:tr>
      <w:tr>
        <w:tc>
          <w:tcPr>
            <w:tcW w:type="dxa" w:w="4968"/>
            <w:tcMar>
              <w:top w:w="90" w:type="dxa"/>
              <w:start w:w="100" w:type="dxa"/>
              <w:bottom w:w="90" w:type="dxa"/>
              <w:end w:w="100" w:type="dxa"/>
            </w:tcMar>
            <w:vAlign w:val="center"/>
          </w:tcPr>
          <w:p>
            <w:r>
              <w:t>XSD</w:t>
            </w:r>
          </w:p>
        </w:tc>
        <w:tc>
          <w:tcPr>
            <w:tcW w:type="dxa" w:w="4968"/>
            <w:tcMar>
              <w:top w:w="90" w:type="dxa"/>
              <w:start w:w="100" w:type="dxa"/>
              <w:bottom w:w="90" w:type="dxa"/>
              <w:end w:w="100" w:type="dxa"/>
            </w:tcMar>
            <w:vAlign w:val="center"/>
          </w:tcPr>
          <w:p>
            <w:r>
              <w:t>XML Schema describing data types.</w:t>
            </w:r>
          </w:p>
        </w:tc>
      </w:tr>
      <w:tr>
        <w:tc>
          <w:tcPr>
            <w:tcW w:type="dxa" w:w="4968"/>
            <w:tcMar>
              <w:top w:w="90" w:type="dxa"/>
              <w:start w:w="100" w:type="dxa"/>
              <w:bottom w:w="90" w:type="dxa"/>
              <w:end w:w="100" w:type="dxa"/>
            </w:tcMar>
            <w:vAlign w:val="center"/>
            <w:shd w:fill="F3F6FA"/>
          </w:tcPr>
          <w:p>
            <w:r>
              <w:t>WS-*</w:t>
            </w:r>
          </w:p>
        </w:tc>
        <w:tc>
          <w:tcPr>
            <w:tcW w:type="dxa" w:w="4968"/>
            <w:tcMar>
              <w:top w:w="90" w:type="dxa"/>
              <w:start w:w="100" w:type="dxa"/>
              <w:bottom w:w="90" w:type="dxa"/>
              <w:end w:w="100" w:type="dxa"/>
            </w:tcMar>
            <w:vAlign w:val="center"/>
            <w:shd w:fill="F3F6FA"/>
          </w:tcPr>
          <w:p>
            <w:r>
              <w:t>Family of web-service specifications for security, reliability, addressing and more.</w:t>
            </w:r>
          </w:p>
        </w:tc>
      </w:tr>
      <w:tr>
        <w:tc>
          <w:tcPr>
            <w:tcW w:type="dxa" w:w="4968"/>
            <w:tcMar>
              <w:top w:w="90" w:type="dxa"/>
              <w:start w:w="100" w:type="dxa"/>
              <w:bottom w:w="90" w:type="dxa"/>
              <w:end w:w="100" w:type="dxa"/>
            </w:tcMar>
            <w:vAlign w:val="center"/>
          </w:tcPr>
          <w:p>
            <w:r>
              <w:t>DTO</w:t>
            </w:r>
          </w:p>
        </w:tc>
        <w:tc>
          <w:tcPr>
            <w:tcW w:type="dxa" w:w="4968"/>
            <w:tcMar>
              <w:top w:w="90" w:type="dxa"/>
              <w:start w:w="100" w:type="dxa"/>
              <w:bottom w:w="90" w:type="dxa"/>
              <w:end w:w="100" w:type="dxa"/>
            </w:tcMar>
            <w:vAlign w:val="center"/>
          </w:tcPr>
          <w:p>
            <w:r>
              <w:t>Data transfer object designed for crossing a boundary.</w:t>
            </w:r>
          </w:p>
        </w:tc>
      </w:tr>
      <w:tr>
        <w:tc>
          <w:tcPr>
            <w:tcW w:type="dxa" w:w="4968"/>
            <w:tcMar>
              <w:top w:w="90" w:type="dxa"/>
              <w:start w:w="100" w:type="dxa"/>
              <w:bottom w:w="90" w:type="dxa"/>
              <w:end w:w="100" w:type="dxa"/>
            </w:tcMar>
            <w:vAlign w:val="center"/>
            <w:shd w:fill="F3F6FA"/>
          </w:tcPr>
          <w:p>
            <w:r>
              <w:t>MEX</w:t>
            </w:r>
          </w:p>
        </w:tc>
        <w:tc>
          <w:tcPr>
            <w:tcW w:type="dxa" w:w="4968"/>
            <w:tcMar>
              <w:top w:w="90" w:type="dxa"/>
              <w:start w:w="100" w:type="dxa"/>
              <w:bottom w:w="90" w:type="dxa"/>
              <w:end w:w="100" w:type="dxa"/>
            </w:tcMar>
            <w:vAlign w:val="center"/>
            <w:shd w:fill="F3F6FA"/>
          </w:tcPr>
          <w:p>
            <w:r>
              <w:t>Metadata Exchange endpoint/protocol used by WCF tooling.</w:t>
            </w:r>
          </w:p>
        </w:tc>
      </w:tr>
      <w:tr>
        <w:tc>
          <w:tcPr>
            <w:tcW w:type="dxa" w:w="4968"/>
            <w:tcMar>
              <w:top w:w="90" w:type="dxa"/>
              <w:start w:w="100" w:type="dxa"/>
              <w:bottom w:w="90" w:type="dxa"/>
              <w:end w:w="100" w:type="dxa"/>
            </w:tcMar>
            <w:vAlign w:val="center"/>
          </w:tcPr>
          <w:p>
            <w:r>
              <w:t>MTOM</w:t>
            </w:r>
          </w:p>
        </w:tc>
        <w:tc>
          <w:tcPr>
            <w:tcW w:type="dxa" w:w="4968"/>
            <w:tcMar>
              <w:top w:w="90" w:type="dxa"/>
              <w:start w:w="100" w:type="dxa"/>
              <w:bottom w:w="90" w:type="dxa"/>
              <w:end w:w="100" w:type="dxa"/>
            </w:tcMar>
            <w:vAlign w:val="center"/>
          </w:tcPr>
          <w:p>
            <w:r>
              <w:t>Efficient encoding approach for binary data in SOAP messages.</w:t>
            </w:r>
          </w:p>
        </w:tc>
      </w:tr>
      <w:tr>
        <w:tc>
          <w:tcPr>
            <w:tcW w:type="dxa" w:w="4968"/>
            <w:tcMar>
              <w:top w:w="90" w:type="dxa"/>
              <w:start w:w="100" w:type="dxa"/>
              <w:bottom w:w="90" w:type="dxa"/>
              <w:end w:w="100" w:type="dxa"/>
            </w:tcMar>
            <w:vAlign w:val="center"/>
            <w:shd w:fill="F3F6FA"/>
          </w:tcPr>
          <w:p>
            <w:r>
              <w:t>Throttling</w:t>
            </w:r>
          </w:p>
        </w:tc>
        <w:tc>
          <w:tcPr>
            <w:tcW w:type="dxa" w:w="4968"/>
            <w:tcMar>
              <w:top w:w="90" w:type="dxa"/>
              <w:start w:w="100" w:type="dxa"/>
              <w:bottom w:w="90" w:type="dxa"/>
              <w:end w:w="100" w:type="dxa"/>
            </w:tcMar>
            <w:vAlign w:val="center"/>
            <w:shd w:fill="F3F6FA"/>
          </w:tcPr>
          <w:p>
            <w:r>
              <w:t>Limits applied to concurrent calls, sessions or instances.</w:t>
            </w:r>
          </w:p>
        </w:tc>
      </w:tr>
      <w:tr>
        <w:tc>
          <w:tcPr>
            <w:tcW w:type="dxa" w:w="4968"/>
            <w:tcMar>
              <w:top w:w="90" w:type="dxa"/>
              <w:start w:w="100" w:type="dxa"/>
              <w:bottom w:w="90" w:type="dxa"/>
              <w:end w:w="100" w:type="dxa"/>
            </w:tcMar>
            <w:vAlign w:val="center"/>
          </w:tcPr>
          <w:p>
            <w:r>
              <w:t>Reliable session</w:t>
            </w:r>
          </w:p>
        </w:tc>
        <w:tc>
          <w:tcPr>
            <w:tcW w:type="dxa" w:w="4968"/>
            <w:tcMar>
              <w:top w:w="90" w:type="dxa"/>
              <w:start w:w="100" w:type="dxa"/>
              <w:bottom w:w="90" w:type="dxa"/>
              <w:end w:w="100" w:type="dxa"/>
            </w:tcMar>
            <w:vAlign w:val="center"/>
          </w:tcPr>
          <w:p>
            <w:r>
              <w:t>Protocol feature for ordered/reliable message delivery under supported bindings.</w:t>
            </w:r>
          </w:p>
        </w:tc>
      </w:tr>
      <w:tr>
        <w:tc>
          <w:tcPr>
            <w:tcW w:type="dxa" w:w="4968"/>
            <w:tcMar>
              <w:top w:w="90" w:type="dxa"/>
              <w:start w:w="100" w:type="dxa"/>
              <w:bottom w:w="90" w:type="dxa"/>
              <w:end w:w="100" w:type="dxa"/>
            </w:tcMar>
            <w:vAlign w:val="center"/>
            <w:shd w:fill="F3F6FA"/>
          </w:tcPr>
          <w:p>
            <w:r>
              <w:t>Duplex</w:t>
            </w:r>
          </w:p>
        </w:tc>
        <w:tc>
          <w:tcPr>
            <w:tcW w:type="dxa" w:w="4968"/>
            <w:tcMar>
              <w:top w:w="90" w:type="dxa"/>
              <w:start w:w="100" w:type="dxa"/>
              <w:bottom w:w="90" w:type="dxa"/>
              <w:end w:w="100" w:type="dxa"/>
            </w:tcMar>
            <w:vAlign w:val="center"/>
            <w:shd w:fill="F3F6FA"/>
          </w:tcPr>
          <w:p>
            <w:r>
              <w:t>Two-way callback communication where client also receives service-initiated calls.</w:t>
            </w:r>
          </w:p>
        </w:tc>
      </w:tr>
    </w:tbl>
    <w:p>
      <w:pPr>
        <w:spacing w:after="20"/>
      </w:pPr>
    </w:p>
    <w:p>
      <w:pPr>
        <w:pStyle w:val="Heading2"/>
      </w:pPr>
      <w:r>
        <w:t>Current platform perspective</w:t>
      </w:r>
    </w:p>
    <w:p>
      <w:r>
        <w:t>Classic WCF documentation remains under .NET Framework. CoreWCF is a port of the service side intended to help existing WCF services move to modern .NET. As of the official support policy updated June 17, 2026, supported CoreWCF versions depend on the underlying supported .NET platform. Always verify the current support table before choosing a production version.</w:t>
      </w:r>
    </w:p>
    <w:p>
      <w:pPr>
        <w:pStyle w:val="Heading2"/>
      </w:pPr>
      <w:r>
        <w:t>Recommended primary references</w:t>
      </w:r>
    </w:p>
    <w:p>
      <w:pPr>
        <w:pStyle w:val="ListBullet"/>
      </w:pPr>
      <w:r>
        <w:rPr>
          <w:b/>
        </w:rPr>
        <w:t xml:space="preserve">Microsoft Learn: WCF conceptual overview: </w:t>
      </w:r>
      <w:r>
        <w:t>https://learn.microsoft.com/dotnet/framework/wcf/conceptual-overview</w:t>
      </w:r>
    </w:p>
    <w:p>
      <w:pPr>
        <w:pStyle w:val="ListBullet"/>
      </w:pPr>
      <w:r>
        <w:rPr>
          <w:b/>
        </w:rPr>
        <w:t xml:space="preserve">Microsoft Learn: What Is Windows Communication Foundation: </w:t>
      </w:r>
      <w:r>
        <w:t>https://learn.microsoft.com/dotnet/framework/wcf/whats-wcf</w:t>
      </w:r>
    </w:p>
    <w:p>
      <w:pPr>
        <w:pStyle w:val="ListBullet"/>
      </w:pPr>
      <w:r>
        <w:rPr>
          <w:b/>
        </w:rPr>
        <w:t xml:space="preserve">Microsoft Learn: WCF architecture: </w:t>
      </w:r>
      <w:r>
        <w:t>https://learn.microsoft.com/dotnet/framework/wcf/architecture</w:t>
      </w:r>
    </w:p>
    <w:p>
      <w:pPr>
        <w:pStyle w:val="ListBullet"/>
      </w:pPr>
      <w:r>
        <w:rPr>
          <w:b/>
        </w:rPr>
        <w:t xml:space="preserve">CoreWCF GitHub repository: </w:t>
      </w:r>
      <w:r>
        <w:t>https://github.com/CoreWCF/CoreWCF</w:t>
      </w:r>
    </w:p>
    <w:p>
      <w:pPr>
        <w:pStyle w:val="ListBullet"/>
      </w:pPr>
      <w:r>
        <w:rPr>
          <w:b/>
        </w:rPr>
        <w:t xml:space="preserve">Official CoreWCF support policy: </w:t>
      </w:r>
      <w:r>
        <w:t>https://dotnet.microsoft.com/platform/support/policy/corewcf</w:t>
      </w:r>
    </w:p>
    <w:p>
      <w:pPr>
        <w:pStyle w:val="ListBullet"/>
      </w:pPr>
      <w:r>
        <w:rPr>
          <w:b/>
        </w:rPr>
        <w:t xml:space="preserve">Microsoft .NET Blog: WCF to CoreWCF migration with Upgrade Assistant: </w:t>
      </w:r>
      <w:r>
        <w:t>https://devblogs.microsoft.com/dotnet/migration-wcf-to-corewcf-upgrade-assistant/</w:t>
      </w:r>
    </w:p>
    <w:p>
      <w:pPr>
        <w:pStyle w:val="Heading2"/>
      </w:pPr>
      <w:r>
        <w:t>Final learning summary</w:t>
      </w:r>
    </w:p>
    <w:p>
      <w:pPr>
        <w:pStyle w:val="ListBullet"/>
      </w:pPr>
      <w:r>
        <w:t>Think in endpoints and messages, not only methods.</w:t>
      </w:r>
    </w:p>
    <w:p>
      <w:pPr>
        <w:pStyle w:val="ListBullet"/>
      </w:pPr>
      <w:r>
        <w:t>ABC is the core endpoint model.</w:t>
      </w:r>
    </w:p>
    <w:p>
      <w:pPr>
        <w:pStyle w:val="ListBullet"/>
      </w:pPr>
      <w:r>
        <w:t>Binding choice is an architecture and operations decision.</w:t>
      </w:r>
    </w:p>
    <w:p>
      <w:pPr>
        <w:pStyle w:val="ListBullet"/>
      </w:pPr>
      <w:r>
        <w:t>Remote calls fail partially; design deadlines, idempotency and typed faults.</w:t>
      </w:r>
    </w:p>
    <w:p>
      <w:pPr>
        <w:pStyle w:val="ListBullet"/>
      </w:pPr>
      <w:r>
        <w:t>Channels have state. Faulted channels must be aborted and recreated.</w:t>
      </w:r>
    </w:p>
    <w:p>
      <w:pPr>
        <w:pStyle w:val="ListBullet"/>
      </w:pPr>
      <w:r>
        <w:t>Start stateless with PerCall unless a measured requirement says otherwise.</w:t>
      </w:r>
    </w:p>
    <w:p>
      <w:pPr>
        <w:pStyle w:val="ListBullet"/>
      </w:pPr>
      <w:r>
        <w:t>Secure identity, transport/message, authorization, quotas and diagnostics together.</w:t>
      </w:r>
    </w:p>
    <w:p>
      <w:pPr>
        <w:pStyle w:val="ListBullet"/>
      </w:pPr>
      <w:r>
        <w:t>Use WCF/CoreWCF for concrete compatibility or WS-* needs, not by habit.</w:t>
      </w:r>
    </w:p>
    <w:tbl>
      <w:tblPr>
        <w:tblW w:type="auto" w:w="0"/>
        <w:jc w:val="center"/>
        <w:tblLayout w:type="autofit"/>
        <w:tblLook w:firstColumn="1" w:firstRow="1" w:lastColumn="0" w:lastRow="0" w:noHBand="0" w:noVBand="1" w:val="04A0"/>
      </w:tblPr>
      <w:tblGrid>
        <w:gridCol w:w="9936"/>
      </w:tblGrid>
      <w:tr>
        <w:tc>
          <w:tcPr>
            <w:tcW w:type="dxa" w:w="9936"/>
            <w:shd w:fill="E2F0D9"/>
            <w:tcMar>
              <w:top w:w="130" w:type="dxa"/>
              <w:start w:w="150" w:type="dxa"/>
              <w:bottom w:w="130" w:type="dxa"/>
              <w:end w:w="150" w:type="dxa"/>
            </w:tcMar>
          </w:tcPr>
          <w:p>
            <w:r>
              <w:rPr>
                <w:b/>
                <w:color w:val="17365D"/>
              </w:rPr>
              <w:t xml:space="preserve">You are ready when  </w:t>
            </w:r>
            <w:r>
              <w:t>You can run the sample, explain every stage from proxy to dispatcher, diagnose a faulted channel, choose a binding from requirements, define safe faults, and justify WCF against REST, gRPC and messaging.</w:t>
            </w:r>
          </w:p>
        </w:tc>
      </w:tr>
    </w:tbl>
    <w:p>
      <w:pPr>
        <w:spacing w:after="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Study guide | WCF, internals, implementation, production readiness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WCF with C# | Complete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WCF with C# - Complete Learning and Production Guide</dc:title>
  <dc:subject>Beginner-to-production study guide for Windows Communication Foundation</dc:subject>
  <dc:creator>Lokender Tiwari</dc:creator>
  <keywords>WCF, C#, .NET Framework, CoreWCF, SOAP, service contracts, bindings</keywords>
  <dc:description>generated by python-docx</dc:description>
  <lastModifiedBy>Lokender Tiwari</lastModifiedBy>
  <revision>1</revision>
  <dcterms:created xsi:type="dcterms:W3CDTF">2026-08-20T03:57:38.4833671Z</dcterms:created>
  <dcterms:modified xsi:type="dcterms:W3CDTF">2026-08-20T03:57:38.4833671Z</dcterms:modified>
  <category/>
</coreProperties>
</file>