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83101" w:rsidP="00931B1F">
            <w:pPr>
              <w:pStyle w:val="70SignaturX"/>
            </w:pPr>
            <w:r>
              <w:t>StAZH MM 3.68 RRB 1944/1244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8310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Landesverweisung.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83101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83101" w:rsidP="00931B1F">
            <w:pPr>
              <w:pStyle w:val="00Vorgabetext"/>
            </w:pPr>
            <w:r>
              <w:t>501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83101" w:rsidRDefault="00B83101" w:rsidP="00B8310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83101">
        <w:rPr>
          <w:i/>
        </w:rPr>
        <w:t>p. 501</w:t>
      </w:r>
      <w:r w:rsidRPr="00B83101">
        <w:t>]</w:t>
      </w:r>
      <w:r>
        <w:rPr>
          <w:rFonts w:cs="Arial"/>
        </w:rPr>
        <w:t xml:space="preserve"> Werner,</w:t>
      </w:r>
      <w:r w:rsidRPr="00D55DD2">
        <w:rPr>
          <w:rFonts w:cs="Arial"/>
        </w:rPr>
        <w:t xml:space="preserve"> Georg, Kellereiarbeiter, geboren am 3. Oktober 1920 in Siders, Kanton Wal</w:t>
      </w:r>
      <w:r>
        <w:rPr>
          <w:rFonts w:cs="Arial"/>
        </w:rPr>
        <w:t>i</w:t>
      </w:r>
      <w:r w:rsidRPr="00D55DD2">
        <w:rPr>
          <w:rFonts w:cs="Arial"/>
        </w:rPr>
        <w:t>s,</w:t>
      </w:r>
      <w:r>
        <w:rPr>
          <w:rFonts w:cs="Arial"/>
        </w:rPr>
        <w:t xml:space="preserve"> </w:t>
      </w:r>
      <w:r w:rsidRPr="00D55DD2">
        <w:rPr>
          <w:rFonts w:cs="Arial"/>
        </w:rPr>
        <w:t>deutscher Reichsangehöriger, ledig, Vater eines außerehelichen</w:t>
      </w:r>
      <w:r>
        <w:rPr>
          <w:rFonts w:cs="Arial"/>
        </w:rPr>
        <w:t xml:space="preserve"> </w:t>
      </w:r>
      <w:r w:rsidRPr="00D55DD2">
        <w:rPr>
          <w:rFonts w:cs="Arial"/>
        </w:rPr>
        <w:t>Kindes, zurzeit wohnhaft in Emmenbrücke, Kanton Luzern,</w:t>
      </w:r>
      <w:r>
        <w:rPr>
          <w:rFonts w:cs="Arial"/>
        </w:rPr>
        <w:t xml:space="preserve"> </w:t>
      </w:r>
      <w:r w:rsidRPr="00D55DD2">
        <w:rPr>
          <w:rFonts w:cs="Arial"/>
        </w:rPr>
        <w:t>hält sich seit Geburt in der Schweiz auf. Weil er einem militärischen Aufgebot seines Heimatstaates keine Folge leistete,</w:t>
      </w:r>
      <w:r>
        <w:rPr>
          <w:rFonts w:cs="Arial"/>
        </w:rPr>
        <w:t xml:space="preserve"> </w:t>
      </w:r>
      <w:r w:rsidRPr="00D55DD2">
        <w:rPr>
          <w:rFonts w:cs="Arial"/>
        </w:rPr>
        <w:t>wurde er schriftenlos und besitzt jetzt als Refraktär Toleranzbewilligung. Ende Feb</w:t>
      </w:r>
      <w:r>
        <w:rPr>
          <w:rFonts w:cs="Arial"/>
        </w:rPr>
        <w:t>ruar 1944 mußte Werner wegen Gel</w:t>
      </w:r>
      <w:r w:rsidRPr="00D55DD2">
        <w:rPr>
          <w:rFonts w:cs="Arial"/>
        </w:rPr>
        <w:t>ddiebstahls zum Nachteil seines damaligen Arbeitgebers in</w:t>
      </w:r>
      <w:r>
        <w:rPr>
          <w:rFonts w:cs="Arial"/>
        </w:rPr>
        <w:t xml:space="preserve"> </w:t>
      </w:r>
      <w:r w:rsidRPr="00D55DD2">
        <w:rPr>
          <w:rFonts w:cs="Arial"/>
        </w:rPr>
        <w:t>Untersuchungshaft gesetzt werden. Das Bezirksgericht Uster</w:t>
      </w:r>
      <w:r>
        <w:rPr>
          <w:rFonts w:cs="Arial"/>
        </w:rPr>
        <w:t xml:space="preserve"> </w:t>
      </w:r>
      <w:r w:rsidRPr="00D55DD2">
        <w:rPr>
          <w:rFonts w:cs="Arial"/>
        </w:rPr>
        <w:t>verurteilte ihn am 9. März 1944 zu einem Monat Gefängnis. Am</w:t>
      </w:r>
      <w:r>
        <w:rPr>
          <w:rFonts w:cs="Arial"/>
        </w:rPr>
        <w:t xml:space="preserve"> </w:t>
      </w:r>
      <w:r w:rsidRPr="00D55DD2">
        <w:rPr>
          <w:rFonts w:cs="Arial"/>
        </w:rPr>
        <w:t>15. Mai 1944 wurde er durch Strafbefehl der Bezirksanwaltschaft Zürich wegen Betruges zu 6 Tagen Gefängnis verurteilt.</w:t>
      </w:r>
      <w:r>
        <w:rPr>
          <w:rFonts w:cs="Arial"/>
        </w:rPr>
        <w:t xml:space="preserve"> </w:t>
      </w:r>
      <w:r w:rsidRPr="00D55DD2">
        <w:rPr>
          <w:rFonts w:cs="Arial"/>
        </w:rPr>
        <w:t>Die Voraussetzung für die Gewährung von Toleranzbewilligung</w:t>
      </w:r>
      <w:r>
        <w:rPr>
          <w:rFonts w:cs="Arial"/>
        </w:rPr>
        <w:t xml:space="preserve"> -</w:t>
      </w:r>
      <w:r w:rsidRPr="00D55DD2">
        <w:rPr>
          <w:rFonts w:cs="Arial"/>
        </w:rPr>
        <w:t xml:space="preserve"> ungetrübter Leumund </w:t>
      </w:r>
      <w:r>
        <w:rPr>
          <w:rFonts w:cs="Arial"/>
        </w:rPr>
        <w:t>-</w:t>
      </w:r>
      <w:r w:rsidRPr="00D55DD2">
        <w:rPr>
          <w:rFonts w:cs="Arial"/>
        </w:rPr>
        <w:t xml:space="preserve"> wird von Werner nicht mehr erfüllt. Vielmehr erscheint es geboten, ihn gemäß Artikel 10, Absatz 1, </w:t>
      </w:r>
      <w:r w:rsidRPr="00D55DD2">
        <w:rPr>
          <w:rFonts w:cs="Arial"/>
          <w:lang w:val="fr-FR" w:eastAsia="fr-FR" w:bidi="fr-FR"/>
        </w:rPr>
        <w:t xml:space="preserve">lit. a, </w:t>
      </w:r>
      <w:r w:rsidRPr="00D55DD2">
        <w:rPr>
          <w:rFonts w:cs="Arial"/>
        </w:rPr>
        <w:t>des Bundesgesetzes über Aufenthalt und Niederlassung der Ausländer vom 26. März 1931 aus der Schweiz</w:t>
      </w:r>
      <w:r>
        <w:rPr>
          <w:rFonts w:cs="Arial"/>
        </w:rPr>
        <w:t xml:space="preserve"> </w:t>
      </w:r>
      <w:r w:rsidRPr="00D55DD2">
        <w:rPr>
          <w:rFonts w:cs="Arial"/>
        </w:rPr>
        <w:t>auszuweisen und, falls diese Maßnahme zurzeit nicht vollziehbar ist, bei der Bundesbehörde seine Internierung oder Einweisung in ein Arbeitslager zu beantragen.</w:t>
      </w:r>
    </w:p>
    <w:p w:rsidR="00B83101" w:rsidRDefault="00B83101" w:rsidP="00B83101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Der Regierungsrat,</w:t>
      </w:r>
    </w:p>
    <w:p w:rsidR="00B83101" w:rsidRDefault="00B83101" w:rsidP="00B83101">
      <w:pPr>
        <w:spacing w:before="60"/>
        <w:rPr>
          <w:rFonts w:cs="Arial"/>
        </w:rPr>
      </w:pPr>
      <w:r w:rsidRPr="00D55DD2">
        <w:rPr>
          <w:rFonts w:cs="Arial"/>
        </w:rPr>
        <w:t xml:space="preserve">auf Antrag der Polizeidirektion und in Anwendung von Artikel 10, Absatz 1, </w:t>
      </w:r>
      <w:r w:rsidRPr="00D55DD2">
        <w:rPr>
          <w:rFonts w:cs="Arial"/>
          <w:lang w:val="fr-FR" w:eastAsia="fr-FR" w:bidi="fr-FR"/>
        </w:rPr>
        <w:t xml:space="preserve">lit. a, </w:t>
      </w:r>
      <w:r w:rsidRPr="00D55DD2">
        <w:rPr>
          <w:rFonts w:cs="Arial"/>
        </w:rPr>
        <w:t>des Bundesgesetzes über Aufenthalt</w:t>
      </w:r>
      <w:r>
        <w:rPr>
          <w:rFonts w:cs="Arial"/>
        </w:rPr>
        <w:t xml:space="preserve"> </w:t>
      </w:r>
      <w:r w:rsidRPr="00D55DD2">
        <w:rPr>
          <w:rFonts w:cs="Arial"/>
        </w:rPr>
        <w:t>und Niederlassung der Ausländer vom 26. März 1931,</w:t>
      </w:r>
    </w:p>
    <w:p w:rsidR="00B83101" w:rsidRDefault="00B83101" w:rsidP="00B83101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B83101" w:rsidRPr="00D55DD2" w:rsidRDefault="00B83101" w:rsidP="00B83101">
      <w:pPr>
        <w:tabs>
          <w:tab w:val="left" w:pos="751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Werner, Georg, Kellereiarbeiter, geboren am 3. Oktober 1920, deutscher Reichsangehöriger, wohnhaft in Emmenbrücke, Kanton Luzern, wird dauernd aus der Schweiz ausgewiesen. Die Polizeidirektion wird mit dem Vollzug beauftragt.</w:t>
      </w:r>
    </w:p>
    <w:p w:rsidR="00B83101" w:rsidRPr="00D55DD2" w:rsidRDefault="00B83101" w:rsidP="00B83101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Der weitere Aufenthalt in der Schweiz und das Wiederbetreten derselben ohne die Bewilligung der zürcherischen</w:t>
      </w:r>
      <w:r>
        <w:rPr>
          <w:rFonts w:cs="Arial"/>
        </w:rPr>
        <w:t xml:space="preserve"> </w:t>
      </w:r>
      <w:r w:rsidRPr="00D55DD2">
        <w:rPr>
          <w:rFonts w:cs="Arial"/>
        </w:rPr>
        <w:t>Polizeidirektion wird dem Ausgewiesenen verboten unter Androhung der Überweisung an den Strafrichter zur Bestrafung</w:t>
      </w:r>
      <w:r>
        <w:rPr>
          <w:rFonts w:cs="Arial"/>
        </w:rPr>
        <w:t xml:space="preserve"> </w:t>
      </w:r>
      <w:r w:rsidRPr="00D55DD2">
        <w:rPr>
          <w:rFonts w:cs="Arial"/>
        </w:rPr>
        <w:t>gemäß Artikel 23, Absatz 1, des oberwähnten Bundesgesetzes</w:t>
      </w:r>
      <w:r>
        <w:rPr>
          <w:rFonts w:cs="Arial"/>
        </w:rPr>
        <w:t xml:space="preserve"> </w:t>
      </w:r>
      <w:r w:rsidRPr="00D55DD2">
        <w:rPr>
          <w:rFonts w:cs="Arial"/>
        </w:rPr>
        <w:t>vom 26. März 1931 (Gefängnis bis zu 6 Monaten und Buße</w:t>
      </w:r>
      <w:r>
        <w:rPr>
          <w:rFonts w:cs="Arial"/>
        </w:rPr>
        <w:t xml:space="preserve"> </w:t>
      </w:r>
      <w:r w:rsidRPr="00D55DD2">
        <w:rPr>
          <w:rFonts w:cs="Arial"/>
        </w:rPr>
        <w:t>bis Fr. 10</w:t>
      </w:r>
      <w:r>
        <w:rPr>
          <w:rFonts w:cs="Arial"/>
        </w:rPr>
        <w:t> </w:t>
      </w:r>
      <w:r w:rsidRPr="00D55DD2">
        <w:rPr>
          <w:rFonts w:cs="Arial"/>
        </w:rPr>
        <w:t>000), sowie nachheriger, polizeilicher Ausschaffung</w:t>
      </w:r>
      <w:r>
        <w:rPr>
          <w:rFonts w:cs="Arial"/>
        </w:rPr>
        <w:t xml:space="preserve"> </w:t>
      </w:r>
      <w:r w:rsidRPr="00D55DD2">
        <w:rPr>
          <w:rFonts w:cs="Arial"/>
        </w:rPr>
        <w:t>im Zuwiderhandlungsfalle.</w:t>
      </w:r>
    </w:p>
    <w:p w:rsidR="00B83101" w:rsidRPr="00D55DD2" w:rsidRDefault="00B83101" w:rsidP="00B83101">
      <w:pPr>
        <w:tabs>
          <w:tab w:val="left" w:pos="846"/>
        </w:tabs>
        <w:spacing w:before="60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Gegen diesen Beschluß kann gemäß Artikel 20 des</w:t>
      </w:r>
      <w:r>
        <w:rPr>
          <w:rFonts w:cs="Arial"/>
        </w:rPr>
        <w:t xml:space="preserve"> </w:t>
      </w:r>
      <w:r w:rsidRPr="00D55DD2">
        <w:rPr>
          <w:rFonts w:cs="Arial"/>
        </w:rPr>
        <w:t>zitierten Bundesgesetzes innert 30 Tagen, vom Datum der Zustellung an gerechnet, an das eidg. Justiz</w:t>
      </w:r>
      <w:r>
        <w:rPr>
          <w:rFonts w:cs="Arial"/>
        </w:rPr>
        <w:t>-</w:t>
      </w:r>
      <w:r w:rsidRPr="00D55DD2">
        <w:rPr>
          <w:rFonts w:cs="Arial"/>
        </w:rPr>
        <w:t xml:space="preserve"> und Polizeidepartement, in Bern, rekurriert werden. Der Rekurs hat keine aufschiebende Wirkung, sofern ihm diese nicht durch die Rekursbehörde verliehen wird.</w:t>
      </w:r>
    </w:p>
    <w:p w:rsidR="00B83101" w:rsidRDefault="00B83101" w:rsidP="00B83101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IV.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Werner, Georg, in extenso durch die</w:t>
      </w:r>
      <w:r>
        <w:rPr>
          <w:rFonts w:cs="Arial"/>
        </w:rPr>
        <w:t xml:space="preserve"> </w:t>
      </w:r>
      <w:r w:rsidRPr="00D55DD2">
        <w:rPr>
          <w:rFonts w:cs="Arial"/>
        </w:rPr>
        <w:t>Polizeidirektion gegen Empfangschein, b) die Polizeiabteilung</w:t>
      </w:r>
      <w:r>
        <w:rPr>
          <w:rFonts w:cs="Arial"/>
        </w:rPr>
        <w:t xml:space="preserve"> </w:t>
      </w:r>
      <w:r w:rsidRPr="00D55DD2">
        <w:rPr>
          <w:rFonts w:cs="Arial"/>
        </w:rPr>
        <w:t>des eidg. Justiz</w:t>
      </w:r>
      <w:r>
        <w:rPr>
          <w:rFonts w:cs="Arial"/>
        </w:rPr>
        <w:t>-</w:t>
      </w:r>
      <w:r w:rsidRPr="00D55DD2">
        <w:rPr>
          <w:rFonts w:cs="Arial"/>
        </w:rPr>
        <w:t xml:space="preserve"> und Polizeidepartementes, in Bern, c) die</w:t>
      </w:r>
      <w:r>
        <w:rPr>
          <w:rFonts w:cs="Arial"/>
        </w:rPr>
        <w:t xml:space="preserve"> </w:t>
      </w:r>
      <w:r w:rsidRPr="00D55DD2">
        <w:rPr>
          <w:rFonts w:cs="Arial"/>
        </w:rPr>
        <w:t>Polizeidirektion zur Anordnung des Vollzuges, d) die eidg.</w:t>
      </w:r>
      <w:r>
        <w:rPr>
          <w:rFonts w:cs="Arial"/>
        </w:rPr>
        <w:t xml:space="preserve"> </w:t>
      </w:r>
      <w:r w:rsidRPr="00D55DD2">
        <w:rPr>
          <w:rFonts w:cs="Arial"/>
        </w:rPr>
        <w:t>Fremdenpolizei, in Bern, Nr. 85</w:t>
      </w:r>
      <w:r>
        <w:rPr>
          <w:rFonts w:cs="Arial"/>
        </w:rPr>
        <w:t> </w:t>
      </w:r>
      <w:r w:rsidRPr="00D55DD2">
        <w:rPr>
          <w:rFonts w:cs="Arial"/>
        </w:rPr>
        <w:t>962, e) das Polizeidepartement</w:t>
      </w:r>
      <w:r>
        <w:rPr>
          <w:rFonts w:cs="Arial"/>
        </w:rPr>
        <w:t xml:space="preserve"> </w:t>
      </w:r>
      <w:r w:rsidRPr="00D55DD2">
        <w:rPr>
          <w:rFonts w:cs="Arial"/>
        </w:rPr>
        <w:t>des Kantons Luzern.</w:t>
      </w:r>
    </w:p>
    <w:p w:rsidR="00B83101" w:rsidRDefault="00B83101" w:rsidP="00B83101">
      <w:pPr>
        <w:pStyle w:val="00Vorgabetext"/>
        <w:keepNext/>
        <w:keepLines/>
        <w:rPr>
          <w:rFonts w:cs="Arial"/>
        </w:rPr>
      </w:pPr>
    </w:p>
    <w:p w:rsidR="00B83101" w:rsidRDefault="00B83101" w:rsidP="00B83101">
      <w:pPr>
        <w:pStyle w:val="00Vorgabetext"/>
        <w:keepNext/>
        <w:keepLines/>
        <w:rPr>
          <w:rFonts w:cs="Arial"/>
        </w:rPr>
      </w:pPr>
    </w:p>
    <w:p w:rsidR="00BE768B" w:rsidRDefault="00B83101" w:rsidP="00B83101">
      <w:pPr>
        <w:pStyle w:val="00Vorgabetext"/>
        <w:keepNext/>
        <w:keepLines/>
      </w:pPr>
      <w:r>
        <w:rPr>
          <w:rFonts w:cs="Arial"/>
        </w:rPr>
        <w:t>[</w:t>
      </w:r>
      <w:r w:rsidRPr="00B83101">
        <w:rPr>
          <w:rFonts w:cs="Arial"/>
          <w:i/>
        </w:rPr>
        <w:t>Transkript: OCR (Überarbeitung: Team TKR)/11.08.2017</w:t>
      </w:r>
      <w:bookmarkStart w:id="1" w:name="_GoBack"/>
      <w:r w:rsidRPr="00B8310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101" w:rsidRDefault="00B83101">
      <w:r>
        <w:separator/>
      </w:r>
    </w:p>
    <w:p w:rsidR="00B83101" w:rsidRDefault="00B83101"/>
    <w:p w:rsidR="00B83101" w:rsidRDefault="00B83101"/>
  </w:endnote>
  <w:endnote w:type="continuationSeparator" w:id="0">
    <w:p w:rsidR="00B83101" w:rsidRDefault="00B83101">
      <w:r>
        <w:continuationSeparator/>
      </w:r>
    </w:p>
    <w:p w:rsidR="00B83101" w:rsidRDefault="00B83101"/>
    <w:p w:rsidR="00B83101" w:rsidRDefault="00B831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101" w:rsidRDefault="00B83101">
      <w:r>
        <w:separator/>
      </w:r>
    </w:p>
    <w:p w:rsidR="00B83101" w:rsidRDefault="00B83101"/>
    <w:p w:rsidR="00B83101" w:rsidRDefault="00B83101"/>
  </w:footnote>
  <w:footnote w:type="continuationSeparator" w:id="0">
    <w:p w:rsidR="00B83101" w:rsidRDefault="00B83101">
      <w:r>
        <w:continuationSeparator/>
      </w:r>
    </w:p>
    <w:p w:rsidR="00B83101" w:rsidRDefault="00B83101"/>
    <w:p w:rsidR="00B83101" w:rsidRDefault="00B831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8310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8310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0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101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AFCB195-F57E-438C-BC58-D7785BD6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23A18-C2D9-4EE7-9B31-F20EF532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401</Words>
  <Characters>2445</Characters>
  <Application>Microsoft Office Word</Application>
  <DocSecurity>0</DocSecurity>
  <PresentationFormat/>
  <Lines>305</Lines>
  <Paragraphs>284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Landesverweisung.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