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A7742C" w:rsidP="00931B1F">
            <w:pPr>
              <w:pStyle w:val="70SignaturX"/>
            </w:pPr>
            <w:proofErr w:type="spellStart"/>
            <w:r>
              <w:t>StAZH</w:t>
            </w:r>
            <w:proofErr w:type="spellEnd"/>
            <w:r>
              <w:t xml:space="preserve"> MM 3.203 RRB 1994/0038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A7742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Universitätsspital (Sanierung Tankanlage)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A7742C" w:rsidP="00931B1F">
            <w:pPr>
              <w:pStyle w:val="71DatumX"/>
            </w:pPr>
            <w:r>
              <w:t>05.01.1994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A7742C" w:rsidP="00931B1F">
            <w:pPr>
              <w:pStyle w:val="00Vorgabetext"/>
            </w:pPr>
            <w:r>
              <w:t>11–12</w:t>
            </w:r>
          </w:p>
        </w:tc>
      </w:tr>
    </w:tbl>
    <w:p w:rsidR="00616641" w:rsidRDefault="00616641" w:rsidP="0077655B">
      <w:pPr>
        <w:pStyle w:val="00Vorgabetext"/>
        <w:spacing w:before="0" w:after="60"/>
      </w:pPr>
    </w:p>
    <w:p w:rsidR="00A7742C" w:rsidRPr="00C623E4" w:rsidRDefault="00A7742C" w:rsidP="00A7742C">
      <w:pPr>
        <w:spacing w:before="60"/>
        <w:rPr>
          <w:rFonts w:cs="Arial"/>
        </w:rPr>
      </w:pPr>
      <w:bookmarkStart w:id="0" w:name="ContentText"/>
      <w:bookmarkEnd w:id="0"/>
      <w:r>
        <w:t>[</w:t>
      </w:r>
      <w:r w:rsidRPr="00A7742C">
        <w:rPr>
          <w:i/>
        </w:rPr>
        <w:t>p. 11</w:t>
      </w:r>
      <w:r w:rsidRPr="00A7742C">
        <w:t>]</w:t>
      </w:r>
      <w:r>
        <w:t xml:space="preserve"> </w:t>
      </w:r>
      <w:r w:rsidRPr="00C623E4">
        <w:rPr>
          <w:rFonts w:cs="Arial"/>
        </w:rPr>
        <w:t>Im Zuge der Aushubarbeiten für die Kanalisation im Anlieferungshof</w:t>
      </w:r>
      <w:r>
        <w:rPr>
          <w:rFonts w:cs="Arial"/>
        </w:rPr>
        <w:t xml:space="preserve"> </w:t>
      </w:r>
      <w:r w:rsidRPr="00C623E4">
        <w:rPr>
          <w:rFonts w:cs="Arial"/>
        </w:rPr>
        <w:t>des Nukleartrakts wurde am 11. November 1993 festgestellt, dass ölhaltiges Aushubmaterial vorhanden ist. Sofort angeordnete Laboranalysen</w:t>
      </w:r>
      <w:r>
        <w:rPr>
          <w:rFonts w:cs="Arial"/>
        </w:rPr>
        <w:t xml:space="preserve"> </w:t>
      </w:r>
      <w:r w:rsidRPr="00C623E4">
        <w:rPr>
          <w:rFonts w:cs="Arial"/>
        </w:rPr>
        <w:t>bestätigten die ersten Annahmen, dass im Bereich der zwei Öltanks mit</w:t>
      </w:r>
      <w:r>
        <w:rPr>
          <w:rFonts w:cs="Arial"/>
        </w:rPr>
        <w:t xml:space="preserve"> </w:t>
      </w:r>
      <w:r w:rsidRPr="00C623E4">
        <w:rPr>
          <w:rFonts w:cs="Arial"/>
        </w:rPr>
        <w:t>Kohlenwasserstoff (Benzin</w:t>
      </w:r>
      <w:r>
        <w:rPr>
          <w:rFonts w:cs="Arial"/>
        </w:rPr>
        <w:t>-</w:t>
      </w:r>
      <w:r w:rsidRPr="00C623E4">
        <w:rPr>
          <w:rFonts w:cs="Arial"/>
        </w:rPr>
        <w:t>Öl</w:t>
      </w:r>
      <w:r>
        <w:rPr>
          <w:rFonts w:cs="Arial"/>
        </w:rPr>
        <w:t>-</w:t>
      </w:r>
      <w:r w:rsidRPr="00C623E4">
        <w:rPr>
          <w:rFonts w:cs="Arial"/>
        </w:rPr>
        <w:t>Gemisch) verunreinigtes Aushubmaterial</w:t>
      </w:r>
      <w:r>
        <w:rPr>
          <w:rFonts w:cs="Arial"/>
        </w:rPr>
        <w:t xml:space="preserve"> </w:t>
      </w:r>
      <w:r w:rsidRPr="00C623E4">
        <w:rPr>
          <w:rFonts w:cs="Arial"/>
        </w:rPr>
        <w:t>vorhanden ist. Wann und warum die Verunreinigung erfolgte, konnte</w:t>
      </w:r>
      <w:r>
        <w:rPr>
          <w:rFonts w:cs="Arial"/>
        </w:rPr>
        <w:t xml:space="preserve"> </w:t>
      </w:r>
      <w:r w:rsidRPr="00C623E4">
        <w:rPr>
          <w:rFonts w:cs="Arial"/>
        </w:rPr>
        <w:t>nach Rückfragen beim USZ nicht mehr festgestellt werden. Vermutungen lassen den Schluss zu, dass irgendwann beim Füllen der Tanks Benzin und Öl ins Erdreich eingedrungen sind. Im Zuge der Kostenermittlung für den Kostenvoranschlag Nukleartrakt wurden die beiden Öltanks überprüft. Aufgrund der durchgeführten Tankrevisionen wurden</w:t>
      </w:r>
      <w:r>
        <w:rPr>
          <w:rFonts w:cs="Arial"/>
        </w:rPr>
        <w:t xml:space="preserve"> </w:t>
      </w:r>
      <w:r w:rsidRPr="00C623E4">
        <w:rPr>
          <w:rFonts w:cs="Arial"/>
        </w:rPr>
        <w:t>keine Kosten für eine allfällige Sanierung vorgesehen.</w:t>
      </w:r>
    </w:p>
    <w:p w:rsidR="00A7742C" w:rsidRPr="00C623E4" w:rsidRDefault="00A7742C" w:rsidP="00A7742C">
      <w:pPr>
        <w:spacing w:before="60"/>
        <w:rPr>
          <w:rFonts w:cs="Arial"/>
        </w:rPr>
      </w:pPr>
      <w:r w:rsidRPr="00C623E4">
        <w:rPr>
          <w:rFonts w:cs="Arial"/>
        </w:rPr>
        <w:t>Um die laufenden Bauarbeiten im Anlieferungshof nicht zu verzögern, wurde der sofortige Aushub und Abtransport des verseuchten</w:t>
      </w:r>
      <w:r>
        <w:rPr>
          <w:rFonts w:cs="Arial"/>
        </w:rPr>
        <w:t xml:space="preserve"> </w:t>
      </w:r>
      <w:r w:rsidRPr="00C623E4">
        <w:rPr>
          <w:rFonts w:cs="Arial"/>
        </w:rPr>
        <w:t>Aushubmaterials in eine Aufbereitungsanlage veranlasst. Die beiden Öltanks müssen gereinigt und in eine Deponie transportiert werden zur allfälligen Wiederverwendung.</w:t>
      </w:r>
    </w:p>
    <w:p w:rsidR="00A7742C" w:rsidRPr="00C623E4" w:rsidRDefault="00A7742C" w:rsidP="00A7742C">
      <w:pPr>
        <w:spacing w:before="60"/>
        <w:rPr>
          <w:rFonts w:cs="Arial"/>
        </w:rPr>
      </w:pPr>
      <w:r w:rsidRPr="00C623E4">
        <w:rPr>
          <w:rFonts w:cs="Arial"/>
        </w:rPr>
        <w:t>Gemäss der Kostenermittlung der Steiger Partner AG, Architekten</w:t>
      </w:r>
      <w:r>
        <w:rPr>
          <w:rFonts w:cs="Arial"/>
        </w:rPr>
        <w:t xml:space="preserve"> </w:t>
      </w:r>
      <w:r w:rsidRPr="00C623E4">
        <w:rPr>
          <w:rFonts w:cs="Arial"/>
        </w:rPr>
        <w:t>und Planer, Zürich, vom 30. November 1993 belaufen sich die Kosten</w:t>
      </w:r>
      <w:r>
        <w:rPr>
          <w:rFonts w:cs="Arial"/>
        </w:rPr>
        <w:t xml:space="preserve"> // [</w:t>
      </w:r>
      <w:r w:rsidRPr="00A7742C">
        <w:rPr>
          <w:rFonts w:cs="Arial"/>
          <w:i/>
        </w:rPr>
        <w:t>p. 12</w:t>
      </w:r>
      <w:r w:rsidRPr="00A7742C">
        <w:rPr>
          <w:rFonts w:cs="Arial"/>
        </w:rPr>
        <w:t>]</w:t>
      </w:r>
      <w:r>
        <w:rPr>
          <w:rFonts w:cs="Arial"/>
        </w:rPr>
        <w:t xml:space="preserve"> </w:t>
      </w:r>
      <w:r w:rsidRPr="00C623E4">
        <w:rPr>
          <w:rFonts w:cs="Arial"/>
        </w:rPr>
        <w:t xml:space="preserve">für die Entsorgung der Tankanlage auf Fr. 260000. Im </w:t>
      </w:r>
      <w:proofErr w:type="spellStart"/>
      <w:proofErr w:type="gramStart"/>
      <w:r w:rsidRPr="00C623E4">
        <w:rPr>
          <w:rFonts w:cs="Arial"/>
        </w:rPr>
        <w:t>einzelnen</w:t>
      </w:r>
      <w:proofErr w:type="spellEnd"/>
      <w:proofErr w:type="gramEnd"/>
      <w:r w:rsidRPr="00C623E4">
        <w:rPr>
          <w:rFonts w:cs="Arial"/>
        </w:rPr>
        <w:t xml:space="preserve"> setzen</w:t>
      </w:r>
      <w:r>
        <w:rPr>
          <w:rFonts w:cs="Arial"/>
        </w:rPr>
        <w:t xml:space="preserve"> </w:t>
      </w:r>
      <w:r w:rsidRPr="00C623E4">
        <w:rPr>
          <w:rFonts w:cs="Arial"/>
        </w:rPr>
        <w:t>sie sich wie folgt zusammen:</w:t>
      </w:r>
    </w:p>
    <w:tbl>
      <w:tblPr>
        <w:tblW w:w="0" w:type="auto"/>
        <w:tblInd w:w="10" w:type="dxa"/>
        <w:shd w:val="clear" w:color="auto" w:fill="FFFFFF"/>
        <w:tblCellMar>
          <w:left w:w="10" w:type="dxa"/>
          <w:right w:w="10" w:type="dxa"/>
        </w:tblCellMar>
        <w:tblLook w:val="04A0" w:firstRow="1" w:lastRow="0" w:firstColumn="1" w:lastColumn="0" w:noHBand="0" w:noVBand="1"/>
      </w:tblPr>
      <w:tblGrid>
        <w:gridCol w:w="2255"/>
        <w:gridCol w:w="289"/>
        <w:gridCol w:w="816"/>
      </w:tblGrid>
      <w:tr w:rsidR="009E761F" w:rsidRPr="00C623E4" w:rsidTr="009E761F">
        <w:trPr>
          <w:trHeight w:val="283"/>
        </w:trPr>
        <w:tc>
          <w:tcPr>
            <w:tcW w:w="2255" w:type="dxa"/>
            <w:shd w:val="clear" w:color="auto" w:fill="FFFFFF"/>
          </w:tcPr>
          <w:p w:rsidR="009E761F" w:rsidRPr="00C623E4" w:rsidRDefault="009E761F" w:rsidP="009E761F">
            <w:pPr>
              <w:spacing w:before="60"/>
              <w:rPr>
                <w:rFonts w:cs="Arial"/>
              </w:rPr>
            </w:pPr>
            <w:r w:rsidRPr="00C623E4">
              <w:rPr>
                <w:rFonts w:cs="Arial"/>
              </w:rPr>
              <w:t>Entsorgungsarbeiten</w:t>
            </w:r>
          </w:p>
        </w:tc>
        <w:tc>
          <w:tcPr>
            <w:tcW w:w="289" w:type="dxa"/>
            <w:shd w:val="clear" w:color="auto" w:fill="FFFFFF"/>
          </w:tcPr>
          <w:p w:rsidR="009E761F" w:rsidRPr="00C623E4" w:rsidRDefault="009E761F" w:rsidP="009E761F">
            <w:pPr>
              <w:spacing w:before="60"/>
              <w:rPr>
                <w:rFonts w:cs="Arial"/>
              </w:rPr>
            </w:pPr>
            <w:r w:rsidRPr="00C623E4">
              <w:rPr>
                <w:rFonts w:cs="Arial"/>
              </w:rPr>
              <w:t>Fr.</w:t>
            </w:r>
          </w:p>
        </w:tc>
        <w:tc>
          <w:tcPr>
            <w:tcW w:w="0" w:type="auto"/>
            <w:shd w:val="clear" w:color="auto" w:fill="FFFFFF"/>
          </w:tcPr>
          <w:p w:rsidR="009E761F" w:rsidRPr="00C623E4" w:rsidRDefault="009E761F" w:rsidP="009E761F">
            <w:pPr>
              <w:keepNext/>
              <w:keepLines/>
              <w:spacing w:before="60"/>
              <w:jc w:val="right"/>
              <w:rPr>
                <w:rFonts w:cs="Arial"/>
              </w:rPr>
            </w:pPr>
            <w:r w:rsidRPr="00C623E4">
              <w:rPr>
                <w:rFonts w:cs="Arial"/>
              </w:rPr>
              <w:t>240</w:t>
            </w:r>
            <w:r>
              <w:rPr>
                <w:rFonts w:cs="Arial"/>
              </w:rPr>
              <w:t> </w:t>
            </w:r>
            <w:r w:rsidRPr="00C623E4">
              <w:rPr>
                <w:rFonts w:cs="Arial"/>
              </w:rPr>
              <w:t>000</w:t>
            </w:r>
          </w:p>
        </w:tc>
      </w:tr>
      <w:tr w:rsidR="009E761F" w:rsidRPr="00C623E4" w:rsidTr="009E761F">
        <w:trPr>
          <w:trHeight w:val="283"/>
        </w:trPr>
        <w:tc>
          <w:tcPr>
            <w:tcW w:w="2255" w:type="dxa"/>
            <w:shd w:val="clear" w:color="auto" w:fill="FFFFFF"/>
          </w:tcPr>
          <w:p w:rsidR="009E761F" w:rsidRPr="00C623E4" w:rsidRDefault="009E761F" w:rsidP="009E761F">
            <w:pPr>
              <w:keepNext/>
              <w:keepLines/>
              <w:spacing w:before="60"/>
              <w:rPr>
                <w:rFonts w:cs="Arial"/>
              </w:rPr>
            </w:pPr>
            <w:r w:rsidRPr="00C623E4">
              <w:rPr>
                <w:rFonts w:cs="Arial"/>
              </w:rPr>
              <w:t>Baunebenkosten</w:t>
            </w:r>
          </w:p>
        </w:tc>
        <w:tc>
          <w:tcPr>
            <w:tcW w:w="289" w:type="dxa"/>
            <w:shd w:val="clear" w:color="auto" w:fill="FFFFFF"/>
          </w:tcPr>
          <w:p w:rsidR="009E761F" w:rsidRPr="00C623E4" w:rsidRDefault="009E761F" w:rsidP="009E761F">
            <w:pPr>
              <w:keepNext/>
              <w:keepLines/>
              <w:spacing w:before="60"/>
              <w:rPr>
                <w:rFonts w:cs="Arial"/>
              </w:rPr>
            </w:pPr>
            <w:r w:rsidRPr="00C623E4">
              <w:rPr>
                <w:rFonts w:cs="Arial"/>
              </w:rPr>
              <w:t>Fr.</w:t>
            </w:r>
          </w:p>
        </w:tc>
        <w:tc>
          <w:tcPr>
            <w:tcW w:w="0" w:type="auto"/>
            <w:shd w:val="clear" w:color="auto" w:fill="FFFFFF"/>
          </w:tcPr>
          <w:p w:rsidR="009E761F" w:rsidRPr="00C623E4" w:rsidRDefault="009E761F" w:rsidP="009E761F">
            <w:pPr>
              <w:keepNext/>
              <w:keepLines/>
              <w:spacing w:before="60"/>
              <w:jc w:val="right"/>
              <w:rPr>
                <w:rFonts w:cs="Arial"/>
              </w:rPr>
            </w:pPr>
            <w:r w:rsidRPr="00C623E4">
              <w:rPr>
                <w:rFonts w:cs="Arial"/>
              </w:rPr>
              <w:t>12</w:t>
            </w:r>
            <w:r>
              <w:rPr>
                <w:rFonts w:cs="Arial"/>
              </w:rPr>
              <w:t> </w:t>
            </w:r>
            <w:r w:rsidRPr="00C623E4">
              <w:rPr>
                <w:rFonts w:cs="Arial"/>
              </w:rPr>
              <w:t>000</w:t>
            </w:r>
          </w:p>
        </w:tc>
      </w:tr>
      <w:tr w:rsidR="009E761F" w:rsidRPr="00C623E4" w:rsidTr="009E761F">
        <w:trPr>
          <w:trHeight w:val="283"/>
        </w:trPr>
        <w:tc>
          <w:tcPr>
            <w:tcW w:w="2255" w:type="dxa"/>
            <w:shd w:val="clear" w:color="auto" w:fill="FFFFFF"/>
          </w:tcPr>
          <w:p w:rsidR="009E761F" w:rsidRPr="00C623E4" w:rsidRDefault="009E761F" w:rsidP="009E761F">
            <w:pPr>
              <w:keepNext/>
              <w:keepLines/>
              <w:spacing w:before="60"/>
              <w:rPr>
                <w:rFonts w:cs="Arial"/>
                <w:highlight w:val="magenta"/>
              </w:rPr>
            </w:pPr>
            <w:r w:rsidRPr="000439C2">
              <w:rPr>
                <w:rFonts w:cs="Arial"/>
              </w:rPr>
              <w:t>Unvorhergesehenes</w:t>
            </w:r>
          </w:p>
        </w:tc>
        <w:tc>
          <w:tcPr>
            <w:tcW w:w="289" w:type="dxa"/>
            <w:shd w:val="clear" w:color="auto" w:fill="FFFFFF"/>
          </w:tcPr>
          <w:p w:rsidR="009E761F" w:rsidRPr="00C623E4" w:rsidRDefault="009E761F" w:rsidP="009E761F">
            <w:pPr>
              <w:keepNext/>
              <w:keepLines/>
              <w:spacing w:before="60"/>
              <w:rPr>
                <w:rFonts w:cs="Arial"/>
              </w:rPr>
            </w:pPr>
            <w:r w:rsidRPr="00C623E4">
              <w:rPr>
                <w:rFonts w:cs="Arial"/>
              </w:rPr>
              <w:t>Fr.</w:t>
            </w:r>
          </w:p>
        </w:tc>
        <w:tc>
          <w:tcPr>
            <w:tcW w:w="0" w:type="auto"/>
            <w:shd w:val="clear" w:color="auto" w:fill="FFFFFF"/>
          </w:tcPr>
          <w:p w:rsidR="009E761F" w:rsidRPr="00C623E4" w:rsidRDefault="009E761F" w:rsidP="009E761F">
            <w:pPr>
              <w:keepNext/>
              <w:keepLines/>
              <w:spacing w:before="60"/>
              <w:jc w:val="right"/>
              <w:rPr>
                <w:rFonts w:cs="Arial"/>
              </w:rPr>
            </w:pPr>
            <w:r w:rsidRPr="00C623E4">
              <w:rPr>
                <w:rFonts w:cs="Arial"/>
              </w:rPr>
              <w:t>8</w:t>
            </w:r>
            <w:r>
              <w:rPr>
                <w:rFonts w:cs="Arial"/>
              </w:rPr>
              <w:t> </w:t>
            </w:r>
            <w:r w:rsidRPr="00C623E4">
              <w:rPr>
                <w:rFonts w:cs="Arial"/>
              </w:rPr>
              <w:t>000</w:t>
            </w:r>
          </w:p>
        </w:tc>
      </w:tr>
      <w:tr w:rsidR="009E761F" w:rsidRPr="00C623E4" w:rsidTr="009E761F">
        <w:trPr>
          <w:trHeight w:val="283"/>
        </w:trPr>
        <w:tc>
          <w:tcPr>
            <w:tcW w:w="2255" w:type="dxa"/>
            <w:shd w:val="clear" w:color="auto" w:fill="FFFFFF"/>
          </w:tcPr>
          <w:p w:rsidR="009E761F" w:rsidRPr="00C623E4" w:rsidRDefault="009E761F" w:rsidP="009E761F">
            <w:pPr>
              <w:keepNext/>
              <w:keepLines/>
              <w:spacing w:before="60"/>
              <w:rPr>
                <w:rFonts w:cs="Arial"/>
              </w:rPr>
            </w:pPr>
            <w:r w:rsidRPr="00C623E4">
              <w:rPr>
                <w:rFonts w:cs="Arial"/>
              </w:rPr>
              <w:t>Total Sanierung</w:t>
            </w:r>
          </w:p>
        </w:tc>
        <w:tc>
          <w:tcPr>
            <w:tcW w:w="289" w:type="dxa"/>
            <w:shd w:val="clear" w:color="auto" w:fill="FFFFFF"/>
          </w:tcPr>
          <w:p w:rsidR="009E761F" w:rsidRPr="00C623E4" w:rsidRDefault="009E761F" w:rsidP="009E761F">
            <w:pPr>
              <w:keepNext/>
              <w:keepLines/>
              <w:spacing w:before="60"/>
              <w:rPr>
                <w:rFonts w:cs="Arial"/>
              </w:rPr>
            </w:pPr>
            <w:r w:rsidRPr="00C623E4">
              <w:rPr>
                <w:rFonts w:cs="Arial"/>
              </w:rPr>
              <w:t>Fr.</w:t>
            </w:r>
          </w:p>
        </w:tc>
        <w:tc>
          <w:tcPr>
            <w:tcW w:w="0" w:type="auto"/>
            <w:shd w:val="clear" w:color="auto" w:fill="FFFFFF"/>
          </w:tcPr>
          <w:p w:rsidR="009E761F" w:rsidRPr="00C623E4" w:rsidRDefault="009E761F" w:rsidP="009E761F">
            <w:pPr>
              <w:keepNext/>
              <w:keepLines/>
              <w:spacing w:before="60"/>
              <w:jc w:val="right"/>
              <w:rPr>
                <w:rFonts w:cs="Arial"/>
              </w:rPr>
            </w:pPr>
            <w:r w:rsidRPr="00C623E4">
              <w:rPr>
                <w:rFonts w:cs="Arial"/>
              </w:rPr>
              <w:t>260</w:t>
            </w:r>
            <w:r>
              <w:rPr>
                <w:rFonts w:cs="Arial"/>
              </w:rPr>
              <w:t> </w:t>
            </w:r>
            <w:r w:rsidRPr="00C623E4">
              <w:rPr>
                <w:rFonts w:cs="Arial"/>
              </w:rPr>
              <w:t>000</w:t>
            </w:r>
          </w:p>
        </w:tc>
      </w:tr>
    </w:tbl>
    <w:p w:rsidR="00A7742C" w:rsidRPr="00C623E4" w:rsidRDefault="00A7742C" w:rsidP="00A7742C">
      <w:pPr>
        <w:spacing w:before="60"/>
        <w:rPr>
          <w:rFonts w:cs="Arial"/>
        </w:rPr>
      </w:pPr>
      <w:r w:rsidRPr="00C623E4">
        <w:rPr>
          <w:rFonts w:cs="Arial"/>
        </w:rPr>
        <w:t>Der Betrag ist im Voranschlag 1994 nicht enthalten, kann aber voraussichtlich durch anderweitige Einsparungen gedeck</w:t>
      </w:r>
      <w:bookmarkStart w:id="1" w:name="_GoBack"/>
      <w:bookmarkEnd w:id="1"/>
      <w:r w:rsidRPr="00C623E4">
        <w:rPr>
          <w:rFonts w:cs="Arial"/>
        </w:rPr>
        <w:t>t werden.</w:t>
      </w:r>
    </w:p>
    <w:p w:rsidR="00A7742C" w:rsidRDefault="00A7742C" w:rsidP="00A7742C">
      <w:pPr>
        <w:spacing w:before="60"/>
        <w:rPr>
          <w:rFonts w:cs="Arial"/>
        </w:rPr>
      </w:pPr>
      <w:r w:rsidRPr="00C623E4">
        <w:rPr>
          <w:rFonts w:cs="Arial"/>
        </w:rPr>
        <w:t>Auf Antrag der Direktionen der öffentlichen Bauten und des Gesundheitswesens</w:t>
      </w:r>
    </w:p>
    <w:p w:rsidR="00A7742C" w:rsidRDefault="00A7742C" w:rsidP="00A7742C">
      <w:pPr>
        <w:spacing w:before="60"/>
        <w:jc w:val="center"/>
        <w:rPr>
          <w:rFonts w:cs="Arial"/>
        </w:rPr>
      </w:pPr>
      <w:r w:rsidRPr="00C623E4">
        <w:rPr>
          <w:rFonts w:cs="Arial"/>
        </w:rPr>
        <w:t>beschliesst der Regierungsrat:</w:t>
      </w:r>
    </w:p>
    <w:p w:rsidR="00A7742C" w:rsidRPr="00C623E4" w:rsidRDefault="00A7742C" w:rsidP="00A7742C">
      <w:pPr>
        <w:tabs>
          <w:tab w:val="left" w:pos="492"/>
        </w:tabs>
        <w:spacing w:before="60"/>
        <w:rPr>
          <w:rFonts w:cs="Arial"/>
        </w:rPr>
      </w:pPr>
      <w:r w:rsidRPr="00C623E4">
        <w:rPr>
          <w:rFonts w:cs="Arial"/>
        </w:rPr>
        <w:t>I.</w:t>
      </w:r>
      <w:r>
        <w:rPr>
          <w:rFonts w:cs="Arial"/>
        </w:rPr>
        <w:t xml:space="preserve"> </w:t>
      </w:r>
      <w:r w:rsidRPr="00C623E4">
        <w:rPr>
          <w:rFonts w:cs="Arial"/>
        </w:rPr>
        <w:t>Für die Sanierung der Tankanlage im Anlieferungshof des Nukleartrakts im Universitätsspital wird ein Kredit von Fr. 260000 bewilligt.</w:t>
      </w:r>
    </w:p>
    <w:p w:rsidR="00A7742C" w:rsidRPr="00C623E4" w:rsidRDefault="00A7742C" w:rsidP="00A7742C">
      <w:pPr>
        <w:tabs>
          <w:tab w:val="left" w:pos="524"/>
        </w:tabs>
        <w:spacing w:before="60"/>
        <w:rPr>
          <w:rFonts w:cs="Arial"/>
        </w:rPr>
      </w:pPr>
      <w:r w:rsidRPr="00C623E4">
        <w:rPr>
          <w:rFonts w:cs="Arial"/>
        </w:rPr>
        <w:t>II.</w:t>
      </w:r>
      <w:r>
        <w:rPr>
          <w:rFonts w:cs="Arial"/>
        </w:rPr>
        <w:t xml:space="preserve"> </w:t>
      </w:r>
      <w:r w:rsidRPr="00C623E4">
        <w:rPr>
          <w:rFonts w:cs="Arial"/>
        </w:rPr>
        <w:t>Die Kosten gehen zu Lasten des Kontos 2721.3141, Unterhalt der</w:t>
      </w:r>
      <w:r>
        <w:rPr>
          <w:rFonts w:cs="Arial"/>
        </w:rPr>
        <w:t xml:space="preserve"> </w:t>
      </w:r>
      <w:r w:rsidRPr="00C623E4">
        <w:rPr>
          <w:rFonts w:cs="Arial"/>
        </w:rPr>
        <w:t>Liegenschaften des Verwaltungsvermögens.</w:t>
      </w:r>
    </w:p>
    <w:p w:rsidR="00A7742C" w:rsidRPr="00C623E4" w:rsidRDefault="00A7742C" w:rsidP="00A7742C">
      <w:pPr>
        <w:tabs>
          <w:tab w:val="left" w:pos="606"/>
        </w:tabs>
        <w:spacing w:before="60"/>
        <w:rPr>
          <w:rFonts w:cs="Arial"/>
        </w:rPr>
      </w:pPr>
      <w:r w:rsidRPr="00C623E4">
        <w:rPr>
          <w:rFonts w:cs="Arial"/>
        </w:rPr>
        <w:t>III.</w:t>
      </w:r>
      <w:r>
        <w:rPr>
          <w:rFonts w:cs="Arial"/>
        </w:rPr>
        <w:t xml:space="preserve"> </w:t>
      </w:r>
      <w:r w:rsidRPr="00C623E4">
        <w:rPr>
          <w:rFonts w:cs="Arial"/>
        </w:rPr>
        <w:t>Die Kreditsumme erhöht oder ermässigt sich um die Kosten, die</w:t>
      </w:r>
      <w:r>
        <w:rPr>
          <w:rFonts w:cs="Arial"/>
        </w:rPr>
        <w:t xml:space="preserve"> </w:t>
      </w:r>
      <w:r w:rsidRPr="00C623E4">
        <w:rPr>
          <w:rFonts w:cs="Arial"/>
        </w:rPr>
        <w:t xml:space="preserve">durch eine allfällige Bauverteuerung oder </w:t>
      </w:r>
      <w:r>
        <w:rPr>
          <w:rFonts w:cs="Arial"/>
        </w:rPr>
        <w:t>-</w:t>
      </w:r>
      <w:r w:rsidRPr="00C623E4">
        <w:rPr>
          <w:rFonts w:cs="Arial"/>
        </w:rPr>
        <w:t>Verbilligung in der Zeit zwischen der Aufstellung des Kostenvoranschlags (Preisstand 1. Oktober</w:t>
      </w:r>
      <w:r>
        <w:rPr>
          <w:rFonts w:cs="Arial"/>
        </w:rPr>
        <w:t xml:space="preserve"> </w:t>
      </w:r>
      <w:r w:rsidRPr="00C623E4">
        <w:rPr>
          <w:rFonts w:cs="Arial"/>
        </w:rPr>
        <w:t>1993) und der Bauausführung entstehen.</w:t>
      </w:r>
    </w:p>
    <w:p w:rsidR="00A7742C" w:rsidRPr="00C623E4" w:rsidRDefault="00A7742C" w:rsidP="00A7742C">
      <w:pPr>
        <w:tabs>
          <w:tab w:val="left" w:pos="610"/>
        </w:tabs>
        <w:spacing w:before="60"/>
        <w:rPr>
          <w:rFonts w:cs="Arial"/>
        </w:rPr>
      </w:pPr>
      <w:r w:rsidRPr="00C623E4">
        <w:rPr>
          <w:rFonts w:cs="Arial"/>
        </w:rPr>
        <w:t>IV.</w:t>
      </w:r>
      <w:r>
        <w:rPr>
          <w:rFonts w:cs="Arial"/>
        </w:rPr>
        <w:t xml:space="preserve"> </w:t>
      </w:r>
      <w:r w:rsidRPr="00C623E4">
        <w:rPr>
          <w:rFonts w:cs="Arial"/>
        </w:rPr>
        <w:t>Mitteilung an die Direktionen des Gesundheitswesens, der öffentlichen Bauten und der Finanzen.</w:t>
      </w:r>
    </w:p>
    <w:p w:rsidR="00A7742C" w:rsidRDefault="00A7742C" w:rsidP="00A7742C">
      <w:pPr>
        <w:pStyle w:val="00Vorgabetext"/>
        <w:keepNext/>
        <w:keepLines/>
      </w:pPr>
    </w:p>
    <w:p w:rsidR="00A7742C" w:rsidRDefault="00A7742C" w:rsidP="00A7742C">
      <w:pPr>
        <w:pStyle w:val="00Vorgabetext"/>
        <w:keepNext/>
        <w:keepLines/>
      </w:pPr>
    </w:p>
    <w:p w:rsidR="00A7742C" w:rsidRDefault="00A7742C" w:rsidP="00A7742C">
      <w:pPr>
        <w:pStyle w:val="00Vorgabetext"/>
        <w:keepNext/>
        <w:keepLines/>
      </w:pPr>
    </w:p>
    <w:p w:rsidR="00BE768B" w:rsidRDefault="00A7742C" w:rsidP="00A7742C">
      <w:pPr>
        <w:pStyle w:val="00Vorgabetext"/>
        <w:keepNext/>
        <w:keepLines/>
      </w:pPr>
      <w:r>
        <w:t>[</w:t>
      </w:r>
      <w:r w:rsidRPr="00A7742C">
        <w:rPr>
          <w:i/>
        </w:rPr>
        <w:t xml:space="preserve">Transkript: OCR (Überarbeitung: Team </w:t>
      </w:r>
      <w:proofErr w:type="gramStart"/>
      <w:r w:rsidRPr="00A7742C">
        <w:rPr>
          <w:i/>
        </w:rPr>
        <w:t>TKR)/</w:t>
      </w:r>
      <w:proofErr w:type="gramEnd"/>
      <w:r w:rsidRPr="00A7742C">
        <w:rPr>
          <w:i/>
        </w:rPr>
        <w:t>14.09.2017</w:t>
      </w:r>
      <w:r w:rsidRPr="00A7742C">
        <w:t xml:space="preserve">] </w:t>
      </w:r>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42C" w:rsidRDefault="00A7742C">
      <w:r>
        <w:separator/>
      </w:r>
    </w:p>
    <w:p w:rsidR="00A7742C" w:rsidRDefault="00A7742C"/>
    <w:p w:rsidR="00A7742C" w:rsidRDefault="00A7742C"/>
  </w:endnote>
  <w:endnote w:type="continuationSeparator" w:id="0">
    <w:p w:rsidR="00A7742C" w:rsidRDefault="00A7742C">
      <w:r>
        <w:continuationSeparator/>
      </w:r>
    </w:p>
    <w:p w:rsidR="00A7742C" w:rsidRDefault="00A7742C"/>
    <w:p w:rsidR="00A7742C" w:rsidRDefault="00A774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42C" w:rsidRDefault="00A7742C">
      <w:r>
        <w:separator/>
      </w:r>
    </w:p>
    <w:p w:rsidR="00A7742C" w:rsidRDefault="00A7742C"/>
    <w:p w:rsidR="00A7742C" w:rsidRDefault="00A7742C"/>
  </w:footnote>
  <w:footnote w:type="continuationSeparator" w:id="0">
    <w:p w:rsidR="00A7742C" w:rsidRDefault="00A7742C">
      <w:r>
        <w:continuationSeparator/>
      </w:r>
    </w:p>
    <w:p w:rsidR="00A7742C" w:rsidRDefault="00A7742C"/>
    <w:p w:rsidR="00A7742C" w:rsidRDefault="00A7742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9E761F">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E761F">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9E761F">
        <w:rPr>
          <w:noProof/>
        </w:rPr>
        <w:t>StAZH MM 3.203 RRB 1994/0038</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9E761F">
        <w:rPr>
          <w:noProof/>
        </w:rPr>
        <w:t>05.01.1994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E761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42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E761F"/>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42C"/>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F213D72E-533E-410C-B06B-C52953EC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774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A69B0-0901-410A-8A96-079BB689E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321</Words>
  <Characters>2134</Characters>
  <Application>Microsoft Office Word</Application>
  <DocSecurity>0</DocSecurity>
  <PresentationFormat/>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2451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Universitätsspital (Sanierung Tankanlage)</dc:subject>
  <dc:creator>Staatsarchiv des Kantons Zürich</dc:creator>
  <cp:lastModifiedBy>AllrounderIn</cp:lastModifiedBy>
  <cp:revision>2</cp:revision>
  <cp:lastPrinted>2012-06-15T14:37:00Z</cp:lastPrinted>
  <dcterms:created xsi:type="dcterms:W3CDTF">2017-09-14T06:16:00Z</dcterms:created>
  <dcterms:modified xsi:type="dcterms:W3CDTF">2017-11-03T10:19:00Z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