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324E66" w:rsidTr="00C80ABA">
        <w:trPr>
          <w:trHeight w:val="454"/>
        </w:trPr>
        <w:tc>
          <w:tcPr>
            <w:tcW w:w="1668" w:type="dxa"/>
          </w:tcPr>
          <w:p w:rsidR="00A43AE4" w:rsidRPr="00324E6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324E66">
              <w:t>Signatur</w:t>
            </w:r>
          </w:p>
        </w:tc>
        <w:tc>
          <w:tcPr>
            <w:tcW w:w="6721" w:type="dxa"/>
          </w:tcPr>
          <w:p w:rsidR="00A43AE4" w:rsidRPr="00324E66" w:rsidRDefault="00324E66" w:rsidP="00931B1F">
            <w:pPr>
              <w:pStyle w:val="70SignaturX"/>
            </w:pPr>
            <w:r w:rsidRPr="00324E66">
              <w:t>StAZH MM 3.203 RRB 1994/0085</w:t>
            </w:r>
          </w:p>
        </w:tc>
      </w:tr>
      <w:tr w:rsidR="00A43AE4" w:rsidRPr="00324E66" w:rsidTr="00C80ABA">
        <w:trPr>
          <w:trHeight w:val="454"/>
        </w:trPr>
        <w:tc>
          <w:tcPr>
            <w:tcW w:w="1668" w:type="dxa"/>
          </w:tcPr>
          <w:p w:rsidR="00A43AE4" w:rsidRPr="00324E6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324E66">
              <w:t>Titel</w:t>
            </w:r>
          </w:p>
        </w:tc>
        <w:tc>
          <w:tcPr>
            <w:tcW w:w="6721" w:type="dxa"/>
          </w:tcPr>
          <w:p w:rsidR="006C59EA" w:rsidRPr="00324E66" w:rsidRDefault="00324E6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324E66">
              <w:rPr>
                <w:rFonts w:ascii="Arial Black" w:hAnsi="Arial Black"/>
              </w:rPr>
              <w:t>Universitätsspital (Neubau Betriebsgebäude)</w:t>
            </w:r>
          </w:p>
        </w:tc>
      </w:tr>
      <w:tr w:rsidR="00BC0931" w:rsidRPr="00324E66" w:rsidTr="00C80ABA">
        <w:trPr>
          <w:trHeight w:val="454"/>
        </w:trPr>
        <w:tc>
          <w:tcPr>
            <w:tcW w:w="1668" w:type="dxa"/>
          </w:tcPr>
          <w:p w:rsidR="00BC0931" w:rsidRPr="00324E6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324E66">
              <w:t>Datum</w:t>
            </w:r>
          </w:p>
        </w:tc>
        <w:tc>
          <w:tcPr>
            <w:tcW w:w="6721" w:type="dxa"/>
          </w:tcPr>
          <w:p w:rsidR="00BC0931" w:rsidRPr="00324E66" w:rsidRDefault="00324E66" w:rsidP="00931B1F">
            <w:pPr>
              <w:pStyle w:val="71DatumX"/>
            </w:pPr>
            <w:r w:rsidRPr="00324E66">
              <w:t>12.01.1994</w:t>
            </w:r>
          </w:p>
        </w:tc>
      </w:tr>
      <w:tr w:rsidR="00A43AE4" w:rsidRPr="00324E66" w:rsidTr="00C80ABA">
        <w:trPr>
          <w:trHeight w:val="454"/>
        </w:trPr>
        <w:tc>
          <w:tcPr>
            <w:tcW w:w="1668" w:type="dxa"/>
          </w:tcPr>
          <w:p w:rsidR="00A43AE4" w:rsidRPr="00324E6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324E66">
              <w:t>P.</w:t>
            </w:r>
          </w:p>
        </w:tc>
        <w:tc>
          <w:tcPr>
            <w:tcW w:w="6721" w:type="dxa"/>
          </w:tcPr>
          <w:p w:rsidR="00A43AE4" w:rsidRPr="00324E66" w:rsidRDefault="00324E66" w:rsidP="00931B1F">
            <w:pPr>
              <w:pStyle w:val="00Vorgabetext"/>
            </w:pPr>
            <w:r w:rsidRPr="00324E66">
              <w:t>33</w:t>
            </w:r>
          </w:p>
        </w:tc>
      </w:tr>
    </w:tbl>
    <w:p w:rsidR="00616641" w:rsidRPr="00324E66" w:rsidRDefault="00616641" w:rsidP="0077655B">
      <w:pPr>
        <w:pStyle w:val="00Vorgabetext"/>
        <w:spacing w:before="0" w:after="60"/>
      </w:pPr>
    </w:p>
    <w:p w:rsidR="00324E66" w:rsidRPr="00324E66" w:rsidRDefault="00324E66" w:rsidP="00324E66">
      <w:pPr>
        <w:spacing w:before="60"/>
        <w:rPr>
          <w:rFonts w:cs="Arial"/>
        </w:rPr>
      </w:pPr>
      <w:bookmarkStart w:id="0" w:name="ContentText"/>
      <w:bookmarkEnd w:id="0"/>
      <w:r w:rsidRPr="00324E66">
        <w:t>[</w:t>
      </w:r>
      <w:r w:rsidRPr="00324E66">
        <w:rPr>
          <w:i/>
        </w:rPr>
        <w:t>p. 33</w:t>
      </w:r>
      <w:r w:rsidRPr="00324E66">
        <w:t xml:space="preserve">] </w:t>
      </w:r>
      <w:r w:rsidRPr="00324E66">
        <w:rPr>
          <w:rFonts w:cs="Arial"/>
        </w:rPr>
        <w:t>Mit RRB Nr. 4146/1991 wurden unter anderem die Lüftungsinstallationen bis zum Betrag von Fr. 2 200000 an die Monag AG, Zürich, und die Heizungs-, Dampf- und Kälteanlagen bis zu einem Betrag von Fr. 1 775 000 an die Klima AG, Schlieren, vergeben.</w:t>
      </w:r>
    </w:p>
    <w:p w:rsidR="00324E66" w:rsidRPr="00324E66" w:rsidRDefault="00324E66" w:rsidP="00324E66">
      <w:pPr>
        <w:spacing w:before="60"/>
        <w:rPr>
          <w:rFonts w:cs="Arial"/>
        </w:rPr>
      </w:pPr>
      <w:r w:rsidRPr="00324E66">
        <w:rPr>
          <w:rFonts w:cs="Arial"/>
        </w:rPr>
        <w:t>Während der Ausführungsvorbereitung zeigte sich, dass anstelle der gemäss Projekt gemauerten und betonierten Aussenluftkanäle zweckmässiger Blechkanäle eingesetzt werden. Zudem wurden zusätzliche Raumkühlanlagen und feuerpolizeiliche Massnahmen in den Feuerkellern notwendig. Entsprechend diesem Mehraufwand, der zum Teil durch bauliche Minderleistungen kompensiert werden konnte, ist die Vergebungssumme an die Monag AG, Zürich, von Fr. 2 200000 um Fr. 250000 auf Fr. 2450000 zu erhöhen.</w:t>
      </w:r>
    </w:p>
    <w:p w:rsidR="00324E66" w:rsidRPr="00324E66" w:rsidRDefault="00324E66" w:rsidP="00324E66">
      <w:pPr>
        <w:spacing w:before="60"/>
        <w:rPr>
          <w:rFonts w:cs="Arial"/>
        </w:rPr>
      </w:pPr>
      <w:r w:rsidRPr="00324E66">
        <w:rPr>
          <w:rFonts w:cs="Arial"/>
        </w:rPr>
        <w:t>Im Bereich der Kälteinstallationen wurde ein Kühlsystem verwirklicht, dank dem auf die im Projekt vorgesehene Kühlung mittels Trinkwasser verzichtet werden kann. Im weitern wurden aus ökologischen Gründen FCKW-freie Isolationsmaterialien eingesetzt. Entsprechend diesem Mehraufwand ist die Vergebungssumme an die Klima AG, Schlieren, von Fr. 1775 000 um Fr. 110000 auf Fr. 1 885 000 zu erhöhen. Die Mehrkosten sind im Kostenvoranschlag enthalten und durch den Staatsvoranschlag 1994 gedeckt.</w:t>
      </w:r>
    </w:p>
    <w:p w:rsidR="00324E66" w:rsidRPr="00324E66" w:rsidRDefault="00324E66" w:rsidP="00324E66">
      <w:pPr>
        <w:spacing w:before="60"/>
        <w:rPr>
          <w:rFonts w:cs="Arial"/>
        </w:rPr>
      </w:pPr>
      <w:r w:rsidRPr="00324E66">
        <w:rPr>
          <w:rFonts w:cs="Arial"/>
        </w:rPr>
        <w:t>Auf Antrag der Direktion der öffentlichen Bauten</w:t>
      </w:r>
    </w:p>
    <w:p w:rsidR="00324E66" w:rsidRPr="00324E66" w:rsidRDefault="00324E66" w:rsidP="00324E66">
      <w:pPr>
        <w:spacing w:before="60"/>
        <w:jc w:val="center"/>
        <w:rPr>
          <w:rFonts w:cs="Arial"/>
        </w:rPr>
      </w:pPr>
      <w:r w:rsidRPr="00324E66">
        <w:rPr>
          <w:rFonts w:cs="Arial"/>
        </w:rPr>
        <w:t>beschliesst der Regierungsrat:</w:t>
      </w:r>
    </w:p>
    <w:p w:rsidR="00324E66" w:rsidRPr="00324E66" w:rsidRDefault="00324E66" w:rsidP="00324E66">
      <w:pPr>
        <w:tabs>
          <w:tab w:val="left" w:pos="452"/>
        </w:tabs>
        <w:spacing w:before="60"/>
        <w:rPr>
          <w:rFonts w:cs="Arial"/>
        </w:rPr>
      </w:pPr>
      <w:r w:rsidRPr="00324E66">
        <w:rPr>
          <w:rFonts w:cs="Arial"/>
        </w:rPr>
        <w:t>I. In teilweiser Änderung von RRB Nr. 4146/1991, mit dem die Lüftungs- und Heizungs-, Dampf- und Kälteanlagen für das Betriebsgebäude des Universitätsspitals vergeben wurden, werden die Vergebungssummen wie folgt erhöht:</w:t>
      </w:r>
    </w:p>
    <w:tbl>
      <w:tblPr>
        <w:tblOverlap w:val="never"/>
        <w:tblW w:w="0" w:type="auto"/>
        <w:shd w:val="clear" w:color="auto" w:fill="FFFFFF"/>
        <w:tblCellMar>
          <w:left w:w="28" w:type="dxa"/>
          <w:right w:w="28" w:type="dxa"/>
        </w:tblCellMar>
        <w:tblLook w:val="04A0" w:firstRow="1" w:lastRow="0" w:firstColumn="1" w:lastColumn="0" w:noHBand="0" w:noVBand="1"/>
      </w:tblPr>
      <w:tblGrid>
        <w:gridCol w:w="2319"/>
        <w:gridCol w:w="1316"/>
        <w:gridCol w:w="1011"/>
        <w:gridCol w:w="1316"/>
      </w:tblGrid>
      <w:tr w:rsidR="00324E66" w:rsidRPr="00324E66" w:rsidTr="000A2F95">
        <w:trPr>
          <w:trHeight w:val="283"/>
        </w:trPr>
        <w:tc>
          <w:tcPr>
            <w:tcW w:w="0" w:type="auto"/>
            <w:shd w:val="clear" w:color="auto" w:fill="FFFFFF"/>
          </w:tcPr>
          <w:p w:rsidR="00324E66" w:rsidRPr="00324E66" w:rsidRDefault="00324E66" w:rsidP="000A2F95">
            <w:pPr>
              <w:spacing w:before="60"/>
              <w:rPr>
                <w:rFonts w:cs="Arial"/>
                <w:szCs w:val="10"/>
              </w:rPr>
            </w:pPr>
          </w:p>
        </w:tc>
        <w:tc>
          <w:tcPr>
            <w:tcW w:w="0" w:type="auto"/>
            <w:shd w:val="clear" w:color="auto" w:fill="FFFFFF"/>
          </w:tcPr>
          <w:p w:rsidR="00324E66" w:rsidRPr="00324E66" w:rsidRDefault="00324E66" w:rsidP="000A2F95">
            <w:pPr>
              <w:spacing w:before="60"/>
              <w:jc w:val="center"/>
              <w:rPr>
                <w:rFonts w:cs="Arial"/>
              </w:rPr>
            </w:pPr>
            <w:r w:rsidRPr="00324E66">
              <w:rPr>
                <w:rFonts w:cs="Arial"/>
              </w:rPr>
              <w:t>Vergebungs-</w:t>
            </w:r>
          </w:p>
          <w:p w:rsidR="00324E66" w:rsidRPr="00324E66" w:rsidRDefault="00324E66" w:rsidP="000A2F95">
            <w:pPr>
              <w:spacing w:before="60"/>
              <w:jc w:val="center"/>
              <w:rPr>
                <w:rFonts w:cs="Arial"/>
              </w:rPr>
            </w:pPr>
            <w:r w:rsidRPr="00324E66">
              <w:rPr>
                <w:rFonts w:cs="Arial"/>
              </w:rPr>
              <w:t>betrag</w:t>
            </w:r>
          </w:p>
          <w:p w:rsidR="00324E66" w:rsidRPr="00324E66" w:rsidRDefault="00324E66" w:rsidP="000A2F95">
            <w:pPr>
              <w:spacing w:before="60"/>
              <w:jc w:val="center"/>
              <w:rPr>
                <w:rFonts w:cs="Arial"/>
              </w:rPr>
            </w:pPr>
            <w:r w:rsidRPr="00324E66">
              <w:rPr>
                <w:rFonts w:cs="Arial"/>
              </w:rPr>
              <w:t>bisher</w:t>
            </w:r>
          </w:p>
        </w:tc>
        <w:tc>
          <w:tcPr>
            <w:tcW w:w="0" w:type="auto"/>
            <w:shd w:val="clear" w:color="auto" w:fill="FFFFFF"/>
          </w:tcPr>
          <w:p w:rsidR="00324E66" w:rsidRPr="00324E66" w:rsidRDefault="00324E66" w:rsidP="000A2F95">
            <w:pPr>
              <w:spacing w:before="60"/>
              <w:jc w:val="center"/>
              <w:rPr>
                <w:rFonts w:cs="Arial"/>
              </w:rPr>
            </w:pPr>
            <w:r w:rsidRPr="00324E66">
              <w:rPr>
                <w:rFonts w:cs="Arial"/>
              </w:rPr>
              <w:t>Erhöhung</w:t>
            </w:r>
          </w:p>
        </w:tc>
        <w:tc>
          <w:tcPr>
            <w:tcW w:w="0" w:type="auto"/>
            <w:shd w:val="clear" w:color="auto" w:fill="FFFFFF"/>
          </w:tcPr>
          <w:p w:rsidR="00324E66" w:rsidRPr="00324E66" w:rsidRDefault="00324E66" w:rsidP="000A2F95">
            <w:pPr>
              <w:spacing w:before="60"/>
              <w:jc w:val="center"/>
              <w:rPr>
                <w:rFonts w:cs="Arial"/>
              </w:rPr>
            </w:pPr>
            <w:r w:rsidRPr="00324E66">
              <w:rPr>
                <w:rFonts w:cs="Arial"/>
              </w:rPr>
              <w:t>Vergebungs-</w:t>
            </w:r>
          </w:p>
          <w:p w:rsidR="00324E66" w:rsidRPr="00324E66" w:rsidRDefault="00324E66" w:rsidP="000A2F95">
            <w:pPr>
              <w:spacing w:before="60"/>
              <w:jc w:val="center"/>
              <w:rPr>
                <w:rFonts w:cs="Arial"/>
              </w:rPr>
            </w:pPr>
            <w:r w:rsidRPr="00324E66">
              <w:rPr>
                <w:rFonts w:cs="Arial"/>
              </w:rPr>
              <w:t>betrag</w:t>
            </w:r>
          </w:p>
          <w:p w:rsidR="00324E66" w:rsidRPr="00324E66" w:rsidRDefault="00324E66" w:rsidP="000A2F95">
            <w:pPr>
              <w:spacing w:before="60"/>
              <w:jc w:val="center"/>
              <w:rPr>
                <w:rFonts w:cs="Arial"/>
              </w:rPr>
            </w:pPr>
            <w:r w:rsidRPr="00324E66">
              <w:rPr>
                <w:rFonts w:cs="Arial"/>
              </w:rPr>
              <w:t>neu</w:t>
            </w:r>
          </w:p>
        </w:tc>
      </w:tr>
      <w:tr w:rsidR="00324E66" w:rsidRPr="00324E66" w:rsidTr="000A2F95">
        <w:trPr>
          <w:trHeight w:val="283"/>
        </w:trPr>
        <w:tc>
          <w:tcPr>
            <w:tcW w:w="0" w:type="auto"/>
            <w:shd w:val="clear" w:color="auto" w:fill="FFFFFF"/>
          </w:tcPr>
          <w:p w:rsidR="00324E66" w:rsidRPr="00324E66" w:rsidRDefault="00324E66" w:rsidP="000A2F95">
            <w:pPr>
              <w:spacing w:before="60"/>
              <w:rPr>
                <w:rFonts w:cs="Arial"/>
              </w:rPr>
            </w:pPr>
            <w:r w:rsidRPr="00324E66">
              <w:rPr>
                <w:rFonts w:cs="Arial"/>
              </w:rPr>
              <w:t>Heizungs-, Dampf- und</w:t>
            </w:r>
          </w:p>
          <w:p w:rsidR="00324E66" w:rsidRPr="00324E66" w:rsidRDefault="00324E66" w:rsidP="000A2F95">
            <w:pPr>
              <w:spacing w:before="60"/>
              <w:rPr>
                <w:rFonts w:cs="Arial"/>
              </w:rPr>
            </w:pPr>
            <w:r w:rsidRPr="00324E66">
              <w:rPr>
                <w:rFonts w:cs="Arial"/>
              </w:rPr>
              <w:t>Kälteanlagen</w:t>
            </w:r>
          </w:p>
          <w:p w:rsidR="00324E66" w:rsidRPr="00324E66" w:rsidRDefault="00324E66" w:rsidP="000A2F95">
            <w:pPr>
              <w:spacing w:before="60"/>
              <w:rPr>
                <w:rFonts w:cs="Arial"/>
              </w:rPr>
            </w:pPr>
            <w:r w:rsidRPr="00324E66">
              <w:rPr>
                <w:rFonts w:cs="Arial"/>
              </w:rPr>
              <w:t>Klima AG, Schlieren</w:t>
            </w:r>
          </w:p>
        </w:tc>
        <w:tc>
          <w:tcPr>
            <w:tcW w:w="0" w:type="auto"/>
            <w:shd w:val="clear" w:color="auto" w:fill="FFFFFF"/>
          </w:tcPr>
          <w:p w:rsidR="00324E66" w:rsidRPr="00324E66" w:rsidRDefault="00324E66" w:rsidP="000A2F95">
            <w:pPr>
              <w:spacing w:before="60"/>
              <w:jc w:val="center"/>
              <w:rPr>
                <w:rFonts w:cs="Arial"/>
              </w:rPr>
            </w:pPr>
            <w:r w:rsidRPr="00324E66">
              <w:rPr>
                <w:rFonts w:cs="Arial"/>
              </w:rPr>
              <w:t>Fr.</w:t>
            </w:r>
          </w:p>
          <w:p w:rsidR="00324E66" w:rsidRPr="00324E66" w:rsidRDefault="00324E66" w:rsidP="000A2F95">
            <w:pPr>
              <w:spacing w:before="60"/>
              <w:jc w:val="right"/>
              <w:rPr>
                <w:rFonts w:cs="Arial"/>
              </w:rPr>
            </w:pPr>
            <w:r w:rsidRPr="00324E66">
              <w:rPr>
                <w:rFonts w:cs="Arial"/>
              </w:rPr>
              <w:t>1 775 000</w:t>
            </w:r>
          </w:p>
        </w:tc>
        <w:tc>
          <w:tcPr>
            <w:tcW w:w="0" w:type="auto"/>
            <w:shd w:val="clear" w:color="auto" w:fill="FFFFFF"/>
          </w:tcPr>
          <w:p w:rsidR="00324E66" w:rsidRPr="00324E66" w:rsidRDefault="00324E66" w:rsidP="000A2F95">
            <w:pPr>
              <w:spacing w:before="60"/>
              <w:jc w:val="center"/>
              <w:rPr>
                <w:rFonts w:cs="Arial"/>
              </w:rPr>
            </w:pPr>
            <w:r w:rsidRPr="00324E66">
              <w:rPr>
                <w:rFonts w:cs="Arial"/>
              </w:rPr>
              <w:t>Fr.</w:t>
            </w:r>
          </w:p>
          <w:p w:rsidR="00324E66" w:rsidRPr="00324E66" w:rsidRDefault="00324E66" w:rsidP="000A2F95">
            <w:pPr>
              <w:spacing w:before="60"/>
              <w:jc w:val="right"/>
              <w:rPr>
                <w:rFonts w:cs="Arial"/>
              </w:rPr>
            </w:pPr>
            <w:r w:rsidRPr="00324E66">
              <w:rPr>
                <w:rFonts w:cs="Arial"/>
              </w:rPr>
              <w:t>110 000</w:t>
            </w:r>
          </w:p>
        </w:tc>
        <w:tc>
          <w:tcPr>
            <w:tcW w:w="0" w:type="auto"/>
            <w:shd w:val="clear" w:color="auto" w:fill="FFFFFF"/>
          </w:tcPr>
          <w:p w:rsidR="00324E66" w:rsidRPr="00324E66" w:rsidRDefault="00324E66" w:rsidP="000A2F95">
            <w:pPr>
              <w:spacing w:before="60"/>
              <w:jc w:val="center"/>
              <w:rPr>
                <w:rFonts w:cs="Arial"/>
              </w:rPr>
            </w:pPr>
            <w:r w:rsidRPr="00324E66">
              <w:rPr>
                <w:rFonts w:cs="Arial"/>
              </w:rPr>
              <w:t>Fr.</w:t>
            </w:r>
          </w:p>
          <w:p w:rsidR="00324E66" w:rsidRPr="00324E66" w:rsidRDefault="00324E66" w:rsidP="000A2F95">
            <w:pPr>
              <w:spacing w:before="60"/>
              <w:jc w:val="right"/>
              <w:rPr>
                <w:rFonts w:cs="Arial"/>
              </w:rPr>
            </w:pPr>
            <w:r w:rsidRPr="00324E66">
              <w:rPr>
                <w:rFonts w:cs="Arial"/>
              </w:rPr>
              <w:t>1 885 000</w:t>
            </w:r>
          </w:p>
        </w:tc>
      </w:tr>
    </w:tbl>
    <w:p w:rsidR="00324E66" w:rsidRPr="00324E66" w:rsidRDefault="00324E66" w:rsidP="00BE768B">
      <w:pPr>
        <w:pStyle w:val="00Vorgabetext"/>
      </w:pPr>
    </w:p>
    <w:tbl>
      <w:tblPr>
        <w:tblOverlap w:val="never"/>
        <w:tblW w:w="0" w:type="auto"/>
        <w:shd w:val="clear" w:color="auto" w:fill="FFFFFF"/>
        <w:tblCellMar>
          <w:left w:w="28" w:type="dxa"/>
          <w:right w:w="28" w:type="dxa"/>
        </w:tblCellMar>
        <w:tblLook w:val="04A0" w:firstRow="1" w:lastRow="0" w:firstColumn="1" w:lastColumn="0" w:noHBand="0" w:noVBand="1"/>
      </w:tblPr>
      <w:tblGrid>
        <w:gridCol w:w="1842"/>
        <w:gridCol w:w="1316"/>
        <w:gridCol w:w="1011"/>
        <w:gridCol w:w="1316"/>
      </w:tblGrid>
      <w:tr w:rsidR="00324E66" w:rsidRPr="00324E66" w:rsidTr="000A2F95">
        <w:trPr>
          <w:trHeight w:val="283"/>
        </w:trPr>
        <w:tc>
          <w:tcPr>
            <w:tcW w:w="0" w:type="auto"/>
            <w:shd w:val="clear" w:color="auto" w:fill="FFFFFF"/>
          </w:tcPr>
          <w:p w:rsidR="00324E66" w:rsidRPr="00324E66" w:rsidRDefault="00324E66" w:rsidP="000A2F95">
            <w:pPr>
              <w:spacing w:before="60"/>
              <w:rPr>
                <w:rFonts w:cs="Arial"/>
                <w:szCs w:val="10"/>
              </w:rPr>
            </w:pPr>
          </w:p>
        </w:tc>
        <w:tc>
          <w:tcPr>
            <w:tcW w:w="0" w:type="auto"/>
            <w:shd w:val="clear" w:color="auto" w:fill="FFFFFF"/>
          </w:tcPr>
          <w:p w:rsidR="00324E66" w:rsidRPr="00324E66" w:rsidRDefault="00324E66" w:rsidP="000A2F95">
            <w:pPr>
              <w:spacing w:before="60"/>
              <w:jc w:val="center"/>
              <w:rPr>
                <w:rFonts w:cs="Arial"/>
              </w:rPr>
            </w:pPr>
            <w:r w:rsidRPr="00324E66">
              <w:rPr>
                <w:rFonts w:cs="Arial"/>
              </w:rPr>
              <w:t>Vergebungs-</w:t>
            </w:r>
          </w:p>
          <w:p w:rsidR="00324E66" w:rsidRPr="00324E66" w:rsidRDefault="00324E66" w:rsidP="000A2F95">
            <w:pPr>
              <w:spacing w:before="60"/>
              <w:jc w:val="center"/>
              <w:rPr>
                <w:rFonts w:cs="Arial"/>
              </w:rPr>
            </w:pPr>
            <w:r w:rsidRPr="00324E66">
              <w:rPr>
                <w:rFonts w:cs="Arial"/>
              </w:rPr>
              <w:t>betrag</w:t>
            </w:r>
          </w:p>
          <w:p w:rsidR="00324E66" w:rsidRPr="00324E66" w:rsidRDefault="00324E66" w:rsidP="000A2F95">
            <w:pPr>
              <w:spacing w:before="60"/>
              <w:jc w:val="center"/>
              <w:rPr>
                <w:rFonts w:cs="Arial"/>
              </w:rPr>
            </w:pPr>
            <w:r w:rsidRPr="00324E66">
              <w:rPr>
                <w:rFonts w:cs="Arial"/>
              </w:rPr>
              <w:t>bisher</w:t>
            </w:r>
          </w:p>
        </w:tc>
        <w:tc>
          <w:tcPr>
            <w:tcW w:w="0" w:type="auto"/>
            <w:shd w:val="clear" w:color="auto" w:fill="FFFFFF"/>
          </w:tcPr>
          <w:p w:rsidR="00324E66" w:rsidRPr="00324E66" w:rsidRDefault="00324E66" w:rsidP="000A2F95">
            <w:pPr>
              <w:spacing w:before="60"/>
              <w:jc w:val="center"/>
              <w:rPr>
                <w:rFonts w:cs="Arial"/>
              </w:rPr>
            </w:pPr>
            <w:r w:rsidRPr="00324E66">
              <w:rPr>
                <w:rFonts w:cs="Arial"/>
              </w:rPr>
              <w:t>Erhöhung</w:t>
            </w:r>
          </w:p>
        </w:tc>
        <w:tc>
          <w:tcPr>
            <w:tcW w:w="0" w:type="auto"/>
            <w:shd w:val="clear" w:color="auto" w:fill="FFFFFF"/>
          </w:tcPr>
          <w:p w:rsidR="00324E66" w:rsidRPr="00324E66" w:rsidRDefault="00324E66" w:rsidP="000A2F95">
            <w:pPr>
              <w:spacing w:before="60"/>
              <w:jc w:val="center"/>
              <w:rPr>
                <w:rFonts w:cs="Arial"/>
              </w:rPr>
            </w:pPr>
            <w:r w:rsidRPr="00324E66">
              <w:rPr>
                <w:rFonts w:cs="Arial"/>
              </w:rPr>
              <w:t>Vergebungs-</w:t>
            </w:r>
          </w:p>
          <w:p w:rsidR="00324E66" w:rsidRPr="00324E66" w:rsidRDefault="00324E66" w:rsidP="000A2F95">
            <w:pPr>
              <w:spacing w:before="60"/>
              <w:jc w:val="center"/>
              <w:rPr>
                <w:rFonts w:cs="Arial"/>
              </w:rPr>
            </w:pPr>
            <w:r w:rsidRPr="00324E66">
              <w:rPr>
                <w:rFonts w:cs="Arial"/>
              </w:rPr>
              <w:t>betrag</w:t>
            </w:r>
          </w:p>
          <w:p w:rsidR="00324E66" w:rsidRPr="00324E66" w:rsidRDefault="00324E66" w:rsidP="000A2F95">
            <w:pPr>
              <w:spacing w:before="60"/>
              <w:jc w:val="center"/>
              <w:rPr>
                <w:rFonts w:cs="Arial"/>
              </w:rPr>
            </w:pPr>
            <w:r w:rsidRPr="00324E66">
              <w:rPr>
                <w:rFonts w:cs="Arial"/>
              </w:rPr>
              <w:t>neu</w:t>
            </w:r>
          </w:p>
        </w:tc>
      </w:tr>
      <w:tr w:rsidR="00324E66" w:rsidRPr="00324E66" w:rsidTr="000A2F95">
        <w:trPr>
          <w:trHeight w:val="283"/>
        </w:trPr>
        <w:tc>
          <w:tcPr>
            <w:tcW w:w="0" w:type="auto"/>
            <w:shd w:val="clear" w:color="auto" w:fill="FFFFFF"/>
          </w:tcPr>
          <w:p w:rsidR="00324E66" w:rsidRPr="00324E66" w:rsidRDefault="00324E66" w:rsidP="000A2F95">
            <w:pPr>
              <w:spacing w:before="60"/>
              <w:rPr>
                <w:rFonts w:cs="Arial"/>
              </w:rPr>
            </w:pPr>
            <w:r w:rsidRPr="00324E66">
              <w:rPr>
                <w:rFonts w:cs="Arial"/>
              </w:rPr>
              <w:t>Lüftungsanlagen</w:t>
            </w:r>
          </w:p>
        </w:tc>
        <w:tc>
          <w:tcPr>
            <w:tcW w:w="0" w:type="auto"/>
            <w:shd w:val="clear" w:color="auto" w:fill="FFFFFF"/>
          </w:tcPr>
          <w:p w:rsidR="00324E66" w:rsidRPr="00324E66" w:rsidRDefault="00324E66" w:rsidP="000A2F95">
            <w:pPr>
              <w:spacing w:before="60"/>
              <w:jc w:val="center"/>
              <w:rPr>
                <w:rFonts w:cs="Arial"/>
              </w:rPr>
            </w:pPr>
            <w:r w:rsidRPr="00324E66">
              <w:rPr>
                <w:rFonts w:cs="Arial"/>
              </w:rPr>
              <w:t>Fr.</w:t>
            </w:r>
          </w:p>
        </w:tc>
        <w:tc>
          <w:tcPr>
            <w:tcW w:w="0" w:type="auto"/>
            <w:shd w:val="clear" w:color="auto" w:fill="FFFFFF"/>
          </w:tcPr>
          <w:p w:rsidR="00324E66" w:rsidRPr="00324E66" w:rsidRDefault="00324E66" w:rsidP="000A2F95">
            <w:pPr>
              <w:spacing w:before="60"/>
              <w:jc w:val="center"/>
              <w:rPr>
                <w:rFonts w:cs="Arial"/>
              </w:rPr>
            </w:pPr>
            <w:r w:rsidRPr="00324E66">
              <w:rPr>
                <w:rFonts w:cs="Arial"/>
              </w:rPr>
              <w:t>Fr.</w:t>
            </w:r>
          </w:p>
        </w:tc>
        <w:tc>
          <w:tcPr>
            <w:tcW w:w="0" w:type="auto"/>
            <w:shd w:val="clear" w:color="auto" w:fill="FFFFFF"/>
          </w:tcPr>
          <w:p w:rsidR="00324E66" w:rsidRPr="00324E66" w:rsidRDefault="00324E66" w:rsidP="000A2F95">
            <w:pPr>
              <w:spacing w:before="60"/>
              <w:jc w:val="center"/>
              <w:rPr>
                <w:rFonts w:cs="Arial"/>
              </w:rPr>
            </w:pPr>
            <w:r w:rsidRPr="00324E66">
              <w:rPr>
                <w:rFonts w:cs="Arial"/>
              </w:rPr>
              <w:t>Fr.</w:t>
            </w:r>
          </w:p>
        </w:tc>
      </w:tr>
      <w:tr w:rsidR="00324E66" w:rsidRPr="00324E66" w:rsidTr="000A2F95">
        <w:trPr>
          <w:trHeight w:val="283"/>
        </w:trPr>
        <w:tc>
          <w:tcPr>
            <w:tcW w:w="0" w:type="auto"/>
            <w:shd w:val="clear" w:color="auto" w:fill="FFFFFF"/>
          </w:tcPr>
          <w:p w:rsidR="00324E66" w:rsidRPr="00324E66" w:rsidRDefault="00324E66" w:rsidP="000A2F95">
            <w:pPr>
              <w:spacing w:before="60"/>
              <w:rPr>
                <w:rFonts w:cs="Arial"/>
              </w:rPr>
            </w:pPr>
            <w:r w:rsidRPr="00324E66">
              <w:rPr>
                <w:rFonts w:cs="Arial"/>
              </w:rPr>
              <w:t>Monag AG, Zürich</w:t>
            </w:r>
          </w:p>
        </w:tc>
        <w:tc>
          <w:tcPr>
            <w:tcW w:w="0" w:type="auto"/>
            <w:shd w:val="clear" w:color="auto" w:fill="FFFFFF"/>
          </w:tcPr>
          <w:p w:rsidR="00324E66" w:rsidRPr="00324E66" w:rsidRDefault="00324E66" w:rsidP="000A2F95">
            <w:pPr>
              <w:spacing w:before="60"/>
              <w:jc w:val="right"/>
              <w:rPr>
                <w:rFonts w:cs="Arial"/>
              </w:rPr>
            </w:pPr>
            <w:r w:rsidRPr="00324E66">
              <w:rPr>
                <w:rFonts w:cs="Arial"/>
              </w:rPr>
              <w:t>2 200 000</w:t>
            </w:r>
          </w:p>
        </w:tc>
        <w:tc>
          <w:tcPr>
            <w:tcW w:w="0" w:type="auto"/>
            <w:shd w:val="clear" w:color="auto" w:fill="FFFFFF"/>
          </w:tcPr>
          <w:p w:rsidR="00324E66" w:rsidRPr="00324E66" w:rsidRDefault="00324E66" w:rsidP="000A2F95">
            <w:pPr>
              <w:spacing w:before="60"/>
              <w:jc w:val="right"/>
              <w:rPr>
                <w:rFonts w:cs="Arial"/>
              </w:rPr>
            </w:pPr>
            <w:r w:rsidRPr="00324E66">
              <w:rPr>
                <w:rFonts w:cs="Arial"/>
              </w:rPr>
              <w:t>250 000</w:t>
            </w:r>
          </w:p>
        </w:tc>
        <w:tc>
          <w:tcPr>
            <w:tcW w:w="0" w:type="auto"/>
            <w:shd w:val="clear" w:color="auto" w:fill="FFFFFF"/>
          </w:tcPr>
          <w:p w:rsidR="00324E66" w:rsidRPr="00324E66" w:rsidRDefault="00324E66" w:rsidP="000A2F95">
            <w:pPr>
              <w:spacing w:before="60"/>
              <w:jc w:val="right"/>
              <w:rPr>
                <w:rFonts w:cs="Arial"/>
              </w:rPr>
            </w:pPr>
            <w:r w:rsidRPr="00324E66">
              <w:rPr>
                <w:rFonts w:cs="Arial"/>
              </w:rPr>
              <w:t>2 450 000</w:t>
            </w:r>
          </w:p>
        </w:tc>
      </w:tr>
    </w:tbl>
    <w:p w:rsidR="00324E66" w:rsidRPr="00324E66" w:rsidRDefault="00324E66" w:rsidP="00324E66">
      <w:pPr>
        <w:keepNext/>
        <w:keepLines/>
        <w:spacing w:before="60"/>
        <w:rPr>
          <w:rFonts w:cs="Arial"/>
        </w:rPr>
      </w:pPr>
      <w:r w:rsidRPr="00324E66">
        <w:rPr>
          <w:rFonts w:cs="Arial"/>
        </w:rPr>
        <w:t>Die Kosten gehen zu Lasten des Kontos 3010.5031.815, Universitätsspital; Neubau Betriebsgebäude.</w:t>
      </w:r>
    </w:p>
    <w:p w:rsidR="00324E66" w:rsidRPr="00324E66" w:rsidRDefault="00324E66" w:rsidP="00324E66">
      <w:pPr>
        <w:pStyle w:val="00Vorgabetext"/>
        <w:keepNext/>
        <w:keepLines/>
        <w:rPr>
          <w:rFonts w:cs="Arial"/>
        </w:rPr>
      </w:pPr>
      <w:r w:rsidRPr="00324E66">
        <w:rPr>
          <w:rFonts w:cs="Arial"/>
        </w:rPr>
        <w:t>II. Mitteilung an die Direktion der öffentlichen Bauten.</w:t>
      </w:r>
    </w:p>
    <w:p w:rsidR="00324E66" w:rsidRPr="00324E66" w:rsidRDefault="00324E66" w:rsidP="00324E66">
      <w:pPr>
        <w:pStyle w:val="00Vorgabetext"/>
        <w:keepNext/>
        <w:keepLines/>
        <w:rPr>
          <w:rFonts w:cs="Arial"/>
        </w:rPr>
      </w:pPr>
    </w:p>
    <w:p w:rsidR="00324E66" w:rsidRPr="00324E66" w:rsidRDefault="00324E66" w:rsidP="00324E66">
      <w:pPr>
        <w:pStyle w:val="00Vorgabetext"/>
        <w:keepNext/>
        <w:keepLines/>
        <w:rPr>
          <w:rFonts w:cs="Arial"/>
        </w:rPr>
      </w:pPr>
    </w:p>
    <w:p w:rsidR="00BE768B" w:rsidRPr="00324E66" w:rsidRDefault="00324E66" w:rsidP="00324E66">
      <w:pPr>
        <w:pStyle w:val="00Vorgabetext"/>
        <w:keepNext/>
        <w:keepLines/>
      </w:pPr>
      <w:r w:rsidRPr="00324E66">
        <w:rPr>
          <w:rFonts w:cs="Arial"/>
        </w:rPr>
        <w:t>[</w:t>
      </w:r>
      <w:r w:rsidRPr="00324E66">
        <w:rPr>
          <w:rFonts w:cs="Arial"/>
          <w:i/>
        </w:rPr>
        <w:t>Transkript: OCR (Überarbeitung: Team TKR)/14.09.2017</w:t>
      </w:r>
      <w:bookmarkStart w:id="1" w:name="_GoBack"/>
      <w:r w:rsidRPr="00324E66">
        <w:rPr>
          <w:rFonts w:cs="Arial"/>
        </w:rPr>
        <w:t xml:space="preserve">] </w:t>
      </w:r>
      <w:bookmarkEnd w:id="1"/>
    </w:p>
    <w:sectPr w:rsidR="00BE768B" w:rsidRPr="00324E66"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E66" w:rsidRDefault="00324E66">
      <w:r>
        <w:separator/>
      </w:r>
    </w:p>
    <w:p w:rsidR="00324E66" w:rsidRDefault="00324E66"/>
    <w:p w:rsidR="00324E66" w:rsidRDefault="00324E66"/>
  </w:endnote>
  <w:endnote w:type="continuationSeparator" w:id="0">
    <w:p w:rsidR="00324E66" w:rsidRDefault="00324E66">
      <w:r>
        <w:continuationSeparator/>
      </w:r>
    </w:p>
    <w:p w:rsidR="00324E66" w:rsidRDefault="00324E66"/>
    <w:p w:rsidR="00324E66" w:rsidRDefault="00324E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E66" w:rsidRDefault="00324E66">
      <w:r>
        <w:separator/>
      </w:r>
    </w:p>
    <w:p w:rsidR="00324E66" w:rsidRDefault="00324E66"/>
    <w:p w:rsidR="00324E66" w:rsidRDefault="00324E66"/>
  </w:footnote>
  <w:footnote w:type="continuationSeparator" w:id="0">
    <w:p w:rsidR="00324E66" w:rsidRDefault="00324E66">
      <w:r>
        <w:continuationSeparator/>
      </w:r>
    </w:p>
    <w:p w:rsidR="00324E66" w:rsidRDefault="00324E66"/>
    <w:p w:rsidR="00324E66" w:rsidRDefault="00324E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24E66">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24E66"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6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4E66"/>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172CDB2-A859-48E1-9726-431C4152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24E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0DA22-7C02-43FF-8A90-E728866C8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272</Words>
  <Characters>1884</Characters>
  <Application>Microsoft Office Word</Application>
  <DocSecurity>0</DocSecurity>
  <PresentationFormat/>
  <Lines>188</Lines>
  <Paragraphs>165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1991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Universitätsspital (Neubau Betriebsgebäude)</dc:subject>
  <dc:creator>Staatsarchiv des Kantons Zürich</dc:creator>
  <cp:lastModifiedBy>Mirjam Stadler</cp:lastModifiedBy>
  <cp:revision>1</cp:revision>
  <cp:lastPrinted>2012-06-15T14:37:00Z</cp:lastPrinted>
  <dcterms:created xsi:type="dcterms:W3CDTF">2017-09-14T06:17:00Z</dcterms:created>
  <dcterms:modified xsi:type="dcterms:W3CDTF">2017-09-14T06:17:00Z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