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B4C4B" w:rsidTr="00C80ABA">
        <w:trPr>
          <w:trHeight w:val="454"/>
        </w:trPr>
        <w:tc>
          <w:tcPr>
            <w:tcW w:w="1668" w:type="dxa"/>
          </w:tcPr>
          <w:p w:rsidR="00A43AE4" w:rsidRPr="006B4C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4C4B">
              <w:t>Signatur</w:t>
            </w:r>
          </w:p>
        </w:tc>
        <w:tc>
          <w:tcPr>
            <w:tcW w:w="6721" w:type="dxa"/>
          </w:tcPr>
          <w:p w:rsidR="00A43AE4" w:rsidRPr="006B4C4B" w:rsidRDefault="006B4C4B" w:rsidP="00931B1F">
            <w:pPr>
              <w:pStyle w:val="70SignaturX"/>
            </w:pPr>
            <w:r w:rsidRPr="006B4C4B">
              <w:t>StAZH MM 3.203 RRB 1994/0139</w:t>
            </w:r>
          </w:p>
        </w:tc>
      </w:tr>
      <w:tr w:rsidR="00A43AE4" w:rsidRPr="006B4C4B" w:rsidTr="00C80ABA">
        <w:trPr>
          <w:trHeight w:val="454"/>
        </w:trPr>
        <w:tc>
          <w:tcPr>
            <w:tcW w:w="1668" w:type="dxa"/>
          </w:tcPr>
          <w:p w:rsidR="00A43AE4" w:rsidRPr="006B4C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4C4B">
              <w:t>Titel</w:t>
            </w:r>
          </w:p>
        </w:tc>
        <w:tc>
          <w:tcPr>
            <w:tcW w:w="6721" w:type="dxa"/>
          </w:tcPr>
          <w:p w:rsidR="006C59EA" w:rsidRPr="006B4C4B" w:rsidRDefault="006B4C4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B4C4B">
              <w:rPr>
                <w:rFonts w:ascii="Arial Black" w:hAnsi="Arial Black"/>
              </w:rPr>
              <w:t>Wohnbauförderung (Wohnüberbauung Spranglen, Bassersdorf)</w:t>
            </w:r>
          </w:p>
        </w:tc>
      </w:tr>
      <w:tr w:rsidR="00BC0931" w:rsidRPr="006B4C4B" w:rsidTr="00C80ABA">
        <w:trPr>
          <w:trHeight w:val="454"/>
        </w:trPr>
        <w:tc>
          <w:tcPr>
            <w:tcW w:w="1668" w:type="dxa"/>
          </w:tcPr>
          <w:p w:rsidR="00BC0931" w:rsidRPr="006B4C4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4C4B">
              <w:t>Datum</w:t>
            </w:r>
          </w:p>
        </w:tc>
        <w:tc>
          <w:tcPr>
            <w:tcW w:w="6721" w:type="dxa"/>
          </w:tcPr>
          <w:p w:rsidR="00BC0931" w:rsidRPr="006B4C4B" w:rsidRDefault="006B4C4B" w:rsidP="00931B1F">
            <w:pPr>
              <w:pStyle w:val="71DatumX"/>
            </w:pPr>
            <w:r w:rsidRPr="006B4C4B">
              <w:t>19.01.1994</w:t>
            </w:r>
          </w:p>
        </w:tc>
      </w:tr>
      <w:tr w:rsidR="00A43AE4" w:rsidRPr="006B4C4B" w:rsidTr="00C80ABA">
        <w:trPr>
          <w:trHeight w:val="454"/>
        </w:trPr>
        <w:tc>
          <w:tcPr>
            <w:tcW w:w="1668" w:type="dxa"/>
          </w:tcPr>
          <w:p w:rsidR="00A43AE4" w:rsidRPr="006B4C4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B4C4B">
              <w:t>P.</w:t>
            </w:r>
          </w:p>
        </w:tc>
        <w:tc>
          <w:tcPr>
            <w:tcW w:w="6721" w:type="dxa"/>
          </w:tcPr>
          <w:p w:rsidR="00A43AE4" w:rsidRPr="006B4C4B" w:rsidRDefault="006B4C4B" w:rsidP="00931B1F">
            <w:pPr>
              <w:pStyle w:val="00Vorgabetext"/>
            </w:pPr>
            <w:r w:rsidRPr="006B4C4B">
              <w:t>70–71</w:t>
            </w:r>
          </w:p>
        </w:tc>
      </w:tr>
    </w:tbl>
    <w:p w:rsidR="00616641" w:rsidRPr="006B4C4B" w:rsidRDefault="00616641" w:rsidP="0077655B">
      <w:pPr>
        <w:pStyle w:val="00Vorgabetext"/>
        <w:spacing w:before="0" w:after="60"/>
      </w:pPr>
    </w:p>
    <w:p w:rsidR="006B4C4B" w:rsidRPr="006B4C4B" w:rsidRDefault="006B4C4B" w:rsidP="00BE768B">
      <w:pPr>
        <w:pStyle w:val="00Vorgabetext"/>
        <w:rPr>
          <w:rFonts w:cs="Arial"/>
        </w:rPr>
      </w:pPr>
      <w:bookmarkStart w:id="0" w:name="ContentText"/>
      <w:bookmarkEnd w:id="0"/>
      <w:r w:rsidRPr="006B4C4B">
        <w:t>[</w:t>
      </w:r>
      <w:r w:rsidRPr="006B4C4B">
        <w:rPr>
          <w:i/>
        </w:rPr>
        <w:t>p. 70</w:t>
      </w:r>
      <w:r w:rsidRPr="006B4C4B">
        <w:t xml:space="preserve">] </w:t>
      </w:r>
      <w:r w:rsidRPr="006B4C4B">
        <w:rPr>
          <w:rFonts w:cs="Arial"/>
        </w:rPr>
        <w:t>Gestützt auf das Gesetz über die Förderung des Wohnungsbaus und des Wohneigentums vom 24. September 1989 (WBFG) kann der SILU, Siedlungsgenossenschaft Luftverkehr Zürich, Zürich-Flughafen, für 48 Familienwohnungen in der Wohnüberbauung Spranglen, Spranglenstrasse 56 - 67, Bassersdorf, ein Darlehen von insgesamt höchstens Fr. 3 041 000 gewährt werden. Dieses Darlehen ist gemäss § 65 der Wohnbauförderungsverordnung vom Regierungsrat zu beschliessen.</w:t>
      </w:r>
      <w:r w:rsidRPr="006B4C4B">
        <w:rPr>
          <w:rFonts w:cs="Arial"/>
        </w:rPr>
        <w:t xml:space="preserve"> // [</w:t>
      </w:r>
      <w:r w:rsidRPr="006B4C4B">
        <w:rPr>
          <w:rFonts w:cs="Arial"/>
          <w:i/>
        </w:rPr>
        <w:t>p. 71</w:t>
      </w:r>
      <w:r w:rsidRPr="006B4C4B">
        <w:rPr>
          <w:rFonts w:cs="Arial"/>
        </w:rPr>
        <w:t>]</w:t>
      </w:r>
    </w:p>
    <w:p w:rsidR="006B4C4B" w:rsidRPr="006B4C4B" w:rsidRDefault="006B4C4B" w:rsidP="006B4C4B">
      <w:pPr>
        <w:spacing w:before="60"/>
        <w:rPr>
          <w:rFonts w:cs="Arial"/>
        </w:rPr>
      </w:pPr>
      <w:r w:rsidRPr="006B4C4B">
        <w:rPr>
          <w:rFonts w:cs="Arial"/>
        </w:rPr>
        <w:t>Die gesamten Investitionskosten einschliesslich 16 Wohnungen ohne staatliche Darlehen, Gemeinschaftsraum, 21 Hobbyräume, 22 Einstellgaragenplätze und 11 Parkplätze im Freien betragen Fr. 23 107 500. Davon kann für die 48 Wohnungen mit staatlichen Darlehen der Betrag von Fr. 15 202 000 als anrechenbare Investitionskosten anerkannt werden.</w:t>
      </w:r>
    </w:p>
    <w:p w:rsidR="006B4C4B" w:rsidRPr="006B4C4B" w:rsidRDefault="006B4C4B" w:rsidP="006B4C4B">
      <w:pPr>
        <w:spacing w:before="60"/>
        <w:rPr>
          <w:rFonts w:cs="Arial"/>
        </w:rPr>
      </w:pPr>
      <w:r w:rsidRPr="006B4C4B">
        <w:rPr>
          <w:rFonts w:cs="Arial"/>
        </w:rPr>
        <w:t>Der Gemeinderat Bassersdorf hat am 9. März 1993 das Subventionsgesuch mit der Begründung abgelehnt, grundsätzlich keine privaten Bauträger zu unterstützen. Anstelle der Gemeinde erbringt die Grundeigentümerin Swissair, Schweizerische Luftverkehr AG, durch die Abgabe von günstigem Baurechtsland und Baurechtszins die erforderliche Leistung im Sinne von § 7 Abs. 1 WBFG. Leistungen von Arbeitgebern, Stiftungen und ähnlichen Institutionen, die nicht selbst Träger des Bauvorhabens sind, können bis zum vollen Betrag als Gemeindeleistungen angerechnet werden (§ 7 Abs. 3 WBFG). Die Swissair ist Arbeitgeberin eines grossen Teils der Mitglieder der S1LU. Ihre Leistung kann deshalb vorliegend als gleichwertige Gemeindeleistung anerkannt werden.</w:t>
      </w:r>
    </w:p>
    <w:tbl>
      <w:tblPr>
        <w:tblOverlap w:val="never"/>
        <w:tblW w:w="0" w:type="auto"/>
        <w:shd w:val="clear" w:color="auto" w:fill="FFFFFF"/>
        <w:tblCellMar>
          <w:left w:w="28" w:type="dxa"/>
          <w:right w:w="28" w:type="dxa"/>
        </w:tblCellMar>
        <w:tblLook w:val="04A0" w:firstRow="1" w:lastRow="0" w:firstColumn="1" w:lastColumn="0" w:noHBand="0" w:noVBand="1"/>
      </w:tblPr>
      <w:tblGrid>
        <w:gridCol w:w="1658"/>
        <w:gridCol w:w="1152"/>
        <w:gridCol w:w="5726"/>
      </w:tblGrid>
      <w:tr w:rsidR="006B4C4B" w:rsidRPr="006B4C4B" w:rsidTr="000A2F95">
        <w:trPr>
          <w:trHeight w:val="283"/>
        </w:trPr>
        <w:tc>
          <w:tcPr>
            <w:tcW w:w="0" w:type="auto"/>
            <w:shd w:val="clear" w:color="auto" w:fill="FFFFFF"/>
          </w:tcPr>
          <w:p w:rsidR="006B4C4B" w:rsidRPr="006B4C4B" w:rsidRDefault="006B4C4B" w:rsidP="000A2F95">
            <w:pPr>
              <w:spacing w:before="60"/>
              <w:jc w:val="center"/>
              <w:rPr>
                <w:rFonts w:cs="Arial"/>
                <w:sz w:val="18"/>
                <w:szCs w:val="18"/>
              </w:rPr>
            </w:pPr>
            <w:r w:rsidRPr="006B4C4B">
              <w:rPr>
                <w:rFonts w:cs="Arial"/>
                <w:sz w:val="18"/>
                <w:szCs w:val="18"/>
              </w:rPr>
              <w:t>Wohnungskategorie</w:t>
            </w:r>
          </w:p>
        </w:tc>
        <w:tc>
          <w:tcPr>
            <w:tcW w:w="0" w:type="auto"/>
            <w:shd w:val="clear" w:color="auto" w:fill="FFFFFF"/>
          </w:tcPr>
          <w:p w:rsidR="006B4C4B" w:rsidRPr="006B4C4B" w:rsidRDefault="006B4C4B" w:rsidP="000A2F95">
            <w:pPr>
              <w:spacing w:before="60"/>
              <w:jc w:val="center"/>
              <w:rPr>
                <w:rFonts w:cs="Arial"/>
                <w:sz w:val="18"/>
                <w:szCs w:val="18"/>
              </w:rPr>
            </w:pPr>
            <w:r w:rsidRPr="006B4C4B">
              <w:rPr>
                <w:rFonts w:cs="Arial"/>
                <w:sz w:val="18"/>
                <w:szCs w:val="18"/>
              </w:rPr>
              <w:t>Darlehen</w:t>
            </w:r>
          </w:p>
          <w:p w:rsidR="006B4C4B" w:rsidRPr="006B4C4B" w:rsidRDefault="006B4C4B" w:rsidP="000A2F95">
            <w:pPr>
              <w:spacing w:before="60"/>
              <w:jc w:val="center"/>
              <w:rPr>
                <w:rFonts w:cs="Arial"/>
                <w:sz w:val="18"/>
                <w:szCs w:val="18"/>
              </w:rPr>
            </w:pPr>
            <w:r w:rsidRPr="006B4C4B">
              <w:rPr>
                <w:rFonts w:cs="Arial"/>
                <w:sz w:val="18"/>
                <w:szCs w:val="18"/>
              </w:rPr>
              <w:t>Kanton</w:t>
            </w:r>
          </w:p>
          <w:p w:rsidR="006B4C4B" w:rsidRPr="006B4C4B" w:rsidRDefault="006B4C4B" w:rsidP="000A2F95">
            <w:pPr>
              <w:spacing w:before="60"/>
              <w:jc w:val="center"/>
              <w:rPr>
                <w:rFonts w:cs="Arial"/>
                <w:sz w:val="18"/>
                <w:szCs w:val="18"/>
              </w:rPr>
            </w:pPr>
            <w:r w:rsidRPr="006B4C4B">
              <w:rPr>
                <w:rFonts w:cs="Arial"/>
                <w:sz w:val="18"/>
                <w:szCs w:val="18"/>
              </w:rPr>
              <w:t>Fr.</w:t>
            </w:r>
          </w:p>
        </w:tc>
        <w:tc>
          <w:tcPr>
            <w:tcW w:w="0" w:type="auto"/>
            <w:shd w:val="clear" w:color="auto" w:fill="FFFFFF"/>
          </w:tcPr>
          <w:p w:rsidR="006B4C4B" w:rsidRPr="006B4C4B" w:rsidRDefault="006B4C4B" w:rsidP="000A2F95">
            <w:pPr>
              <w:spacing w:before="60"/>
              <w:jc w:val="center"/>
              <w:rPr>
                <w:rFonts w:cs="Arial"/>
                <w:sz w:val="18"/>
                <w:szCs w:val="18"/>
              </w:rPr>
            </w:pPr>
            <w:r w:rsidRPr="006B4C4B">
              <w:rPr>
                <w:rFonts w:cs="Arial"/>
                <w:sz w:val="18"/>
                <w:szCs w:val="18"/>
              </w:rPr>
              <w:t>Gleichwertige Gemeindeleistung in Form von günstigem Baurechtsland und Baurechtszins</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24 Familien-</w:t>
            </w:r>
          </w:p>
        </w:tc>
        <w:tc>
          <w:tcPr>
            <w:tcW w:w="0" w:type="auto"/>
            <w:shd w:val="clear" w:color="auto" w:fill="FFFFFF"/>
          </w:tcPr>
          <w:p w:rsidR="006B4C4B" w:rsidRPr="006B4C4B" w:rsidRDefault="006B4C4B" w:rsidP="000A2F95">
            <w:pPr>
              <w:spacing w:before="60"/>
              <w:rPr>
                <w:rFonts w:cs="Arial"/>
              </w:rPr>
            </w:pPr>
            <w:r w:rsidRPr="006B4C4B">
              <w:rPr>
                <w:rFonts w:cs="Arial"/>
              </w:rPr>
              <w:t>1 534 000</w:t>
            </w:r>
          </w:p>
        </w:tc>
        <w:tc>
          <w:tcPr>
            <w:tcW w:w="0" w:type="auto"/>
            <w:shd w:val="clear" w:color="auto" w:fill="FFFFFF"/>
          </w:tcPr>
          <w:p w:rsidR="006B4C4B" w:rsidRPr="006B4C4B" w:rsidRDefault="006B4C4B" w:rsidP="000A2F95">
            <w:pPr>
              <w:spacing w:before="60"/>
              <w:rPr>
                <w:rFonts w:cs="Arial"/>
              </w:rPr>
            </w:pPr>
            <w:r w:rsidRPr="006B4C4B">
              <w:rPr>
                <w:rFonts w:cs="Arial"/>
              </w:rPr>
              <w:t>4144 m</w:t>
            </w:r>
            <w:r w:rsidRPr="006B4C4B">
              <w:rPr>
                <w:rFonts w:cs="Arial"/>
                <w:vertAlign w:val="superscript"/>
              </w:rPr>
              <w:t>2</w:t>
            </w:r>
            <w:r w:rsidRPr="006B4C4B">
              <w:rPr>
                <w:rFonts w:cs="Arial"/>
              </w:rPr>
              <w:t xml:space="preserve"> Baurechtsland zu Fr. 543/m</w:t>
            </w:r>
            <w:r w:rsidRPr="006B4C4B">
              <w:rPr>
                <w:rFonts w:cs="Arial"/>
                <w:vertAlign w:val="superscript"/>
              </w:rPr>
              <w:t>2</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wohnungen I</w:t>
            </w:r>
          </w:p>
        </w:tc>
        <w:tc>
          <w:tcPr>
            <w:tcW w:w="0" w:type="auto"/>
            <w:shd w:val="clear" w:color="auto" w:fill="FFFFFF"/>
          </w:tcPr>
          <w:p w:rsidR="006B4C4B" w:rsidRPr="006B4C4B" w:rsidRDefault="006B4C4B" w:rsidP="000A2F95">
            <w:pPr>
              <w:spacing w:before="60"/>
              <w:rPr>
                <w:rFonts w:cs="Arial"/>
              </w:rPr>
            </w:pPr>
            <w:r w:rsidRPr="006B4C4B">
              <w:rPr>
                <w:rFonts w:cs="Arial"/>
              </w:rPr>
              <w:t>0% Zins</w:t>
            </w:r>
          </w:p>
        </w:tc>
        <w:tc>
          <w:tcPr>
            <w:tcW w:w="0" w:type="auto"/>
            <w:shd w:val="clear" w:color="auto" w:fill="FFFFFF"/>
          </w:tcPr>
          <w:p w:rsidR="006B4C4B" w:rsidRPr="006B4C4B" w:rsidRDefault="006B4C4B" w:rsidP="000A2F95">
            <w:pPr>
              <w:spacing w:before="60"/>
              <w:rPr>
                <w:rFonts w:cs="Arial"/>
              </w:rPr>
            </w:pPr>
            <w:r w:rsidRPr="006B4C4B">
              <w:rPr>
                <w:rFonts w:cs="Arial"/>
              </w:rPr>
              <w:t>Baurechtszins: 1.-10. Jahr 0% Zins</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szCs w:val="10"/>
              </w:rPr>
            </w:pPr>
          </w:p>
        </w:tc>
        <w:tc>
          <w:tcPr>
            <w:tcW w:w="0" w:type="auto"/>
            <w:shd w:val="clear" w:color="auto" w:fill="FFFFFF"/>
          </w:tcPr>
          <w:p w:rsidR="006B4C4B" w:rsidRPr="006B4C4B" w:rsidRDefault="006B4C4B" w:rsidP="000A2F95">
            <w:pPr>
              <w:spacing w:before="60"/>
              <w:rPr>
                <w:rFonts w:cs="Arial"/>
                <w:szCs w:val="10"/>
              </w:rPr>
            </w:pPr>
          </w:p>
        </w:tc>
        <w:tc>
          <w:tcPr>
            <w:tcW w:w="0" w:type="auto"/>
            <w:shd w:val="clear" w:color="auto" w:fill="FFFFFF"/>
          </w:tcPr>
          <w:p w:rsidR="006B4C4B" w:rsidRPr="006B4C4B" w:rsidRDefault="006B4C4B" w:rsidP="000A2F95">
            <w:pPr>
              <w:spacing w:before="60"/>
              <w:rPr>
                <w:rFonts w:cs="Arial"/>
              </w:rPr>
            </w:pPr>
            <w:r w:rsidRPr="006B4C4B">
              <w:rPr>
                <w:rFonts w:cs="Arial"/>
              </w:rPr>
              <w:t>11.-25. Jahr 2% Zins</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24 Familien-</w:t>
            </w:r>
          </w:p>
        </w:tc>
        <w:tc>
          <w:tcPr>
            <w:tcW w:w="0" w:type="auto"/>
            <w:shd w:val="clear" w:color="auto" w:fill="FFFFFF"/>
          </w:tcPr>
          <w:p w:rsidR="006B4C4B" w:rsidRPr="006B4C4B" w:rsidRDefault="006B4C4B" w:rsidP="000A2F95">
            <w:pPr>
              <w:spacing w:before="60"/>
              <w:rPr>
                <w:rFonts w:cs="Arial"/>
              </w:rPr>
            </w:pPr>
            <w:r w:rsidRPr="006B4C4B">
              <w:rPr>
                <w:rFonts w:cs="Arial"/>
              </w:rPr>
              <w:t>1 507 000</w:t>
            </w:r>
          </w:p>
        </w:tc>
        <w:tc>
          <w:tcPr>
            <w:tcW w:w="0" w:type="auto"/>
            <w:shd w:val="clear" w:color="auto" w:fill="FFFFFF"/>
          </w:tcPr>
          <w:p w:rsidR="006B4C4B" w:rsidRPr="006B4C4B" w:rsidRDefault="006B4C4B" w:rsidP="000A2F95">
            <w:pPr>
              <w:spacing w:before="60"/>
              <w:rPr>
                <w:rFonts w:cs="Arial"/>
              </w:rPr>
            </w:pPr>
            <w:r w:rsidRPr="006B4C4B">
              <w:rPr>
                <w:rFonts w:cs="Arial"/>
              </w:rPr>
              <w:t>4072 m</w:t>
            </w:r>
            <w:r w:rsidRPr="006B4C4B">
              <w:rPr>
                <w:rFonts w:cs="Arial"/>
                <w:vertAlign w:val="superscript"/>
              </w:rPr>
              <w:t>2</w:t>
            </w:r>
            <w:r w:rsidRPr="006B4C4B">
              <w:rPr>
                <w:rFonts w:cs="Arial"/>
              </w:rPr>
              <w:t xml:space="preserve"> Baurechtsland zu Fr. 543/m</w:t>
            </w:r>
            <w:r w:rsidRPr="006B4C4B">
              <w:rPr>
                <w:rFonts w:cs="Arial"/>
                <w:vertAlign w:val="superscript"/>
              </w:rPr>
              <w:t>2</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wohnungen II</w:t>
            </w:r>
          </w:p>
        </w:tc>
        <w:tc>
          <w:tcPr>
            <w:tcW w:w="0" w:type="auto"/>
            <w:shd w:val="clear" w:color="auto" w:fill="FFFFFF"/>
          </w:tcPr>
          <w:p w:rsidR="006B4C4B" w:rsidRPr="006B4C4B" w:rsidRDefault="006B4C4B" w:rsidP="000A2F95">
            <w:pPr>
              <w:spacing w:before="60"/>
              <w:rPr>
                <w:rFonts w:cs="Arial"/>
              </w:rPr>
            </w:pPr>
            <w:r w:rsidRPr="006B4C4B">
              <w:rPr>
                <w:rFonts w:cs="Arial"/>
              </w:rPr>
              <w:t>2% Zins</w:t>
            </w:r>
          </w:p>
        </w:tc>
        <w:tc>
          <w:tcPr>
            <w:tcW w:w="0" w:type="auto"/>
            <w:shd w:val="clear" w:color="auto" w:fill="FFFFFF"/>
          </w:tcPr>
          <w:p w:rsidR="006B4C4B" w:rsidRPr="006B4C4B" w:rsidRDefault="006B4C4B" w:rsidP="000A2F95">
            <w:pPr>
              <w:spacing w:before="60"/>
              <w:rPr>
                <w:rFonts w:cs="Arial"/>
              </w:rPr>
            </w:pPr>
            <w:r w:rsidRPr="006B4C4B">
              <w:rPr>
                <w:rFonts w:cs="Arial"/>
              </w:rPr>
              <w:t>Baurechtszins: 1.-10. Jahr 2% Zins</w:t>
            </w: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szCs w:val="10"/>
              </w:rPr>
            </w:pPr>
          </w:p>
        </w:tc>
        <w:tc>
          <w:tcPr>
            <w:tcW w:w="0" w:type="auto"/>
            <w:shd w:val="clear" w:color="auto" w:fill="FFFFFF"/>
          </w:tcPr>
          <w:p w:rsidR="006B4C4B" w:rsidRPr="006B4C4B" w:rsidRDefault="006B4C4B" w:rsidP="000A2F95">
            <w:pPr>
              <w:spacing w:before="60"/>
              <w:rPr>
                <w:rFonts w:cs="Arial"/>
                <w:szCs w:val="10"/>
              </w:rPr>
            </w:pPr>
          </w:p>
        </w:tc>
        <w:tc>
          <w:tcPr>
            <w:tcW w:w="0" w:type="auto"/>
            <w:shd w:val="clear" w:color="auto" w:fill="FFFFFF"/>
          </w:tcPr>
          <w:p w:rsidR="006B4C4B" w:rsidRPr="006B4C4B" w:rsidRDefault="006B4C4B" w:rsidP="000A2F95">
            <w:pPr>
              <w:spacing w:before="60"/>
              <w:rPr>
                <w:rFonts w:cs="Arial"/>
              </w:rPr>
            </w:pPr>
            <w:r w:rsidRPr="006B4C4B">
              <w:rPr>
                <w:rFonts w:cs="Arial"/>
              </w:rPr>
              <w:t>11.-25. Jahr 4% Zins</w:t>
            </w:r>
          </w:p>
        </w:tc>
      </w:tr>
      <w:tr w:rsidR="006B4C4B" w:rsidRPr="006B4C4B" w:rsidTr="000A2F95">
        <w:trPr>
          <w:trHeight w:val="283"/>
        </w:trPr>
        <w:tc>
          <w:tcPr>
            <w:tcW w:w="0" w:type="auto"/>
            <w:gridSpan w:val="2"/>
            <w:shd w:val="clear" w:color="auto" w:fill="FFFFFF"/>
          </w:tcPr>
          <w:p w:rsidR="006B4C4B" w:rsidRPr="006B4C4B" w:rsidRDefault="006B4C4B" w:rsidP="000A2F95">
            <w:pPr>
              <w:spacing w:before="60"/>
              <w:rPr>
                <w:rFonts w:cs="Arial"/>
              </w:rPr>
            </w:pPr>
            <w:r w:rsidRPr="006B4C4B">
              <w:rPr>
                <w:rFonts w:cs="Arial"/>
              </w:rPr>
              <w:t>Amortisation:</w:t>
            </w:r>
          </w:p>
        </w:tc>
        <w:tc>
          <w:tcPr>
            <w:tcW w:w="0" w:type="auto"/>
            <w:shd w:val="clear" w:color="auto" w:fill="FFFFFF"/>
          </w:tcPr>
          <w:p w:rsidR="006B4C4B" w:rsidRPr="006B4C4B" w:rsidRDefault="006B4C4B" w:rsidP="000A2F95">
            <w:pPr>
              <w:spacing w:before="60"/>
              <w:rPr>
                <w:rFonts w:cs="Arial"/>
                <w:szCs w:val="10"/>
              </w:rPr>
            </w:pP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5% vom 11.</w:t>
            </w:r>
          </w:p>
        </w:tc>
        <w:tc>
          <w:tcPr>
            <w:tcW w:w="0" w:type="auto"/>
            <w:shd w:val="clear" w:color="auto" w:fill="FFFFFF"/>
          </w:tcPr>
          <w:p w:rsidR="006B4C4B" w:rsidRPr="006B4C4B" w:rsidRDefault="006B4C4B" w:rsidP="000A2F95">
            <w:pPr>
              <w:spacing w:before="60"/>
              <w:rPr>
                <w:rFonts w:cs="Arial"/>
              </w:rPr>
            </w:pPr>
            <w:r w:rsidRPr="006B4C4B">
              <w:rPr>
                <w:rFonts w:cs="Arial"/>
              </w:rPr>
              <w:t>bis 20. Jahr</w:t>
            </w:r>
          </w:p>
        </w:tc>
        <w:tc>
          <w:tcPr>
            <w:tcW w:w="0" w:type="auto"/>
            <w:shd w:val="clear" w:color="auto" w:fill="FFFFFF"/>
          </w:tcPr>
          <w:p w:rsidR="006B4C4B" w:rsidRPr="006B4C4B" w:rsidRDefault="006B4C4B" w:rsidP="000A2F95">
            <w:pPr>
              <w:spacing w:before="60"/>
              <w:rPr>
                <w:rFonts w:cs="Arial"/>
                <w:szCs w:val="10"/>
              </w:rPr>
            </w:pPr>
          </w:p>
        </w:tc>
      </w:tr>
      <w:tr w:rsidR="006B4C4B" w:rsidRPr="006B4C4B" w:rsidTr="000A2F95">
        <w:trPr>
          <w:trHeight w:val="283"/>
        </w:trPr>
        <w:tc>
          <w:tcPr>
            <w:tcW w:w="0" w:type="auto"/>
            <w:shd w:val="clear" w:color="auto" w:fill="FFFFFF"/>
          </w:tcPr>
          <w:p w:rsidR="006B4C4B" w:rsidRPr="006B4C4B" w:rsidRDefault="006B4C4B" w:rsidP="000A2F95">
            <w:pPr>
              <w:spacing w:before="60"/>
              <w:rPr>
                <w:rFonts w:cs="Arial"/>
              </w:rPr>
            </w:pPr>
            <w:r w:rsidRPr="006B4C4B">
              <w:rPr>
                <w:rFonts w:cs="Arial"/>
              </w:rPr>
              <w:t>10% vom 21.</w:t>
            </w:r>
          </w:p>
        </w:tc>
        <w:tc>
          <w:tcPr>
            <w:tcW w:w="0" w:type="auto"/>
            <w:shd w:val="clear" w:color="auto" w:fill="FFFFFF"/>
          </w:tcPr>
          <w:p w:rsidR="006B4C4B" w:rsidRPr="006B4C4B" w:rsidRDefault="006B4C4B" w:rsidP="000A2F95">
            <w:pPr>
              <w:spacing w:before="60"/>
              <w:rPr>
                <w:rFonts w:cs="Arial"/>
              </w:rPr>
            </w:pPr>
            <w:r w:rsidRPr="006B4C4B">
              <w:rPr>
                <w:rFonts w:cs="Arial"/>
              </w:rPr>
              <w:t>bis 25. Jahr</w:t>
            </w:r>
          </w:p>
        </w:tc>
        <w:tc>
          <w:tcPr>
            <w:tcW w:w="0" w:type="auto"/>
            <w:shd w:val="clear" w:color="auto" w:fill="FFFFFF"/>
          </w:tcPr>
          <w:p w:rsidR="006B4C4B" w:rsidRPr="006B4C4B" w:rsidRDefault="006B4C4B" w:rsidP="000A2F95">
            <w:pPr>
              <w:spacing w:before="60"/>
              <w:rPr>
                <w:rFonts w:cs="Arial"/>
                <w:szCs w:val="10"/>
              </w:rPr>
            </w:pPr>
          </w:p>
        </w:tc>
      </w:tr>
    </w:tbl>
    <w:p w:rsidR="006B4C4B" w:rsidRPr="006B4C4B" w:rsidRDefault="006B4C4B" w:rsidP="006B4C4B">
      <w:pPr>
        <w:spacing w:before="60"/>
        <w:rPr>
          <w:rFonts w:cs="Arial"/>
        </w:rPr>
      </w:pPr>
      <w:r w:rsidRPr="006B4C4B">
        <w:rPr>
          <w:rFonts w:cs="Arial"/>
        </w:rPr>
        <w:t>Bei den zuständigen Bundesbehörden ist die Zusicherung von Bundesbeiträgen zu beantragen.</w:t>
      </w:r>
    </w:p>
    <w:p w:rsidR="006B4C4B" w:rsidRPr="006B4C4B" w:rsidRDefault="006B4C4B" w:rsidP="006B4C4B">
      <w:pPr>
        <w:spacing w:before="60"/>
        <w:rPr>
          <w:rFonts w:cs="Arial"/>
        </w:rPr>
      </w:pPr>
      <w:r w:rsidRPr="006B4C4B">
        <w:rPr>
          <w:rFonts w:cs="Arial"/>
        </w:rPr>
        <w:t>Die Darlehenszusicherung für die 48 subventionsberechtigten Wohnungen erfolgt zu Lasten des vom Kantonsrat am 8. März 1993 bewilligten Rahmenkredits von 18 Millionen Franken. Die Auszahlung des Darlehens erfolgt nach Massgabe der zur Verfügung stehenden Voranschlagskredite.</w:t>
      </w:r>
    </w:p>
    <w:p w:rsidR="006B4C4B" w:rsidRPr="006B4C4B" w:rsidRDefault="006B4C4B" w:rsidP="006B4C4B">
      <w:pPr>
        <w:spacing w:before="60"/>
        <w:rPr>
          <w:rFonts w:cs="Arial"/>
        </w:rPr>
      </w:pPr>
      <w:r w:rsidRPr="006B4C4B">
        <w:rPr>
          <w:rFonts w:cs="Arial"/>
        </w:rPr>
        <w:t>Auf Antrag der Direktion der Volkswirtschaft</w:t>
      </w:r>
    </w:p>
    <w:p w:rsidR="006B4C4B" w:rsidRPr="006B4C4B" w:rsidRDefault="006B4C4B" w:rsidP="006B4C4B">
      <w:pPr>
        <w:spacing w:before="60"/>
        <w:jc w:val="center"/>
        <w:rPr>
          <w:rFonts w:cs="Arial"/>
        </w:rPr>
      </w:pPr>
      <w:r w:rsidRPr="006B4C4B">
        <w:rPr>
          <w:rFonts w:cs="Arial"/>
        </w:rPr>
        <w:t>beschliesst der Regierungsrat:</w:t>
      </w:r>
    </w:p>
    <w:p w:rsidR="006B4C4B" w:rsidRPr="006B4C4B" w:rsidRDefault="006B4C4B" w:rsidP="006B4C4B">
      <w:pPr>
        <w:tabs>
          <w:tab w:val="left" w:pos="447"/>
        </w:tabs>
        <w:spacing w:before="60"/>
        <w:rPr>
          <w:rFonts w:cs="Arial"/>
        </w:rPr>
      </w:pPr>
      <w:r w:rsidRPr="006B4C4B">
        <w:rPr>
          <w:rFonts w:cs="Arial"/>
        </w:rPr>
        <w:t>I. Die Direktion der Volkswirtschaft wird ermächtigt, der SILU, Siedlungsgenossenschaft Luftverkehr Zürich, Zürich-Flughafen, an das in den Erwägungen bezeichnete Bauvorhaben zu Lasten des Kontos 2610. 5250, Darlehen an Private und private Institutionen für den Wohnungsbau, folgende Darlehen zuzusichern:</w:t>
      </w:r>
    </w:p>
    <w:p w:rsidR="006B4C4B" w:rsidRPr="006B4C4B" w:rsidRDefault="006B4C4B" w:rsidP="006B4C4B">
      <w:pPr>
        <w:tabs>
          <w:tab w:val="left" w:pos="222"/>
        </w:tabs>
        <w:spacing w:before="60"/>
        <w:rPr>
          <w:rFonts w:cs="Arial"/>
        </w:rPr>
      </w:pPr>
      <w:r w:rsidRPr="006B4C4B">
        <w:rPr>
          <w:rFonts w:cs="Arial"/>
        </w:rPr>
        <w:t>- höchstens Fr. 1 534000 als zinsloses Darlehen für Familienwohnungen I,</w:t>
      </w:r>
    </w:p>
    <w:p w:rsidR="006B4C4B" w:rsidRPr="006B4C4B" w:rsidRDefault="006B4C4B" w:rsidP="006B4C4B">
      <w:pPr>
        <w:tabs>
          <w:tab w:val="left" w:pos="222"/>
        </w:tabs>
        <w:spacing w:before="60"/>
        <w:rPr>
          <w:rFonts w:cs="Arial"/>
        </w:rPr>
      </w:pPr>
      <w:r w:rsidRPr="006B4C4B">
        <w:rPr>
          <w:rFonts w:cs="Arial"/>
        </w:rPr>
        <w:t>- höchstens Fr. 1 507 000 als Darlehen mit 2% Zins für Familienwohnungen II.</w:t>
      </w:r>
    </w:p>
    <w:p w:rsidR="006B4C4B" w:rsidRPr="006B4C4B" w:rsidRDefault="006B4C4B" w:rsidP="006B4C4B">
      <w:pPr>
        <w:keepNext/>
        <w:keepLines/>
        <w:spacing w:before="60"/>
        <w:rPr>
          <w:rFonts w:cs="Arial"/>
        </w:rPr>
      </w:pPr>
      <w:r w:rsidRPr="006B4C4B">
        <w:rPr>
          <w:rFonts w:cs="Arial"/>
        </w:rPr>
        <w:t>Die Darlehen sind mit 5% vom 11. bis 20. Jahr und mit 10% vom 21. bis 25. Jahr zu amortisieren.</w:t>
      </w:r>
    </w:p>
    <w:p w:rsidR="006B4C4B" w:rsidRPr="006B4C4B" w:rsidRDefault="006B4C4B" w:rsidP="006B4C4B">
      <w:pPr>
        <w:pStyle w:val="00Vorgabetext"/>
        <w:keepNext/>
        <w:keepLines/>
        <w:rPr>
          <w:rFonts w:cs="Arial"/>
        </w:rPr>
      </w:pPr>
      <w:r w:rsidRPr="006B4C4B">
        <w:rPr>
          <w:rFonts w:cs="Arial"/>
        </w:rPr>
        <w:t>II. Mitteilung an die Direktionen der Volkswirtschaft und der Finanzen.</w:t>
      </w:r>
    </w:p>
    <w:p w:rsidR="006B4C4B" w:rsidRPr="006B4C4B" w:rsidRDefault="006B4C4B" w:rsidP="006B4C4B">
      <w:pPr>
        <w:pStyle w:val="00Vorgabetext"/>
        <w:keepNext/>
        <w:keepLines/>
        <w:rPr>
          <w:rFonts w:cs="Arial"/>
        </w:rPr>
      </w:pPr>
    </w:p>
    <w:p w:rsidR="006B4C4B" w:rsidRPr="006B4C4B" w:rsidRDefault="006B4C4B" w:rsidP="006B4C4B">
      <w:pPr>
        <w:pStyle w:val="00Vorgabetext"/>
        <w:keepNext/>
        <w:keepLines/>
        <w:rPr>
          <w:rFonts w:cs="Arial"/>
        </w:rPr>
      </w:pPr>
    </w:p>
    <w:p w:rsidR="00BE768B" w:rsidRPr="006B4C4B" w:rsidRDefault="006B4C4B" w:rsidP="006B4C4B">
      <w:pPr>
        <w:pStyle w:val="00Vorgabetext"/>
        <w:keepNext/>
        <w:keepLines/>
      </w:pPr>
      <w:r w:rsidRPr="006B4C4B">
        <w:rPr>
          <w:rFonts w:cs="Arial"/>
        </w:rPr>
        <w:t>[</w:t>
      </w:r>
      <w:r w:rsidRPr="006B4C4B">
        <w:rPr>
          <w:rFonts w:cs="Arial"/>
          <w:i/>
        </w:rPr>
        <w:t>Transkript: OCR (Überarbeitung: Team TKR)/14.09.2017</w:t>
      </w:r>
      <w:bookmarkStart w:id="1" w:name="_GoBack"/>
      <w:r w:rsidRPr="006B4C4B">
        <w:rPr>
          <w:rFonts w:cs="Arial"/>
        </w:rPr>
        <w:t xml:space="preserve">] </w:t>
      </w:r>
      <w:bookmarkEnd w:id="1"/>
    </w:p>
    <w:sectPr w:rsidR="00BE768B" w:rsidRPr="006B4C4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C4B" w:rsidRDefault="006B4C4B">
      <w:r>
        <w:separator/>
      </w:r>
    </w:p>
    <w:p w:rsidR="006B4C4B" w:rsidRDefault="006B4C4B"/>
    <w:p w:rsidR="006B4C4B" w:rsidRDefault="006B4C4B"/>
  </w:endnote>
  <w:endnote w:type="continuationSeparator" w:id="0">
    <w:p w:rsidR="006B4C4B" w:rsidRDefault="006B4C4B">
      <w:r>
        <w:continuationSeparator/>
      </w:r>
    </w:p>
    <w:p w:rsidR="006B4C4B" w:rsidRDefault="006B4C4B"/>
    <w:p w:rsidR="006B4C4B" w:rsidRDefault="006B4C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C4B" w:rsidRDefault="006B4C4B">
      <w:r>
        <w:separator/>
      </w:r>
    </w:p>
    <w:p w:rsidR="006B4C4B" w:rsidRDefault="006B4C4B"/>
    <w:p w:rsidR="006B4C4B" w:rsidRDefault="006B4C4B"/>
  </w:footnote>
  <w:footnote w:type="continuationSeparator" w:id="0">
    <w:p w:rsidR="006B4C4B" w:rsidRDefault="006B4C4B">
      <w:r>
        <w:continuationSeparator/>
      </w:r>
    </w:p>
    <w:p w:rsidR="006B4C4B" w:rsidRDefault="006B4C4B"/>
    <w:p w:rsidR="006B4C4B" w:rsidRDefault="006B4C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B4C4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B4C4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4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C4B"/>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18B33E-F49D-4FEB-A79D-D9ACE5EC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B4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9F7D0-20AE-493A-883C-046EA460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410</Words>
  <Characters>2873</Characters>
  <Application>Microsoft Office Word</Application>
  <DocSecurity>0</DocSecurity>
  <PresentationFormat/>
  <Lines>261</Lines>
  <Paragraphs>218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3065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Wohnbauförderung (Wohnüberbauung Spranglen, Bassersdorf)</dc:subject>
  <dc:creator>Staatsarchiv des Kantons Zürich</dc:creator>
  <cp:lastModifiedBy>Mirjam Stadler</cp:lastModifiedBy>
  <cp:revision>1</cp:revision>
  <cp:lastPrinted>2012-06-15T14:37:00Z</cp:lastPrinted>
  <dcterms:created xsi:type="dcterms:W3CDTF">2017-09-14T06:18:00Z</dcterms:created>
  <dcterms:modified xsi:type="dcterms:W3CDTF">2017-09-14T06:18:00Z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