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054E58" w:rsidTr="00C80ABA">
        <w:trPr>
          <w:trHeight w:val="454"/>
        </w:trPr>
        <w:tc>
          <w:tcPr>
            <w:tcW w:w="1668" w:type="dxa"/>
          </w:tcPr>
          <w:p w:rsidR="00A43AE4" w:rsidRPr="00054E58"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054E58">
              <w:t>Signatur</w:t>
            </w:r>
          </w:p>
        </w:tc>
        <w:tc>
          <w:tcPr>
            <w:tcW w:w="6721" w:type="dxa"/>
          </w:tcPr>
          <w:p w:rsidR="00A43AE4" w:rsidRPr="00054E58" w:rsidRDefault="00054E58" w:rsidP="00931B1F">
            <w:pPr>
              <w:pStyle w:val="70SignaturX"/>
            </w:pPr>
            <w:r w:rsidRPr="00054E58">
              <w:t>StAZH MM 3.203 RRB 1994/0292</w:t>
            </w:r>
          </w:p>
        </w:tc>
      </w:tr>
      <w:tr w:rsidR="00A43AE4" w:rsidRPr="00054E58" w:rsidTr="00C80ABA">
        <w:trPr>
          <w:trHeight w:val="454"/>
        </w:trPr>
        <w:tc>
          <w:tcPr>
            <w:tcW w:w="1668" w:type="dxa"/>
          </w:tcPr>
          <w:p w:rsidR="00A43AE4" w:rsidRPr="00054E58"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054E58">
              <w:t>Titel</w:t>
            </w:r>
          </w:p>
        </w:tc>
        <w:tc>
          <w:tcPr>
            <w:tcW w:w="6721" w:type="dxa"/>
          </w:tcPr>
          <w:p w:rsidR="006C59EA" w:rsidRPr="00054E58" w:rsidRDefault="00054E5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sidRPr="00054E58">
              <w:rPr>
                <w:rFonts w:ascii="Arial Black" w:hAnsi="Arial Black"/>
              </w:rPr>
              <w:t>Schulhausbauten (Projekt)</w:t>
            </w:r>
          </w:p>
        </w:tc>
      </w:tr>
      <w:tr w:rsidR="00BC0931" w:rsidRPr="00054E58" w:rsidTr="00C80ABA">
        <w:trPr>
          <w:trHeight w:val="454"/>
        </w:trPr>
        <w:tc>
          <w:tcPr>
            <w:tcW w:w="1668" w:type="dxa"/>
          </w:tcPr>
          <w:p w:rsidR="00BC0931" w:rsidRPr="00054E58"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054E58">
              <w:t>Datum</w:t>
            </w:r>
          </w:p>
        </w:tc>
        <w:tc>
          <w:tcPr>
            <w:tcW w:w="6721" w:type="dxa"/>
          </w:tcPr>
          <w:p w:rsidR="00BC0931" w:rsidRPr="00054E58" w:rsidRDefault="00054E58" w:rsidP="00931B1F">
            <w:pPr>
              <w:pStyle w:val="71DatumX"/>
            </w:pPr>
            <w:r w:rsidRPr="00054E58">
              <w:t>02.02.1994</w:t>
            </w:r>
          </w:p>
        </w:tc>
      </w:tr>
      <w:tr w:rsidR="00A43AE4" w:rsidRPr="00054E58" w:rsidTr="00C80ABA">
        <w:trPr>
          <w:trHeight w:val="454"/>
        </w:trPr>
        <w:tc>
          <w:tcPr>
            <w:tcW w:w="1668" w:type="dxa"/>
          </w:tcPr>
          <w:p w:rsidR="00A43AE4" w:rsidRPr="00054E58"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054E58">
              <w:t>P.</w:t>
            </w:r>
          </w:p>
        </w:tc>
        <w:tc>
          <w:tcPr>
            <w:tcW w:w="6721" w:type="dxa"/>
          </w:tcPr>
          <w:p w:rsidR="00A43AE4" w:rsidRPr="00054E58" w:rsidRDefault="00054E58" w:rsidP="00931B1F">
            <w:pPr>
              <w:pStyle w:val="00Vorgabetext"/>
            </w:pPr>
            <w:r w:rsidRPr="00054E58">
              <w:t>150–151</w:t>
            </w:r>
          </w:p>
        </w:tc>
      </w:tr>
    </w:tbl>
    <w:p w:rsidR="00616641" w:rsidRPr="00054E58" w:rsidRDefault="00616641" w:rsidP="0077655B">
      <w:pPr>
        <w:pStyle w:val="00Vorgabetext"/>
        <w:spacing w:before="0" w:after="60"/>
      </w:pPr>
    </w:p>
    <w:p w:rsidR="00054E58" w:rsidRPr="00054E58" w:rsidRDefault="00054E58" w:rsidP="00054E58">
      <w:pPr>
        <w:spacing w:before="60"/>
        <w:rPr>
          <w:rFonts w:cs="Arial"/>
        </w:rPr>
      </w:pPr>
      <w:bookmarkStart w:id="0" w:name="ContentText"/>
      <w:bookmarkEnd w:id="0"/>
      <w:r w:rsidRPr="00054E58">
        <w:t>[</w:t>
      </w:r>
      <w:r w:rsidRPr="00054E58">
        <w:rPr>
          <w:i/>
        </w:rPr>
        <w:t>p. 150</w:t>
      </w:r>
      <w:r w:rsidRPr="00054E58">
        <w:t xml:space="preserve">] </w:t>
      </w:r>
      <w:r w:rsidRPr="00054E58">
        <w:rPr>
          <w:rFonts w:cs="Arial"/>
        </w:rPr>
        <w:t>Die Primarschulpflege Hettlingen ersucht um Genehmigung des Projektes und um Zusicherung eines Kostenanteils für die Erweiterung des Primarschulhauses «Hinter Chilen» in Hettlingen. Das entsprechende Raumprogramm wurde mit RRB Nr. 804/1992 genehmigt. Dem Projekt wurde am 27. Oktober 1993 durch die Primarschulgemeindeversammlung zugestimmt.</w:t>
      </w:r>
    </w:p>
    <w:p w:rsidR="00054E58" w:rsidRPr="00054E58" w:rsidRDefault="00054E58" w:rsidP="00054E58">
      <w:pPr>
        <w:spacing w:before="60"/>
        <w:rPr>
          <w:rFonts w:cs="Arial"/>
        </w:rPr>
      </w:pPr>
      <w:r w:rsidRPr="00054E58">
        <w:rPr>
          <w:rFonts w:cs="Arial"/>
        </w:rPr>
        <w:t>Das Bauprojekt entspricht weitgehend dem genehmigten Raumprogramm und dem Vorprojekt. Die nicht wesentlichen Abweichungen gegenüber dem Raumprogramm können toleriert werden. Der Bedarf für die im Erweiterungsprojekt vorgesehenen Räume ist trotz der Ausweitung des genehmigten Raumprogramms in vollem Umfang ausgewiesen. Durch die Erweiterung werden bestehende Klassenzimmer zu heute fehlenden Spezialräumen umgenutzt. Das Projekt umfasst als erste Etappe folgende Räume:</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3640"/>
        <w:gridCol w:w="1017"/>
        <w:gridCol w:w="2452"/>
        <w:gridCol w:w="1064"/>
      </w:tblGrid>
      <w:tr w:rsidR="00054E58" w:rsidRPr="00054E58" w:rsidTr="000A2F95">
        <w:trPr>
          <w:trHeight w:val="283"/>
        </w:trPr>
        <w:tc>
          <w:tcPr>
            <w:tcW w:w="0" w:type="auto"/>
            <w:shd w:val="clear" w:color="auto" w:fill="FFFFFF"/>
          </w:tcPr>
          <w:p w:rsidR="00054E58" w:rsidRPr="00054E58" w:rsidRDefault="00054E58" w:rsidP="000A2F95">
            <w:pPr>
              <w:spacing w:before="60"/>
              <w:rPr>
                <w:rFonts w:cs="Arial"/>
                <w:szCs w:val="10"/>
              </w:rPr>
            </w:pPr>
          </w:p>
        </w:tc>
        <w:tc>
          <w:tcPr>
            <w:tcW w:w="0" w:type="auto"/>
            <w:gridSpan w:val="2"/>
            <w:shd w:val="clear" w:color="auto" w:fill="FFFFFF"/>
          </w:tcPr>
          <w:p w:rsidR="00054E58" w:rsidRPr="00054E58" w:rsidRDefault="00054E58" w:rsidP="000A2F95">
            <w:pPr>
              <w:spacing w:before="60"/>
              <w:rPr>
                <w:rFonts w:cs="Arial"/>
              </w:rPr>
            </w:pPr>
            <w:r w:rsidRPr="00054E58">
              <w:rPr>
                <w:rFonts w:cs="Arial"/>
              </w:rPr>
              <w:t>Raumprogramm RRB Nr. 804/1992</w:t>
            </w:r>
          </w:p>
        </w:tc>
        <w:tc>
          <w:tcPr>
            <w:tcW w:w="0" w:type="auto"/>
            <w:shd w:val="clear" w:color="auto" w:fill="FFFFFF"/>
          </w:tcPr>
          <w:p w:rsidR="00054E58" w:rsidRPr="00054E58" w:rsidRDefault="00054E58" w:rsidP="000A2F95">
            <w:pPr>
              <w:spacing w:before="60"/>
              <w:rPr>
                <w:rFonts w:cs="Arial"/>
              </w:rPr>
            </w:pPr>
            <w:r w:rsidRPr="00054E58">
              <w:rPr>
                <w:rFonts w:cs="Arial"/>
              </w:rPr>
              <w:t>Projekt</w:t>
            </w:r>
          </w:p>
        </w:tc>
      </w:tr>
      <w:tr w:rsidR="00054E58" w:rsidRPr="00054E58" w:rsidTr="000A2F95">
        <w:trPr>
          <w:trHeight w:val="283"/>
        </w:trPr>
        <w:tc>
          <w:tcPr>
            <w:tcW w:w="0" w:type="auto"/>
            <w:shd w:val="clear" w:color="auto" w:fill="FFFFFF"/>
          </w:tcPr>
          <w:p w:rsidR="00054E58" w:rsidRPr="00054E58" w:rsidRDefault="00054E58" w:rsidP="000A2F95">
            <w:pPr>
              <w:spacing w:before="60"/>
              <w:rPr>
                <w:rFonts w:cs="Arial"/>
              </w:rPr>
            </w:pPr>
            <w:r w:rsidRPr="00054E58">
              <w:rPr>
                <w:rFonts w:cs="Arial"/>
              </w:rPr>
              <w:t>4 Klassenzimmer</w:t>
            </w:r>
          </w:p>
        </w:tc>
        <w:tc>
          <w:tcPr>
            <w:tcW w:w="0" w:type="auto"/>
            <w:shd w:val="clear" w:color="auto" w:fill="FFFFFF"/>
          </w:tcPr>
          <w:p w:rsidR="00054E58" w:rsidRPr="00054E58" w:rsidRDefault="00054E58" w:rsidP="000A2F95">
            <w:pPr>
              <w:spacing w:before="60"/>
              <w:rPr>
                <w:rFonts w:cs="Arial"/>
              </w:rPr>
            </w:pPr>
            <w:r w:rsidRPr="00054E58">
              <w:rPr>
                <w:rFonts w:cs="Arial"/>
              </w:rPr>
              <w:t>zu</w:t>
            </w:r>
          </w:p>
        </w:tc>
        <w:tc>
          <w:tcPr>
            <w:tcW w:w="0" w:type="auto"/>
            <w:shd w:val="clear" w:color="auto" w:fill="FFFFFF"/>
          </w:tcPr>
          <w:p w:rsidR="00054E58" w:rsidRPr="00054E58" w:rsidRDefault="00054E58" w:rsidP="000A2F95">
            <w:pPr>
              <w:spacing w:before="60"/>
              <w:rPr>
                <w:rFonts w:cs="Arial"/>
              </w:rPr>
            </w:pPr>
            <w:r w:rsidRPr="00054E58">
              <w:rPr>
                <w:rFonts w:cs="Arial"/>
              </w:rPr>
              <w:t>74 m</w:t>
            </w:r>
            <w:r w:rsidRPr="00054E58">
              <w:rPr>
                <w:rFonts w:cs="Arial"/>
                <w:vertAlign w:val="superscript"/>
              </w:rPr>
              <w:t>2</w:t>
            </w:r>
          </w:p>
        </w:tc>
        <w:tc>
          <w:tcPr>
            <w:tcW w:w="0" w:type="auto"/>
            <w:shd w:val="clear" w:color="auto" w:fill="FFFFFF"/>
          </w:tcPr>
          <w:p w:rsidR="00054E58" w:rsidRPr="00054E58" w:rsidRDefault="00054E58" w:rsidP="000A2F95">
            <w:pPr>
              <w:spacing w:before="60"/>
              <w:rPr>
                <w:rFonts w:cs="Arial"/>
              </w:rPr>
            </w:pPr>
            <w:r w:rsidRPr="00054E58">
              <w:rPr>
                <w:rFonts w:cs="Arial"/>
              </w:rPr>
              <w:t>6 zu 74 m</w:t>
            </w:r>
            <w:r w:rsidRPr="00054E58">
              <w:rPr>
                <w:rFonts w:cs="Arial"/>
                <w:vertAlign w:val="superscript"/>
              </w:rPr>
              <w:t>2</w:t>
            </w:r>
          </w:p>
        </w:tc>
      </w:tr>
      <w:tr w:rsidR="00054E58" w:rsidRPr="00054E58" w:rsidTr="000A2F95">
        <w:trPr>
          <w:trHeight w:val="283"/>
        </w:trPr>
        <w:tc>
          <w:tcPr>
            <w:tcW w:w="0" w:type="auto"/>
            <w:shd w:val="clear" w:color="auto" w:fill="FFFFFF"/>
          </w:tcPr>
          <w:p w:rsidR="00054E58" w:rsidRPr="00054E58" w:rsidRDefault="00054E58" w:rsidP="000A2F95">
            <w:pPr>
              <w:spacing w:before="60"/>
              <w:rPr>
                <w:rFonts w:cs="Arial"/>
              </w:rPr>
            </w:pPr>
            <w:r w:rsidRPr="00054E58">
              <w:rPr>
                <w:rFonts w:cs="Arial"/>
              </w:rPr>
              <w:t>2 Gruppenarbeitsräume</w:t>
            </w:r>
          </w:p>
        </w:tc>
        <w:tc>
          <w:tcPr>
            <w:tcW w:w="0" w:type="auto"/>
            <w:shd w:val="clear" w:color="auto" w:fill="FFFFFF"/>
          </w:tcPr>
          <w:p w:rsidR="00054E58" w:rsidRPr="00054E58" w:rsidRDefault="00054E58" w:rsidP="000A2F95">
            <w:pPr>
              <w:spacing w:before="60"/>
              <w:rPr>
                <w:rFonts w:cs="Arial"/>
              </w:rPr>
            </w:pPr>
            <w:r w:rsidRPr="00054E58">
              <w:rPr>
                <w:rFonts w:cs="Arial"/>
              </w:rPr>
              <w:t>zu</w:t>
            </w:r>
          </w:p>
        </w:tc>
        <w:tc>
          <w:tcPr>
            <w:tcW w:w="0" w:type="auto"/>
            <w:shd w:val="clear" w:color="auto" w:fill="FFFFFF"/>
          </w:tcPr>
          <w:p w:rsidR="00054E58" w:rsidRPr="00054E58" w:rsidRDefault="00054E58" w:rsidP="000A2F95">
            <w:pPr>
              <w:spacing w:before="60"/>
              <w:rPr>
                <w:rFonts w:cs="Arial"/>
              </w:rPr>
            </w:pPr>
            <w:r w:rsidRPr="00054E58">
              <w:rPr>
                <w:rFonts w:cs="Arial"/>
              </w:rPr>
              <w:t>18,5 m</w:t>
            </w:r>
            <w:r w:rsidRPr="00054E58">
              <w:rPr>
                <w:rFonts w:cs="Arial"/>
                <w:vertAlign w:val="superscript"/>
              </w:rPr>
              <w:t>2</w:t>
            </w:r>
          </w:p>
        </w:tc>
        <w:tc>
          <w:tcPr>
            <w:tcW w:w="0" w:type="auto"/>
            <w:shd w:val="clear" w:color="auto" w:fill="FFFFFF"/>
          </w:tcPr>
          <w:p w:rsidR="00054E58" w:rsidRPr="00054E58" w:rsidRDefault="00054E58" w:rsidP="000A2F95">
            <w:pPr>
              <w:spacing w:before="60"/>
              <w:rPr>
                <w:rFonts w:cs="Arial"/>
              </w:rPr>
            </w:pPr>
            <w:r w:rsidRPr="00054E58">
              <w:rPr>
                <w:rFonts w:cs="Arial"/>
              </w:rPr>
              <w:t>2 zu 20 m</w:t>
            </w:r>
            <w:r w:rsidRPr="00054E58">
              <w:rPr>
                <w:rFonts w:cs="Arial"/>
                <w:vertAlign w:val="superscript"/>
              </w:rPr>
              <w:t>2</w:t>
            </w:r>
          </w:p>
        </w:tc>
      </w:tr>
      <w:tr w:rsidR="00054E58" w:rsidRPr="00054E58" w:rsidTr="000A2F95">
        <w:trPr>
          <w:trHeight w:val="283"/>
        </w:trPr>
        <w:tc>
          <w:tcPr>
            <w:tcW w:w="0" w:type="auto"/>
            <w:shd w:val="clear" w:color="auto" w:fill="FFFFFF"/>
          </w:tcPr>
          <w:p w:rsidR="00054E58" w:rsidRPr="00054E58" w:rsidRDefault="00054E58" w:rsidP="000A2F95">
            <w:pPr>
              <w:spacing w:before="60"/>
              <w:rPr>
                <w:rFonts w:cs="Arial"/>
              </w:rPr>
            </w:pPr>
            <w:r w:rsidRPr="00054E58">
              <w:rPr>
                <w:rFonts w:cs="Arial"/>
              </w:rPr>
              <w:t>1 Mehrzweckraum</w:t>
            </w:r>
          </w:p>
        </w:tc>
        <w:tc>
          <w:tcPr>
            <w:tcW w:w="0" w:type="auto"/>
            <w:shd w:val="clear" w:color="auto" w:fill="FFFFFF"/>
          </w:tcPr>
          <w:p w:rsidR="00054E58" w:rsidRPr="00054E58" w:rsidRDefault="00054E58" w:rsidP="000A2F95">
            <w:pPr>
              <w:spacing w:before="60"/>
              <w:rPr>
                <w:rFonts w:cs="Arial"/>
                <w:szCs w:val="10"/>
              </w:rPr>
            </w:pPr>
          </w:p>
        </w:tc>
        <w:tc>
          <w:tcPr>
            <w:tcW w:w="0" w:type="auto"/>
            <w:shd w:val="clear" w:color="auto" w:fill="FFFFFF"/>
          </w:tcPr>
          <w:p w:rsidR="00054E58" w:rsidRPr="00054E58" w:rsidRDefault="00054E58" w:rsidP="000A2F95">
            <w:pPr>
              <w:spacing w:before="60"/>
              <w:rPr>
                <w:rFonts w:cs="Arial"/>
              </w:rPr>
            </w:pPr>
            <w:r w:rsidRPr="00054E58">
              <w:rPr>
                <w:rFonts w:cs="Arial"/>
              </w:rPr>
              <w:t>111 m</w:t>
            </w:r>
            <w:r w:rsidRPr="00054E58">
              <w:rPr>
                <w:rFonts w:cs="Arial"/>
                <w:vertAlign w:val="superscript"/>
              </w:rPr>
              <w:t>2</w:t>
            </w:r>
          </w:p>
        </w:tc>
        <w:tc>
          <w:tcPr>
            <w:tcW w:w="0" w:type="auto"/>
            <w:shd w:val="clear" w:color="auto" w:fill="FFFFFF"/>
          </w:tcPr>
          <w:p w:rsidR="00054E58" w:rsidRPr="00054E58" w:rsidRDefault="00054E58" w:rsidP="000A2F95">
            <w:pPr>
              <w:spacing w:before="60"/>
              <w:rPr>
                <w:rFonts w:cs="Arial"/>
              </w:rPr>
            </w:pPr>
            <w:r w:rsidRPr="00054E58">
              <w:rPr>
                <w:rFonts w:cs="Arial"/>
              </w:rPr>
              <w:t>-</w:t>
            </w:r>
          </w:p>
        </w:tc>
      </w:tr>
      <w:tr w:rsidR="00054E58" w:rsidRPr="00054E58" w:rsidTr="000A2F95">
        <w:trPr>
          <w:trHeight w:val="283"/>
        </w:trPr>
        <w:tc>
          <w:tcPr>
            <w:tcW w:w="0" w:type="auto"/>
            <w:gridSpan w:val="2"/>
            <w:shd w:val="clear" w:color="auto" w:fill="FFFFFF"/>
          </w:tcPr>
          <w:p w:rsidR="00054E58" w:rsidRPr="00054E58" w:rsidRDefault="00054E58" w:rsidP="000A2F95">
            <w:pPr>
              <w:spacing w:before="60"/>
              <w:rPr>
                <w:rFonts w:cs="Arial"/>
              </w:rPr>
            </w:pPr>
            <w:r w:rsidRPr="00054E58">
              <w:rPr>
                <w:rFonts w:cs="Arial"/>
              </w:rPr>
              <w:t>- Ergänzung des Lehrerbereichs (Ersatz)</w:t>
            </w:r>
          </w:p>
        </w:tc>
        <w:tc>
          <w:tcPr>
            <w:tcW w:w="0" w:type="auto"/>
            <w:shd w:val="clear" w:color="auto" w:fill="FFFFFF"/>
          </w:tcPr>
          <w:p w:rsidR="00054E58" w:rsidRPr="00054E58" w:rsidRDefault="00054E58" w:rsidP="000A2F95">
            <w:pPr>
              <w:spacing w:before="60"/>
              <w:rPr>
                <w:rFonts w:cs="Arial"/>
              </w:rPr>
            </w:pPr>
            <w:r w:rsidRPr="00054E58">
              <w:rPr>
                <w:rFonts w:cs="Arial"/>
              </w:rPr>
              <w:t>30 m</w:t>
            </w:r>
            <w:r w:rsidRPr="00054E58">
              <w:rPr>
                <w:rFonts w:cs="Arial"/>
                <w:vertAlign w:val="superscript"/>
              </w:rPr>
              <w:t>2</w:t>
            </w:r>
          </w:p>
        </w:tc>
        <w:tc>
          <w:tcPr>
            <w:tcW w:w="0" w:type="auto"/>
            <w:shd w:val="clear" w:color="auto" w:fill="FFFFFF"/>
          </w:tcPr>
          <w:p w:rsidR="00054E58" w:rsidRPr="00054E58" w:rsidRDefault="00054E58" w:rsidP="000A2F95">
            <w:pPr>
              <w:spacing w:before="60"/>
              <w:rPr>
                <w:rFonts w:cs="Arial"/>
              </w:rPr>
            </w:pPr>
            <w:r w:rsidRPr="00054E58">
              <w:rPr>
                <w:rFonts w:cs="Arial"/>
              </w:rPr>
              <w:t>-</w:t>
            </w:r>
          </w:p>
        </w:tc>
      </w:tr>
      <w:tr w:rsidR="00054E58" w:rsidRPr="00054E58" w:rsidTr="000A2F95">
        <w:trPr>
          <w:trHeight w:val="283"/>
        </w:trPr>
        <w:tc>
          <w:tcPr>
            <w:tcW w:w="0" w:type="auto"/>
            <w:gridSpan w:val="2"/>
            <w:shd w:val="clear" w:color="auto" w:fill="FFFFFF"/>
          </w:tcPr>
          <w:p w:rsidR="00054E58" w:rsidRPr="00054E58" w:rsidRDefault="00054E58" w:rsidP="000A2F95">
            <w:pPr>
              <w:spacing w:before="60"/>
              <w:rPr>
                <w:rFonts w:cs="Arial"/>
              </w:rPr>
            </w:pPr>
            <w:r w:rsidRPr="00054E58">
              <w:rPr>
                <w:rFonts w:cs="Arial"/>
              </w:rPr>
              <w:t>- WC-Anlagen für Knaben und Mädchen</w:t>
            </w:r>
          </w:p>
        </w:tc>
        <w:tc>
          <w:tcPr>
            <w:tcW w:w="0" w:type="auto"/>
            <w:shd w:val="clear" w:color="auto" w:fill="FFFFFF"/>
          </w:tcPr>
          <w:p w:rsidR="00054E58" w:rsidRPr="00054E58" w:rsidRDefault="00054E58" w:rsidP="000A2F95">
            <w:pPr>
              <w:spacing w:before="60"/>
              <w:rPr>
                <w:rFonts w:cs="Arial"/>
              </w:rPr>
            </w:pPr>
            <w:r w:rsidRPr="00054E58">
              <w:rPr>
                <w:rFonts w:cs="Arial"/>
              </w:rPr>
              <w:t>je 1</w:t>
            </w:r>
          </w:p>
        </w:tc>
        <w:tc>
          <w:tcPr>
            <w:tcW w:w="0" w:type="auto"/>
            <w:shd w:val="clear" w:color="auto" w:fill="FFFFFF"/>
          </w:tcPr>
          <w:p w:rsidR="00054E58" w:rsidRPr="00054E58" w:rsidRDefault="00054E58" w:rsidP="000A2F95">
            <w:pPr>
              <w:spacing w:before="60"/>
              <w:rPr>
                <w:rFonts w:cs="Arial"/>
              </w:rPr>
            </w:pPr>
            <w:r w:rsidRPr="00054E58">
              <w:rPr>
                <w:rFonts w:cs="Arial"/>
              </w:rPr>
              <w:t>1</w:t>
            </w:r>
          </w:p>
        </w:tc>
      </w:tr>
      <w:tr w:rsidR="00054E58" w:rsidRPr="00054E58" w:rsidTr="000A2F95">
        <w:trPr>
          <w:trHeight w:val="283"/>
        </w:trPr>
        <w:tc>
          <w:tcPr>
            <w:tcW w:w="0" w:type="auto"/>
            <w:shd w:val="clear" w:color="auto" w:fill="FFFFFF"/>
          </w:tcPr>
          <w:p w:rsidR="00054E58" w:rsidRPr="00054E58" w:rsidRDefault="00054E58" w:rsidP="000A2F95">
            <w:pPr>
              <w:spacing w:before="60"/>
              <w:rPr>
                <w:rFonts w:cs="Arial"/>
              </w:rPr>
            </w:pPr>
            <w:r w:rsidRPr="00054E58">
              <w:rPr>
                <w:rFonts w:cs="Arial"/>
              </w:rPr>
              <w:t>- Lehrer- und Invaliden-WC Mädchen</w:t>
            </w:r>
          </w:p>
        </w:tc>
        <w:tc>
          <w:tcPr>
            <w:tcW w:w="0" w:type="auto"/>
            <w:shd w:val="clear" w:color="auto" w:fill="FFFFFF"/>
          </w:tcPr>
          <w:p w:rsidR="00054E58" w:rsidRPr="00054E58" w:rsidRDefault="00054E58" w:rsidP="000A2F95">
            <w:pPr>
              <w:spacing w:before="60"/>
              <w:rPr>
                <w:rFonts w:cs="Arial"/>
                <w:szCs w:val="10"/>
              </w:rPr>
            </w:pPr>
          </w:p>
        </w:tc>
        <w:tc>
          <w:tcPr>
            <w:tcW w:w="0" w:type="auto"/>
            <w:shd w:val="clear" w:color="auto" w:fill="FFFFFF"/>
          </w:tcPr>
          <w:p w:rsidR="00054E58" w:rsidRPr="00054E58" w:rsidRDefault="00054E58" w:rsidP="000A2F95">
            <w:pPr>
              <w:spacing w:before="60"/>
              <w:rPr>
                <w:rFonts w:cs="Arial"/>
              </w:rPr>
            </w:pPr>
            <w:r w:rsidRPr="00054E58">
              <w:rPr>
                <w:rFonts w:cs="Arial"/>
              </w:rPr>
              <w:t>je 1</w:t>
            </w:r>
          </w:p>
        </w:tc>
        <w:tc>
          <w:tcPr>
            <w:tcW w:w="0" w:type="auto"/>
            <w:shd w:val="clear" w:color="auto" w:fill="FFFFFF"/>
          </w:tcPr>
          <w:p w:rsidR="00054E58" w:rsidRPr="00054E58" w:rsidRDefault="00054E58" w:rsidP="000A2F95">
            <w:pPr>
              <w:spacing w:before="60"/>
              <w:rPr>
                <w:rFonts w:cs="Arial"/>
              </w:rPr>
            </w:pPr>
            <w:r w:rsidRPr="00054E58">
              <w:rPr>
                <w:rFonts w:cs="Arial"/>
              </w:rPr>
              <w:t>1</w:t>
            </w:r>
          </w:p>
        </w:tc>
      </w:tr>
      <w:tr w:rsidR="00054E58" w:rsidRPr="00054E58" w:rsidTr="000A2F95">
        <w:trPr>
          <w:trHeight w:val="283"/>
        </w:trPr>
        <w:tc>
          <w:tcPr>
            <w:tcW w:w="0" w:type="auto"/>
            <w:gridSpan w:val="4"/>
            <w:shd w:val="clear" w:color="auto" w:fill="FFFFFF"/>
          </w:tcPr>
          <w:p w:rsidR="00054E58" w:rsidRPr="00054E58" w:rsidRDefault="00054E58" w:rsidP="000A2F95">
            <w:pPr>
              <w:spacing w:before="60"/>
              <w:rPr>
                <w:rFonts w:cs="Arial"/>
              </w:rPr>
            </w:pPr>
            <w:r w:rsidRPr="00054E58">
              <w:rPr>
                <w:rFonts w:cs="Arial"/>
              </w:rPr>
              <w:t>Ferner sind folgende nichtbeitragsberechtigte Räume vorgesehen:</w:t>
            </w:r>
          </w:p>
        </w:tc>
      </w:tr>
      <w:tr w:rsidR="00054E58" w:rsidRPr="00054E58" w:rsidTr="000A2F95">
        <w:trPr>
          <w:trHeight w:val="283"/>
        </w:trPr>
        <w:tc>
          <w:tcPr>
            <w:tcW w:w="0" w:type="auto"/>
            <w:shd w:val="clear" w:color="auto" w:fill="FFFFFF"/>
          </w:tcPr>
          <w:p w:rsidR="00054E58" w:rsidRPr="00054E58" w:rsidRDefault="00054E58" w:rsidP="000A2F95">
            <w:pPr>
              <w:spacing w:before="60"/>
              <w:rPr>
                <w:rFonts w:cs="Arial"/>
              </w:rPr>
            </w:pPr>
            <w:r w:rsidRPr="00054E58">
              <w:rPr>
                <w:rFonts w:cs="Arial"/>
              </w:rPr>
              <w:t>2 disponible Räume</w:t>
            </w:r>
          </w:p>
        </w:tc>
        <w:tc>
          <w:tcPr>
            <w:tcW w:w="0" w:type="auto"/>
            <w:shd w:val="clear" w:color="auto" w:fill="FFFFFF"/>
          </w:tcPr>
          <w:p w:rsidR="00054E58" w:rsidRPr="00054E58" w:rsidRDefault="00054E58" w:rsidP="000A2F95">
            <w:pPr>
              <w:spacing w:before="60"/>
              <w:rPr>
                <w:rFonts w:cs="Arial"/>
              </w:rPr>
            </w:pPr>
            <w:r w:rsidRPr="00054E58">
              <w:rPr>
                <w:rFonts w:cs="Arial"/>
              </w:rPr>
              <w:t>zu</w:t>
            </w:r>
          </w:p>
        </w:tc>
        <w:tc>
          <w:tcPr>
            <w:tcW w:w="0" w:type="auto"/>
            <w:shd w:val="clear" w:color="auto" w:fill="FFFFFF"/>
          </w:tcPr>
          <w:p w:rsidR="00054E58" w:rsidRPr="00054E58" w:rsidRDefault="00054E58" w:rsidP="000A2F95">
            <w:pPr>
              <w:spacing w:before="60"/>
              <w:rPr>
                <w:rFonts w:cs="Arial"/>
              </w:rPr>
            </w:pPr>
            <w:r w:rsidRPr="00054E58">
              <w:rPr>
                <w:rFonts w:cs="Arial"/>
              </w:rPr>
              <w:t>74 m</w:t>
            </w:r>
            <w:r w:rsidRPr="00054E58">
              <w:rPr>
                <w:rFonts w:cs="Arial"/>
                <w:vertAlign w:val="superscript"/>
              </w:rPr>
              <w:t>2</w:t>
            </w:r>
          </w:p>
        </w:tc>
        <w:tc>
          <w:tcPr>
            <w:tcW w:w="0" w:type="auto"/>
            <w:shd w:val="clear" w:color="auto" w:fill="FFFFFF"/>
          </w:tcPr>
          <w:p w:rsidR="00054E58" w:rsidRPr="00054E58" w:rsidRDefault="00054E58" w:rsidP="000A2F95">
            <w:pPr>
              <w:spacing w:before="60"/>
              <w:rPr>
                <w:rFonts w:cs="Arial"/>
                <w:szCs w:val="10"/>
              </w:rPr>
            </w:pPr>
          </w:p>
        </w:tc>
      </w:tr>
    </w:tbl>
    <w:p w:rsidR="00054E58" w:rsidRPr="00054E58" w:rsidRDefault="00054E58" w:rsidP="00BE768B">
      <w:pPr>
        <w:pStyle w:val="00Vorgabetext"/>
        <w:rPr>
          <w:rFonts w:cs="Arial"/>
        </w:rPr>
      </w:pPr>
      <w:r w:rsidRPr="00054E58">
        <w:rPr>
          <w:rFonts w:cs="Arial"/>
        </w:rPr>
        <w:t>Nach dieser ersten Etappe soll in einer zweiten Etappe ein Endausbau folgen. In diesem ist eine Schulanlage von insgesamt zwölf Klassenzimmern vorgesehen. Damit wird der bis zum Jahr 2000 prognostizierte Bedarf um zwei Schulräume überstiegen. Für die zweite Etappe können deshalb aus heutiger Sicht mangels nachgewiesenen Bedarfs weder eine Projektgenehmigung noch ein Kostenanteil in Aussicht gestellt werden.</w:t>
      </w:r>
      <w:r w:rsidRPr="00054E58">
        <w:rPr>
          <w:rFonts w:cs="Arial"/>
        </w:rPr>
        <w:t xml:space="preserve"> // [</w:t>
      </w:r>
      <w:r w:rsidRPr="00054E58">
        <w:rPr>
          <w:rFonts w:cs="Arial"/>
          <w:i/>
        </w:rPr>
        <w:t>p. 151</w:t>
      </w:r>
      <w:r w:rsidRPr="00054E58">
        <w:rPr>
          <w:rFonts w:cs="Arial"/>
        </w:rPr>
        <w:t>]</w:t>
      </w:r>
    </w:p>
    <w:p w:rsidR="00054E58" w:rsidRPr="00054E58" w:rsidRDefault="00054E58" w:rsidP="00054E58">
      <w:pPr>
        <w:spacing w:before="60"/>
        <w:rPr>
          <w:rFonts w:cs="Arial"/>
        </w:rPr>
      </w:pPr>
      <w:r w:rsidRPr="00054E58">
        <w:rPr>
          <w:rFonts w:cs="Arial"/>
        </w:rPr>
        <w:t>Das Hochbauamt hat das Projekt geprüft. Es empfiehlt, das Bauvorhaben zu genehmigen. Das Gutachten des Hochbauamtes wird der Bauherrschaft zur Verfügung gestellt; die darin enthaltenen Bemerkungen müssen bei der Projektierung beachtet werden.</w:t>
      </w:r>
    </w:p>
    <w:p w:rsidR="00054E58" w:rsidRPr="00054E58" w:rsidRDefault="00054E58" w:rsidP="00054E58">
      <w:pPr>
        <w:spacing w:before="60"/>
        <w:rPr>
          <w:rFonts w:cs="Arial"/>
        </w:rPr>
      </w:pPr>
      <w:r w:rsidRPr="00054E58">
        <w:rPr>
          <w:rFonts w:cs="Arial"/>
        </w:rPr>
        <w:t>Gemäss dem detaillierten Kostenvoranschlag (Preisstand 1. April 1993) werden die Gesamtkosten wie folgt aufgeteilt:</w:t>
      </w:r>
    </w:p>
    <w:tbl>
      <w:tblPr>
        <w:tblOverlap w:val="never"/>
        <w:tblW w:w="0" w:type="auto"/>
        <w:tblInd w:w="10" w:type="dxa"/>
        <w:shd w:val="clear" w:color="auto" w:fill="FFFFFF"/>
        <w:tblCellMar>
          <w:left w:w="10" w:type="dxa"/>
          <w:right w:w="10" w:type="dxa"/>
        </w:tblCellMar>
        <w:tblLook w:val="0000" w:firstRow="0" w:lastRow="0" w:firstColumn="0" w:lastColumn="0" w:noHBand="0" w:noVBand="0"/>
      </w:tblPr>
      <w:tblGrid>
        <w:gridCol w:w="3788"/>
        <w:gridCol w:w="1432"/>
        <w:gridCol w:w="15"/>
        <w:gridCol w:w="1418"/>
      </w:tblGrid>
      <w:tr w:rsidR="00054E58" w:rsidRPr="00054E58" w:rsidTr="000A2F95">
        <w:trPr>
          <w:trHeight w:val="283"/>
        </w:trPr>
        <w:tc>
          <w:tcPr>
            <w:tcW w:w="0" w:type="auto"/>
            <w:shd w:val="clear" w:color="auto" w:fill="FFFFFF"/>
          </w:tcPr>
          <w:p w:rsidR="00054E58" w:rsidRPr="00054E58" w:rsidRDefault="00054E58" w:rsidP="000A2F95">
            <w:pPr>
              <w:spacing w:before="60"/>
              <w:rPr>
                <w:rFonts w:cs="Arial"/>
                <w:szCs w:val="10"/>
              </w:rPr>
            </w:pPr>
          </w:p>
        </w:tc>
        <w:tc>
          <w:tcPr>
            <w:tcW w:w="1447" w:type="dxa"/>
            <w:gridSpan w:val="2"/>
            <w:shd w:val="clear" w:color="auto" w:fill="FFFFFF"/>
          </w:tcPr>
          <w:p w:rsidR="00054E58" w:rsidRPr="00054E58" w:rsidRDefault="00054E58" w:rsidP="000A2F95">
            <w:pPr>
              <w:spacing w:before="60"/>
              <w:rPr>
                <w:rFonts w:cs="Arial"/>
              </w:rPr>
            </w:pPr>
            <w:r w:rsidRPr="00054E58">
              <w:rPr>
                <w:rFonts w:cs="Arial"/>
              </w:rPr>
              <w:t>Kosten-voranschlag</w:t>
            </w:r>
          </w:p>
          <w:p w:rsidR="00054E58" w:rsidRPr="00054E58" w:rsidRDefault="00054E58" w:rsidP="000A2F95">
            <w:pPr>
              <w:spacing w:before="60"/>
              <w:jc w:val="center"/>
              <w:rPr>
                <w:rFonts w:cs="Arial"/>
              </w:rPr>
            </w:pPr>
            <w:r w:rsidRPr="00054E58">
              <w:rPr>
                <w:rFonts w:cs="Arial"/>
              </w:rPr>
              <w:t>Fr.</w:t>
            </w:r>
          </w:p>
        </w:tc>
        <w:tc>
          <w:tcPr>
            <w:tcW w:w="1418" w:type="dxa"/>
            <w:shd w:val="clear" w:color="auto" w:fill="FFFFFF"/>
          </w:tcPr>
          <w:p w:rsidR="00054E58" w:rsidRPr="00054E58" w:rsidRDefault="00054E58" w:rsidP="000A2F95">
            <w:pPr>
              <w:spacing w:before="60"/>
              <w:rPr>
                <w:rFonts w:cs="Arial"/>
              </w:rPr>
            </w:pPr>
            <w:r w:rsidRPr="00054E58">
              <w:rPr>
                <w:rFonts w:cs="Arial"/>
              </w:rPr>
              <w:t>Beitrags-berechtigt</w:t>
            </w:r>
          </w:p>
          <w:p w:rsidR="00054E58" w:rsidRPr="00054E58" w:rsidRDefault="00054E58" w:rsidP="000A2F95">
            <w:pPr>
              <w:spacing w:before="60"/>
              <w:jc w:val="center"/>
              <w:rPr>
                <w:rFonts w:cs="Arial"/>
              </w:rPr>
            </w:pPr>
            <w:r w:rsidRPr="00054E58">
              <w:rPr>
                <w:rFonts w:cs="Arial"/>
              </w:rPr>
              <w:t>Fr.</w:t>
            </w:r>
          </w:p>
        </w:tc>
      </w:tr>
      <w:tr w:rsidR="00054E58" w:rsidRPr="00054E58" w:rsidTr="000A2F95">
        <w:trPr>
          <w:trHeight w:val="283"/>
        </w:trPr>
        <w:tc>
          <w:tcPr>
            <w:tcW w:w="0" w:type="auto"/>
            <w:shd w:val="clear" w:color="auto" w:fill="FFFFFF"/>
          </w:tcPr>
          <w:p w:rsidR="00054E58" w:rsidRPr="00054E58" w:rsidRDefault="00054E58" w:rsidP="000A2F95">
            <w:pPr>
              <w:spacing w:before="60"/>
              <w:rPr>
                <w:rFonts w:cs="Arial"/>
              </w:rPr>
            </w:pPr>
            <w:r w:rsidRPr="00054E58">
              <w:rPr>
                <w:rFonts w:cs="Arial"/>
              </w:rPr>
              <w:t>1. Vorbereitungsarbeiten</w:t>
            </w:r>
          </w:p>
        </w:tc>
        <w:tc>
          <w:tcPr>
            <w:tcW w:w="1447" w:type="dxa"/>
            <w:gridSpan w:val="2"/>
            <w:shd w:val="clear" w:color="auto" w:fill="FFFFFF"/>
          </w:tcPr>
          <w:p w:rsidR="00054E58" w:rsidRPr="00054E58" w:rsidRDefault="00054E58" w:rsidP="000A2F95">
            <w:pPr>
              <w:spacing w:before="60"/>
              <w:jc w:val="right"/>
              <w:rPr>
                <w:rFonts w:cs="Arial"/>
              </w:rPr>
            </w:pPr>
            <w:r w:rsidRPr="00054E58">
              <w:rPr>
                <w:rFonts w:cs="Arial"/>
              </w:rPr>
              <w:t>91 400</w:t>
            </w:r>
          </w:p>
        </w:tc>
        <w:tc>
          <w:tcPr>
            <w:tcW w:w="1418" w:type="dxa"/>
            <w:shd w:val="clear" w:color="auto" w:fill="FFFFFF"/>
          </w:tcPr>
          <w:p w:rsidR="00054E58" w:rsidRPr="00054E58" w:rsidRDefault="00054E58" w:rsidP="000A2F95">
            <w:pPr>
              <w:spacing w:before="60"/>
              <w:jc w:val="right"/>
              <w:rPr>
                <w:rFonts w:cs="Arial"/>
              </w:rPr>
            </w:pPr>
            <w:r w:rsidRPr="00054E58">
              <w:rPr>
                <w:rFonts w:cs="Arial"/>
              </w:rPr>
              <w:t>91 400</w:t>
            </w:r>
          </w:p>
        </w:tc>
      </w:tr>
      <w:tr w:rsidR="00054E58" w:rsidRPr="00054E58" w:rsidTr="000A2F95">
        <w:trPr>
          <w:trHeight w:val="283"/>
        </w:trPr>
        <w:tc>
          <w:tcPr>
            <w:tcW w:w="0" w:type="auto"/>
            <w:shd w:val="clear" w:color="auto" w:fill="FFFFFF"/>
          </w:tcPr>
          <w:p w:rsidR="00054E58" w:rsidRPr="00054E58" w:rsidRDefault="00054E58" w:rsidP="000A2F95">
            <w:pPr>
              <w:spacing w:before="60"/>
              <w:rPr>
                <w:rFonts w:cs="Arial"/>
              </w:rPr>
            </w:pPr>
            <w:r w:rsidRPr="00054E58">
              <w:rPr>
                <w:rFonts w:cs="Arial"/>
              </w:rPr>
              <w:t>2. Gebäude und Betriebseinrichtungen</w:t>
            </w:r>
          </w:p>
        </w:tc>
        <w:tc>
          <w:tcPr>
            <w:tcW w:w="1447" w:type="dxa"/>
            <w:gridSpan w:val="2"/>
            <w:shd w:val="clear" w:color="auto" w:fill="FFFFFF"/>
          </w:tcPr>
          <w:p w:rsidR="00054E58" w:rsidRPr="00054E58" w:rsidRDefault="00054E58" w:rsidP="000A2F95">
            <w:pPr>
              <w:spacing w:before="60"/>
              <w:jc w:val="right"/>
              <w:rPr>
                <w:rFonts w:cs="Arial"/>
              </w:rPr>
            </w:pPr>
            <w:r w:rsidRPr="00054E58">
              <w:rPr>
                <w:rFonts w:cs="Arial"/>
              </w:rPr>
              <w:t>2 996 900</w:t>
            </w:r>
          </w:p>
        </w:tc>
        <w:tc>
          <w:tcPr>
            <w:tcW w:w="1418" w:type="dxa"/>
            <w:shd w:val="clear" w:color="auto" w:fill="FFFFFF"/>
          </w:tcPr>
          <w:p w:rsidR="00054E58" w:rsidRPr="00054E58" w:rsidRDefault="00054E58" w:rsidP="000A2F95">
            <w:pPr>
              <w:spacing w:before="60"/>
              <w:jc w:val="right"/>
              <w:rPr>
                <w:rFonts w:cs="Arial"/>
              </w:rPr>
            </w:pPr>
            <w:r w:rsidRPr="00054E58">
              <w:rPr>
                <w:rFonts w:cs="Arial"/>
              </w:rPr>
              <w:t>1 655 550</w:t>
            </w:r>
          </w:p>
        </w:tc>
      </w:tr>
      <w:tr w:rsidR="00054E58" w:rsidRPr="00054E58" w:rsidTr="000A2F95">
        <w:trPr>
          <w:trHeight w:val="283"/>
        </w:trPr>
        <w:tc>
          <w:tcPr>
            <w:tcW w:w="0" w:type="auto"/>
            <w:shd w:val="clear" w:color="auto" w:fill="FFFFFF"/>
          </w:tcPr>
          <w:p w:rsidR="00054E58" w:rsidRPr="00054E58" w:rsidRDefault="00054E58" w:rsidP="000A2F95">
            <w:pPr>
              <w:spacing w:before="60"/>
              <w:rPr>
                <w:rFonts w:cs="Arial"/>
              </w:rPr>
            </w:pPr>
            <w:r w:rsidRPr="00054E58">
              <w:rPr>
                <w:rFonts w:cs="Arial"/>
              </w:rPr>
              <w:t>3. Umgebung</w:t>
            </w:r>
          </w:p>
        </w:tc>
        <w:tc>
          <w:tcPr>
            <w:tcW w:w="1447" w:type="dxa"/>
            <w:gridSpan w:val="2"/>
            <w:shd w:val="clear" w:color="auto" w:fill="FFFFFF"/>
          </w:tcPr>
          <w:p w:rsidR="00054E58" w:rsidRPr="00054E58" w:rsidRDefault="00054E58" w:rsidP="000A2F95">
            <w:pPr>
              <w:spacing w:before="60"/>
              <w:jc w:val="right"/>
              <w:rPr>
                <w:rFonts w:cs="Arial"/>
              </w:rPr>
            </w:pPr>
            <w:r w:rsidRPr="00054E58">
              <w:rPr>
                <w:rFonts w:cs="Arial"/>
              </w:rPr>
              <w:t>381 000</w:t>
            </w:r>
          </w:p>
        </w:tc>
        <w:tc>
          <w:tcPr>
            <w:tcW w:w="1418" w:type="dxa"/>
            <w:shd w:val="clear" w:color="auto" w:fill="FFFFFF"/>
          </w:tcPr>
          <w:p w:rsidR="00054E58" w:rsidRPr="00054E58" w:rsidRDefault="00054E58" w:rsidP="000A2F95">
            <w:pPr>
              <w:spacing w:before="60"/>
              <w:jc w:val="right"/>
              <w:rPr>
                <w:rFonts w:cs="Arial"/>
              </w:rPr>
            </w:pPr>
            <w:r w:rsidRPr="00054E58">
              <w:rPr>
                <w:rFonts w:cs="Arial"/>
              </w:rPr>
              <w:t>341 000</w:t>
            </w:r>
          </w:p>
        </w:tc>
      </w:tr>
      <w:tr w:rsidR="00054E58" w:rsidRPr="00054E58" w:rsidTr="000A2F95">
        <w:trPr>
          <w:trHeight w:val="283"/>
        </w:trPr>
        <w:tc>
          <w:tcPr>
            <w:tcW w:w="0" w:type="auto"/>
            <w:shd w:val="clear" w:color="auto" w:fill="FFFFFF"/>
          </w:tcPr>
          <w:p w:rsidR="00054E58" w:rsidRPr="00054E58" w:rsidRDefault="00054E58" w:rsidP="000A2F95">
            <w:pPr>
              <w:spacing w:before="60"/>
              <w:rPr>
                <w:rFonts w:cs="Arial"/>
              </w:rPr>
            </w:pPr>
            <w:r w:rsidRPr="00054E58">
              <w:rPr>
                <w:rFonts w:cs="Arial"/>
              </w:rPr>
              <w:t>4. Baunebenkosten</w:t>
            </w:r>
          </w:p>
        </w:tc>
        <w:tc>
          <w:tcPr>
            <w:tcW w:w="1447" w:type="dxa"/>
            <w:gridSpan w:val="2"/>
            <w:shd w:val="clear" w:color="auto" w:fill="FFFFFF"/>
          </w:tcPr>
          <w:p w:rsidR="00054E58" w:rsidRPr="00054E58" w:rsidRDefault="00054E58" w:rsidP="000A2F95">
            <w:pPr>
              <w:spacing w:before="60"/>
              <w:jc w:val="right"/>
              <w:rPr>
                <w:rFonts w:cs="Arial"/>
              </w:rPr>
            </w:pPr>
            <w:r w:rsidRPr="00054E58">
              <w:rPr>
                <w:rFonts w:cs="Arial"/>
              </w:rPr>
              <w:t>308 700</w:t>
            </w:r>
          </w:p>
        </w:tc>
        <w:tc>
          <w:tcPr>
            <w:tcW w:w="1418" w:type="dxa"/>
            <w:shd w:val="clear" w:color="auto" w:fill="FFFFFF"/>
          </w:tcPr>
          <w:p w:rsidR="00054E58" w:rsidRPr="00054E58" w:rsidRDefault="00054E58" w:rsidP="000A2F95">
            <w:pPr>
              <w:spacing w:before="60"/>
              <w:jc w:val="right"/>
              <w:rPr>
                <w:rFonts w:cs="Arial"/>
              </w:rPr>
            </w:pPr>
            <w:r w:rsidRPr="00054E58">
              <w:rPr>
                <w:rFonts w:cs="Arial"/>
              </w:rPr>
              <w:t>125 900</w:t>
            </w:r>
          </w:p>
        </w:tc>
      </w:tr>
      <w:tr w:rsidR="00054E58" w:rsidRPr="00054E58" w:rsidTr="000A2F95">
        <w:trPr>
          <w:trHeight w:val="283"/>
        </w:trPr>
        <w:tc>
          <w:tcPr>
            <w:tcW w:w="0" w:type="auto"/>
            <w:shd w:val="clear" w:color="auto" w:fill="FFFFFF"/>
          </w:tcPr>
          <w:p w:rsidR="00054E58" w:rsidRPr="00054E58" w:rsidRDefault="00054E58" w:rsidP="000A2F95">
            <w:pPr>
              <w:spacing w:before="60"/>
              <w:rPr>
                <w:rFonts w:cs="Arial"/>
              </w:rPr>
            </w:pPr>
            <w:r w:rsidRPr="00054E58">
              <w:rPr>
                <w:rFonts w:cs="Arial"/>
              </w:rPr>
              <w:t>5. Ausstattungen</w:t>
            </w:r>
          </w:p>
        </w:tc>
        <w:tc>
          <w:tcPr>
            <w:tcW w:w="1447" w:type="dxa"/>
            <w:gridSpan w:val="2"/>
            <w:shd w:val="clear" w:color="auto" w:fill="FFFFFF"/>
          </w:tcPr>
          <w:p w:rsidR="00054E58" w:rsidRPr="00054E58" w:rsidRDefault="00054E58" w:rsidP="000A2F95">
            <w:pPr>
              <w:spacing w:before="60"/>
              <w:jc w:val="right"/>
              <w:rPr>
                <w:rFonts w:cs="Arial"/>
              </w:rPr>
            </w:pPr>
            <w:r w:rsidRPr="00054E58">
              <w:rPr>
                <w:rFonts w:cs="Arial"/>
              </w:rPr>
              <w:t>213 800</w:t>
            </w:r>
          </w:p>
        </w:tc>
        <w:tc>
          <w:tcPr>
            <w:tcW w:w="1418" w:type="dxa"/>
            <w:shd w:val="clear" w:color="auto" w:fill="FFFFFF"/>
          </w:tcPr>
          <w:p w:rsidR="00054E58" w:rsidRPr="00054E58" w:rsidRDefault="00054E58" w:rsidP="000A2F95">
            <w:pPr>
              <w:spacing w:before="60"/>
              <w:jc w:val="right"/>
              <w:rPr>
                <w:rFonts w:cs="Arial"/>
              </w:rPr>
            </w:pPr>
            <w:r w:rsidRPr="00054E58">
              <w:rPr>
                <w:rFonts w:cs="Arial"/>
              </w:rPr>
              <w:t>34 200</w:t>
            </w:r>
          </w:p>
        </w:tc>
      </w:tr>
      <w:tr w:rsidR="00054E58" w:rsidRPr="00054E58" w:rsidTr="000A2F95">
        <w:trPr>
          <w:trHeight w:val="283"/>
        </w:trPr>
        <w:tc>
          <w:tcPr>
            <w:tcW w:w="0" w:type="auto"/>
            <w:shd w:val="clear" w:color="auto" w:fill="FFFFFF"/>
          </w:tcPr>
          <w:p w:rsidR="00054E58" w:rsidRPr="00054E58" w:rsidRDefault="00054E58" w:rsidP="000A2F95">
            <w:pPr>
              <w:spacing w:before="60"/>
              <w:rPr>
                <w:rFonts w:cs="Arial"/>
              </w:rPr>
            </w:pPr>
            <w:r w:rsidRPr="00054E58">
              <w:rPr>
                <w:rFonts w:cs="Arial"/>
              </w:rPr>
              <w:t>6. Umnutzungen</w:t>
            </w:r>
          </w:p>
        </w:tc>
        <w:tc>
          <w:tcPr>
            <w:tcW w:w="1447" w:type="dxa"/>
            <w:gridSpan w:val="2"/>
            <w:tcBorders>
              <w:bottom w:val="single" w:sz="4" w:space="0" w:color="auto"/>
            </w:tcBorders>
            <w:shd w:val="clear" w:color="auto" w:fill="FFFFFF"/>
          </w:tcPr>
          <w:p w:rsidR="00054E58" w:rsidRPr="00054E58" w:rsidRDefault="00054E58" w:rsidP="000A2F95">
            <w:pPr>
              <w:spacing w:before="60"/>
              <w:jc w:val="right"/>
              <w:rPr>
                <w:rFonts w:cs="Arial"/>
              </w:rPr>
            </w:pPr>
            <w:r w:rsidRPr="00054E58">
              <w:rPr>
                <w:rFonts w:cs="Arial"/>
              </w:rPr>
              <w:t>100 000</w:t>
            </w:r>
          </w:p>
        </w:tc>
        <w:tc>
          <w:tcPr>
            <w:tcW w:w="1418" w:type="dxa"/>
            <w:tcBorders>
              <w:bottom w:val="single" w:sz="4" w:space="0" w:color="auto"/>
            </w:tcBorders>
            <w:shd w:val="clear" w:color="auto" w:fill="FFFFFF"/>
          </w:tcPr>
          <w:p w:rsidR="00054E58" w:rsidRPr="00054E58" w:rsidRDefault="00054E58" w:rsidP="000A2F95">
            <w:pPr>
              <w:spacing w:before="60"/>
              <w:jc w:val="right"/>
              <w:rPr>
                <w:rFonts w:cs="Arial"/>
              </w:rPr>
            </w:pPr>
            <w:r w:rsidRPr="00054E58">
              <w:rPr>
                <w:rFonts w:cs="Arial"/>
              </w:rPr>
              <w:t>61 000</w:t>
            </w:r>
          </w:p>
        </w:tc>
      </w:tr>
      <w:tr w:rsidR="00054E58" w:rsidRPr="00054E58" w:rsidTr="000A2F95">
        <w:trPr>
          <w:trHeight w:val="283"/>
        </w:trPr>
        <w:tc>
          <w:tcPr>
            <w:tcW w:w="0" w:type="auto"/>
            <w:shd w:val="clear" w:color="auto" w:fill="FFFFFF"/>
          </w:tcPr>
          <w:p w:rsidR="00054E58" w:rsidRPr="00054E58" w:rsidRDefault="00054E58" w:rsidP="000A2F95">
            <w:pPr>
              <w:spacing w:before="60"/>
              <w:rPr>
                <w:rFonts w:cs="Arial"/>
              </w:rPr>
            </w:pPr>
            <w:r w:rsidRPr="00054E58">
              <w:rPr>
                <w:rFonts w:cs="Arial"/>
              </w:rPr>
              <w:t>Total</w:t>
            </w:r>
          </w:p>
        </w:tc>
        <w:tc>
          <w:tcPr>
            <w:tcW w:w="1432" w:type="dxa"/>
            <w:tcBorders>
              <w:top w:val="single" w:sz="4" w:space="0" w:color="auto"/>
              <w:bottom w:val="single" w:sz="4" w:space="0" w:color="auto"/>
            </w:tcBorders>
            <w:shd w:val="clear" w:color="auto" w:fill="FFFFFF"/>
          </w:tcPr>
          <w:p w:rsidR="00054E58" w:rsidRPr="00054E58" w:rsidRDefault="00054E58" w:rsidP="000A2F95">
            <w:pPr>
              <w:spacing w:before="60"/>
              <w:jc w:val="right"/>
              <w:rPr>
                <w:rFonts w:cs="Arial"/>
              </w:rPr>
            </w:pPr>
            <w:r w:rsidRPr="00054E58">
              <w:rPr>
                <w:rFonts w:cs="Arial"/>
              </w:rPr>
              <w:t>4 091 800</w:t>
            </w:r>
          </w:p>
        </w:tc>
        <w:tc>
          <w:tcPr>
            <w:tcW w:w="1433" w:type="dxa"/>
            <w:gridSpan w:val="2"/>
            <w:tcBorders>
              <w:top w:val="single" w:sz="4" w:space="0" w:color="auto"/>
              <w:bottom w:val="single" w:sz="4" w:space="0" w:color="auto"/>
            </w:tcBorders>
            <w:shd w:val="clear" w:color="auto" w:fill="FFFFFF"/>
          </w:tcPr>
          <w:p w:rsidR="00054E58" w:rsidRPr="00054E58" w:rsidRDefault="00054E58" w:rsidP="000A2F95">
            <w:pPr>
              <w:spacing w:before="60"/>
              <w:jc w:val="right"/>
              <w:rPr>
                <w:rFonts w:cs="Arial"/>
              </w:rPr>
            </w:pPr>
            <w:r w:rsidRPr="00054E58">
              <w:rPr>
                <w:rFonts w:cs="Arial"/>
              </w:rPr>
              <w:t>2 309 050</w:t>
            </w:r>
          </w:p>
        </w:tc>
      </w:tr>
    </w:tbl>
    <w:p w:rsidR="00054E58" w:rsidRPr="00054E58" w:rsidRDefault="00054E58" w:rsidP="00054E58">
      <w:pPr>
        <w:spacing w:before="60"/>
        <w:rPr>
          <w:rFonts w:cs="Arial"/>
        </w:rPr>
      </w:pPr>
      <w:r w:rsidRPr="00054E58">
        <w:rPr>
          <w:rFonts w:cs="Arial"/>
        </w:rPr>
        <w:t>Gebäude und Betriebseinrichtungen:</w:t>
      </w:r>
    </w:p>
    <w:p w:rsidR="00054E58" w:rsidRPr="00054E58" w:rsidRDefault="00054E58" w:rsidP="00054E58">
      <w:pPr>
        <w:spacing w:before="60"/>
        <w:rPr>
          <w:rFonts w:cs="Arial"/>
        </w:rPr>
      </w:pPr>
      <w:r w:rsidRPr="00054E58">
        <w:rPr>
          <w:rFonts w:cs="Arial"/>
        </w:rPr>
        <w:t>Die subventionsberechtigten Kosten für die Aufstockung der Schulanlage werden pauschaliert:</w:t>
      </w:r>
    </w:p>
    <w:p w:rsidR="00054E58" w:rsidRPr="00054E58" w:rsidRDefault="00054E58" w:rsidP="00054E58">
      <w:pPr>
        <w:tabs>
          <w:tab w:val="left" w:pos="3293"/>
        </w:tabs>
        <w:spacing w:before="60"/>
        <w:rPr>
          <w:rFonts w:cs="Arial"/>
        </w:rPr>
      </w:pPr>
      <w:r w:rsidRPr="00054E58">
        <w:rPr>
          <w:rFonts w:cs="Arial"/>
        </w:rPr>
        <w:t>6,5 Kosteneinheiten zu Fr. 254 700 = Fr. 1 655 550</w:t>
      </w:r>
    </w:p>
    <w:p w:rsidR="00054E58" w:rsidRPr="00054E58" w:rsidRDefault="00054E58" w:rsidP="00054E58">
      <w:pPr>
        <w:spacing w:before="60"/>
        <w:rPr>
          <w:rFonts w:cs="Arial"/>
        </w:rPr>
      </w:pPr>
      <w:r w:rsidRPr="00054E58">
        <w:rPr>
          <w:rFonts w:cs="Arial"/>
        </w:rPr>
        <w:t>Von den veranschlagten Kosten sind folgende Anteile nicht beitragsberechtigt:</w:t>
      </w:r>
    </w:p>
    <w:p w:rsidR="00054E58" w:rsidRPr="00054E58" w:rsidRDefault="00054E58" w:rsidP="00054E58">
      <w:pPr>
        <w:tabs>
          <w:tab w:val="left" w:pos="222"/>
        </w:tabs>
        <w:spacing w:before="60"/>
        <w:rPr>
          <w:rFonts w:cs="Arial"/>
        </w:rPr>
      </w:pPr>
      <w:r w:rsidRPr="00054E58">
        <w:rPr>
          <w:rFonts w:cs="Arial"/>
        </w:rPr>
        <w:t>- Kosten für die Aussengeräte</w:t>
      </w:r>
    </w:p>
    <w:p w:rsidR="00054E58" w:rsidRPr="00054E58" w:rsidRDefault="00054E58" w:rsidP="00054E58">
      <w:pPr>
        <w:tabs>
          <w:tab w:val="left" w:pos="222"/>
        </w:tabs>
        <w:spacing w:before="60"/>
        <w:rPr>
          <w:rFonts w:cs="Arial"/>
        </w:rPr>
      </w:pPr>
      <w:r w:rsidRPr="00054E58">
        <w:rPr>
          <w:rFonts w:cs="Arial"/>
        </w:rPr>
        <w:t>- Baunebenkosten (ausgenommen Plankopien und Vervielfältigungen)</w:t>
      </w:r>
    </w:p>
    <w:p w:rsidR="00054E58" w:rsidRPr="00054E58" w:rsidRDefault="00054E58" w:rsidP="00054E58">
      <w:pPr>
        <w:tabs>
          <w:tab w:val="left" w:pos="222"/>
        </w:tabs>
        <w:spacing w:before="60"/>
        <w:rPr>
          <w:rFonts w:cs="Arial"/>
        </w:rPr>
      </w:pPr>
      <w:r w:rsidRPr="00054E58">
        <w:rPr>
          <w:rFonts w:cs="Arial"/>
        </w:rPr>
        <w:t>- Unvorhergesehenes</w:t>
      </w:r>
    </w:p>
    <w:p w:rsidR="00054E58" w:rsidRPr="00054E58" w:rsidRDefault="00054E58" w:rsidP="00054E58">
      <w:pPr>
        <w:tabs>
          <w:tab w:val="left" w:pos="222"/>
        </w:tabs>
        <w:spacing w:before="60"/>
        <w:rPr>
          <w:rFonts w:cs="Arial"/>
        </w:rPr>
      </w:pPr>
      <w:r w:rsidRPr="00054E58">
        <w:rPr>
          <w:rFonts w:cs="Arial"/>
        </w:rPr>
        <w:t>- Ausstattungen (Die Anschaffungen von beweglichen Einrichtungen werden durch die Schülerpauschale abgegolten.)</w:t>
      </w:r>
    </w:p>
    <w:p w:rsidR="00054E58" w:rsidRPr="00054E58" w:rsidRDefault="00054E58" w:rsidP="00054E58">
      <w:pPr>
        <w:spacing w:before="60"/>
        <w:rPr>
          <w:rFonts w:cs="Arial"/>
        </w:rPr>
      </w:pPr>
      <w:r w:rsidRPr="00054E58">
        <w:rPr>
          <w:rFonts w:cs="Arial"/>
        </w:rPr>
        <w:t>Auflage:</w:t>
      </w:r>
    </w:p>
    <w:p w:rsidR="00054E58" w:rsidRPr="00054E58" w:rsidRDefault="00054E58" w:rsidP="00054E58">
      <w:pPr>
        <w:tabs>
          <w:tab w:val="left" w:pos="222"/>
        </w:tabs>
        <w:spacing w:before="60"/>
        <w:rPr>
          <w:rFonts w:cs="Arial"/>
        </w:rPr>
      </w:pPr>
      <w:r w:rsidRPr="00054E58">
        <w:rPr>
          <w:rFonts w:cs="Arial"/>
        </w:rPr>
        <w:t>- Nach Beendigung des Bauvorhabens ist durch den zuständigen Architekten das Büro für Begutachtungen des kantonalen Hochbauamtes zu verständigen, damit eine Kontrolle über die Einhaltung der Richtlinien vorgenommen werden kann.</w:t>
      </w:r>
    </w:p>
    <w:p w:rsidR="00054E58" w:rsidRPr="00054E58" w:rsidRDefault="00054E58" w:rsidP="00054E58">
      <w:pPr>
        <w:spacing w:before="60"/>
        <w:rPr>
          <w:rFonts w:cs="Arial"/>
        </w:rPr>
      </w:pPr>
      <w:r w:rsidRPr="00054E58">
        <w:rPr>
          <w:rFonts w:cs="Arial"/>
        </w:rPr>
        <w:t xml:space="preserve">An die beitragsberechtigten Kosten von Fr. 2309050 ist gemäss § 1 Abs. 1 </w:t>
      </w:r>
      <w:r w:rsidRPr="00054E58">
        <w:rPr>
          <w:rFonts w:cs="Arial"/>
          <w:lang w:eastAsia="fr-FR" w:bidi="fr-FR"/>
        </w:rPr>
        <w:t xml:space="preserve">lit. </w:t>
      </w:r>
      <w:r w:rsidRPr="00054E58">
        <w:rPr>
          <w:rFonts w:cs="Arial"/>
        </w:rPr>
        <w:t>b Ziffer 1 des Schulleistungsgesetzes und aufgrund des Finanzkraftindexes der Primarschulgemeinde Hettlingen von 126 ein Kostenanteil von 2%, höchstens Fr. 46181, zuzusichern. Die Auszahlung erfolgt nach dem vorhandenen Voranschlagskredit des Kantons.</w:t>
      </w:r>
    </w:p>
    <w:p w:rsidR="00054E58" w:rsidRPr="00054E58" w:rsidRDefault="00054E58" w:rsidP="00054E58">
      <w:pPr>
        <w:spacing w:before="60"/>
        <w:rPr>
          <w:rFonts w:cs="Arial"/>
        </w:rPr>
      </w:pPr>
      <w:r w:rsidRPr="00054E58">
        <w:rPr>
          <w:rFonts w:cs="Arial"/>
        </w:rPr>
        <w:t>Auf Antrag der Direktion des Erziehungswesens</w:t>
      </w:r>
    </w:p>
    <w:p w:rsidR="00054E58" w:rsidRPr="00054E58" w:rsidRDefault="00054E58" w:rsidP="00054E58">
      <w:pPr>
        <w:spacing w:before="60"/>
        <w:jc w:val="center"/>
        <w:rPr>
          <w:rFonts w:cs="Arial"/>
        </w:rPr>
      </w:pPr>
      <w:r w:rsidRPr="00054E58">
        <w:rPr>
          <w:rFonts w:cs="Arial"/>
        </w:rPr>
        <w:t>beschliesst der Regierungsrat:</w:t>
      </w:r>
    </w:p>
    <w:p w:rsidR="00054E58" w:rsidRPr="00054E58" w:rsidRDefault="00054E58" w:rsidP="00054E58">
      <w:pPr>
        <w:tabs>
          <w:tab w:val="left" w:pos="505"/>
        </w:tabs>
        <w:spacing w:before="60"/>
        <w:rPr>
          <w:rFonts w:cs="Arial"/>
        </w:rPr>
      </w:pPr>
      <w:r w:rsidRPr="00054E58">
        <w:rPr>
          <w:rFonts w:cs="Arial"/>
        </w:rPr>
        <w:t>I. Die Vorlage der Primarschulpflege Hettlingen betreffend die Erweiterung des Primarschulhauses «Hinter Chilen» in Hettlingen mit voraussichtlichen Gesamtkosten von Fr. 4091 800 wird genehmigt.</w:t>
      </w:r>
    </w:p>
    <w:p w:rsidR="00054E58" w:rsidRPr="00054E58" w:rsidRDefault="00054E58" w:rsidP="00054E58">
      <w:pPr>
        <w:tabs>
          <w:tab w:val="left" w:pos="529"/>
        </w:tabs>
        <w:spacing w:before="60"/>
        <w:rPr>
          <w:rFonts w:cs="Arial"/>
        </w:rPr>
      </w:pPr>
      <w:r w:rsidRPr="00054E58">
        <w:rPr>
          <w:rFonts w:cs="Arial"/>
        </w:rPr>
        <w:t>II. An die beitragsberechtigten Kosten von Fr. 2309050 wird aufgrund des Finanzkraftindexes der Primarschulgemeinde Hettlingen von 126 ein Kostenanteil von 2%, höchstens Fr. 46181, zugesichert. Die Auszahlung erfolgt nach dem vorhandenen Voranschlagskredit des Kantons.</w:t>
      </w:r>
    </w:p>
    <w:p w:rsidR="00054E58" w:rsidRPr="00054E58" w:rsidRDefault="00054E58" w:rsidP="00054E58">
      <w:pPr>
        <w:tabs>
          <w:tab w:val="left" w:pos="606"/>
        </w:tabs>
        <w:spacing w:before="60"/>
        <w:rPr>
          <w:rFonts w:cs="Arial"/>
        </w:rPr>
      </w:pPr>
      <w:r w:rsidRPr="00054E58">
        <w:rPr>
          <w:rFonts w:cs="Arial"/>
        </w:rPr>
        <w:t>III. Bei der Durchführung des Bauvorhabens sind die Richtlinien und die Wegleitung für Schulhausanlagen vom 5. Oktober 1988 sowie die Bemerkungen und Auflagen in den Erwägungen zu beachten.</w:t>
      </w:r>
    </w:p>
    <w:p w:rsidR="00054E58" w:rsidRPr="00054E58" w:rsidRDefault="00054E58" w:rsidP="00054E58">
      <w:pPr>
        <w:tabs>
          <w:tab w:val="left" w:pos="606"/>
        </w:tabs>
        <w:spacing w:before="60"/>
        <w:rPr>
          <w:rFonts w:cs="Arial"/>
        </w:rPr>
      </w:pPr>
      <w:r w:rsidRPr="00054E58">
        <w:rPr>
          <w:rFonts w:cs="Arial"/>
        </w:rPr>
        <w:t>IV. Der Anspruch auf den Kostenanteil verfällt, wenn das Gesuch um dessen Auszahlung nicht spätestens innert eines Jahres nach Abnahme der Bauabrechnung durch das zuständige Gemeindeorgan der Erziehungsdirektion eingereicht wird.</w:t>
      </w:r>
    </w:p>
    <w:p w:rsidR="00054E58" w:rsidRPr="00054E58" w:rsidRDefault="00054E58" w:rsidP="00054E58">
      <w:pPr>
        <w:tabs>
          <w:tab w:val="left" w:pos="596"/>
        </w:tabs>
        <w:spacing w:before="60"/>
        <w:rPr>
          <w:rFonts w:cs="Arial"/>
        </w:rPr>
      </w:pPr>
      <w:r w:rsidRPr="00054E58">
        <w:rPr>
          <w:rFonts w:cs="Arial"/>
        </w:rPr>
        <w:t>V. Gegen diesen Beschluss kann innert zwanzig Tagen, von der Mitteilung an gerechnet, beim Verwaltungsgericht des Kantons Zürich schriftlich Beschwerde eingereicht werden. Die Beschwerdeschrift muss einen Antrag und dessen Begründung enthalten. Der angefochtene Entscheid ist beizulegen oder genau zu bezeichnen. Die angerufenen Beweismittel sind genau zu bezeichnen und soweit möglich beizulegen.</w:t>
      </w:r>
    </w:p>
    <w:p w:rsidR="00054E58" w:rsidRPr="00054E58" w:rsidRDefault="00054E58" w:rsidP="00054E58">
      <w:pPr>
        <w:pStyle w:val="00Vorgabetext"/>
        <w:keepNext/>
        <w:keepLines/>
        <w:rPr>
          <w:rFonts w:cs="Arial"/>
        </w:rPr>
      </w:pPr>
      <w:r w:rsidRPr="00054E58">
        <w:rPr>
          <w:rFonts w:cs="Arial"/>
        </w:rPr>
        <w:t>VI. Mitteilung an die Primarschulpflege Hettlingen, 8442 Hettlingen, den Präsidenten der Bezirksschulpflege Winterthur, Thomas Ziegler, Bergstrasse 17, 8353 Egg, sowie an die Direktionen der öffentlichen Bauten und des Erziehungswesens.</w:t>
      </w:r>
    </w:p>
    <w:p w:rsidR="00054E58" w:rsidRPr="00054E58" w:rsidRDefault="00054E58" w:rsidP="00054E58">
      <w:pPr>
        <w:pStyle w:val="00Vorgabetext"/>
        <w:keepNext/>
        <w:keepLines/>
        <w:rPr>
          <w:rFonts w:cs="Arial"/>
        </w:rPr>
      </w:pPr>
    </w:p>
    <w:p w:rsidR="00054E58" w:rsidRPr="00054E58" w:rsidRDefault="00054E58" w:rsidP="00054E58">
      <w:pPr>
        <w:pStyle w:val="00Vorgabetext"/>
        <w:keepNext/>
        <w:keepLines/>
        <w:rPr>
          <w:rFonts w:cs="Arial"/>
        </w:rPr>
      </w:pPr>
    </w:p>
    <w:p w:rsidR="00BE768B" w:rsidRPr="00054E58" w:rsidRDefault="00054E58" w:rsidP="00054E58">
      <w:pPr>
        <w:pStyle w:val="00Vorgabetext"/>
        <w:keepNext/>
        <w:keepLines/>
      </w:pPr>
      <w:r w:rsidRPr="00054E58">
        <w:rPr>
          <w:rFonts w:cs="Arial"/>
        </w:rPr>
        <w:t>[</w:t>
      </w:r>
      <w:r w:rsidRPr="00054E58">
        <w:rPr>
          <w:rFonts w:cs="Arial"/>
          <w:i/>
        </w:rPr>
        <w:t>Transkript: OCR (Überarbeitung: Team TKR)/14.09.2017</w:t>
      </w:r>
      <w:bookmarkStart w:id="1" w:name="_GoBack"/>
      <w:r w:rsidRPr="00054E58">
        <w:rPr>
          <w:rFonts w:cs="Arial"/>
        </w:rPr>
        <w:t xml:space="preserve">] </w:t>
      </w:r>
      <w:bookmarkEnd w:id="1"/>
    </w:p>
    <w:sectPr w:rsidR="00BE768B" w:rsidRPr="00054E58"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54E58" w:rsidRDefault="00054E58">
      <w:r>
        <w:separator/>
      </w:r>
    </w:p>
    <w:p w:rsidR="00054E58" w:rsidRDefault="00054E58"/>
    <w:p w:rsidR="00054E58" w:rsidRDefault="00054E58"/>
  </w:endnote>
  <w:endnote w:type="continuationSeparator" w:id="0">
    <w:p w:rsidR="00054E58" w:rsidRDefault="00054E58">
      <w:r>
        <w:continuationSeparator/>
      </w:r>
    </w:p>
    <w:p w:rsidR="00054E58" w:rsidRDefault="00054E58"/>
    <w:p w:rsidR="00054E58" w:rsidRDefault="00054E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54E58" w:rsidRDefault="00054E58">
      <w:r>
        <w:separator/>
      </w:r>
    </w:p>
    <w:p w:rsidR="00054E58" w:rsidRDefault="00054E58"/>
    <w:p w:rsidR="00054E58" w:rsidRDefault="00054E58"/>
  </w:footnote>
  <w:footnote w:type="continuationSeparator" w:id="0">
    <w:p w:rsidR="00054E58" w:rsidRDefault="00054E58">
      <w:r>
        <w:continuationSeparator/>
      </w:r>
    </w:p>
    <w:p w:rsidR="00054E58" w:rsidRDefault="00054E58"/>
    <w:p w:rsidR="00054E58" w:rsidRDefault="00054E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054E58">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054E5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E58"/>
    <w:rsid w:val="00001EA4"/>
    <w:rsid w:val="00005002"/>
    <w:rsid w:val="00012543"/>
    <w:rsid w:val="000158B9"/>
    <w:rsid w:val="00017BBF"/>
    <w:rsid w:val="0002054E"/>
    <w:rsid w:val="00025345"/>
    <w:rsid w:val="0003125C"/>
    <w:rsid w:val="00031449"/>
    <w:rsid w:val="000379D3"/>
    <w:rsid w:val="00037B0F"/>
    <w:rsid w:val="00045F36"/>
    <w:rsid w:val="00050298"/>
    <w:rsid w:val="00054E5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9225C47-F5D4-42D4-9E72-513A4D7C3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054E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176363-841D-4FF5-86B2-521C915BE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720</Words>
  <Characters>4375</Characters>
  <Application>Microsoft Office Word</Application>
  <DocSecurity>0</DocSecurity>
  <PresentationFormat/>
  <Lines>486</Lines>
  <Paragraphs>463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4632</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Schulhausbauten (Projekt)</dc:subject>
  <dc:creator>Staatsarchiv des Kantons Zürich</dc:creator>
  <cp:lastModifiedBy>Mirjam Stadler</cp:lastModifiedBy>
  <cp:revision>1</cp:revision>
  <cp:lastPrinted>2012-06-15T14:37:00Z</cp:lastPrinted>
  <dcterms:created xsi:type="dcterms:W3CDTF">2017-09-14T06:22:00Z</dcterms:created>
  <dcterms:modified xsi:type="dcterms:W3CDTF">2017-09-14T06:22:00Z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