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645D56" w:rsidTr="00C80ABA">
        <w:trPr>
          <w:trHeight w:val="454"/>
        </w:trPr>
        <w:tc>
          <w:tcPr>
            <w:tcW w:w="1668" w:type="dxa"/>
          </w:tcPr>
          <w:p w:rsidR="00A43AE4" w:rsidRPr="00645D5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45D56">
              <w:t>Signatur</w:t>
            </w:r>
          </w:p>
        </w:tc>
        <w:tc>
          <w:tcPr>
            <w:tcW w:w="6721" w:type="dxa"/>
          </w:tcPr>
          <w:p w:rsidR="00A43AE4" w:rsidRPr="00645D56" w:rsidRDefault="00645D56" w:rsidP="00931B1F">
            <w:pPr>
              <w:pStyle w:val="70SignaturX"/>
            </w:pPr>
            <w:r w:rsidRPr="00645D56">
              <w:t>StAZH MM 3.203 RRB 1994/0357</w:t>
            </w:r>
          </w:p>
        </w:tc>
      </w:tr>
      <w:tr w:rsidR="00A43AE4" w:rsidRPr="00645D56" w:rsidTr="00C80ABA">
        <w:trPr>
          <w:trHeight w:val="454"/>
        </w:trPr>
        <w:tc>
          <w:tcPr>
            <w:tcW w:w="1668" w:type="dxa"/>
          </w:tcPr>
          <w:p w:rsidR="00A43AE4" w:rsidRPr="00645D5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45D56">
              <w:t>Titel</w:t>
            </w:r>
          </w:p>
        </w:tc>
        <w:tc>
          <w:tcPr>
            <w:tcW w:w="6721" w:type="dxa"/>
          </w:tcPr>
          <w:p w:rsidR="006C59EA" w:rsidRPr="00645D56" w:rsidRDefault="00645D5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645D56">
              <w:rPr>
                <w:rFonts w:ascii="Arial Black" w:hAnsi="Arial Black"/>
              </w:rPr>
              <w:t>Gesamtmelioration Dänikon-Hüttikon (Güterzusammenlegung)</w:t>
            </w:r>
          </w:p>
        </w:tc>
      </w:tr>
      <w:tr w:rsidR="00BC0931" w:rsidRPr="00645D56" w:rsidTr="00C80ABA">
        <w:trPr>
          <w:trHeight w:val="454"/>
        </w:trPr>
        <w:tc>
          <w:tcPr>
            <w:tcW w:w="1668" w:type="dxa"/>
          </w:tcPr>
          <w:p w:rsidR="00BC0931" w:rsidRPr="00645D5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45D56">
              <w:t>Datum</w:t>
            </w:r>
          </w:p>
        </w:tc>
        <w:tc>
          <w:tcPr>
            <w:tcW w:w="6721" w:type="dxa"/>
          </w:tcPr>
          <w:p w:rsidR="00BC0931" w:rsidRPr="00645D56" w:rsidRDefault="00645D56" w:rsidP="00931B1F">
            <w:pPr>
              <w:pStyle w:val="71DatumX"/>
            </w:pPr>
            <w:r w:rsidRPr="00645D56">
              <w:t>09.02.1994</w:t>
            </w:r>
          </w:p>
        </w:tc>
      </w:tr>
      <w:tr w:rsidR="00A43AE4" w:rsidRPr="00645D56" w:rsidTr="00C80ABA">
        <w:trPr>
          <w:trHeight w:val="454"/>
        </w:trPr>
        <w:tc>
          <w:tcPr>
            <w:tcW w:w="1668" w:type="dxa"/>
          </w:tcPr>
          <w:p w:rsidR="00A43AE4" w:rsidRPr="00645D5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645D56">
              <w:t>P.</w:t>
            </w:r>
          </w:p>
        </w:tc>
        <w:tc>
          <w:tcPr>
            <w:tcW w:w="6721" w:type="dxa"/>
          </w:tcPr>
          <w:p w:rsidR="00A43AE4" w:rsidRPr="00645D56" w:rsidRDefault="00645D56" w:rsidP="00931B1F">
            <w:pPr>
              <w:pStyle w:val="00Vorgabetext"/>
            </w:pPr>
            <w:r w:rsidRPr="00645D56">
              <w:t>188–189</w:t>
            </w:r>
          </w:p>
        </w:tc>
      </w:tr>
    </w:tbl>
    <w:p w:rsidR="00616641" w:rsidRPr="00645D56" w:rsidRDefault="00616641" w:rsidP="0077655B">
      <w:pPr>
        <w:pStyle w:val="00Vorgabetext"/>
        <w:spacing w:before="0" w:after="60"/>
      </w:pPr>
    </w:p>
    <w:p w:rsidR="00645D56" w:rsidRPr="00645D56" w:rsidRDefault="00645D56" w:rsidP="00BE768B">
      <w:pPr>
        <w:pStyle w:val="00Vorgabetext"/>
        <w:rPr>
          <w:rFonts w:cs="Arial"/>
        </w:rPr>
      </w:pPr>
      <w:bookmarkStart w:id="0" w:name="ContentText"/>
      <w:bookmarkEnd w:id="0"/>
      <w:r w:rsidRPr="00645D56">
        <w:t>[</w:t>
      </w:r>
      <w:r w:rsidRPr="00645D56">
        <w:rPr>
          <w:i/>
        </w:rPr>
        <w:t>p. 188</w:t>
      </w:r>
      <w:r w:rsidRPr="00645D56">
        <w:t xml:space="preserve">] </w:t>
      </w:r>
      <w:r w:rsidRPr="00645D56">
        <w:rPr>
          <w:rFonts w:cs="Arial"/>
        </w:rPr>
        <w:t>Mit Beschlüssen Nrn. 2054/1985 und 434/1989 genehmigte der Regierungsrat das Projekt für die Gesamtmelioration Dänikon-Hüttikon mit einem Kostenvoranschlag von Fr. 3 550 000. Ausser der vollständigen Übernahme der Ausgaben der technischen Vorarbeiten wurden für die Gebiete im Kanton Zürich Subventionen von 50% an die beitragsberechtigten Ausgaben der Landumlegung von Fr. 626 000 und von 43% an die beitragsberechtigten Ausgaben der baulichen Massnahmen von Fr. 2 744 000 sowie für die Gebiete im Kanton Aargau Subventionen von 15% an die beitragsberechtigten Ausgaben der Landumlegung von Fr. 33 000 und von 8% an die beitragsberechtigten Ausgaben der baulichen Massnahmen von Fr. 117 000 zugesichert. Eine Zwischenabrechnung zeigt, dass der Kostenvoranschlag nicht eingehalten werden kann. Es ergeben sich neu folgende beitragsberechtigte Gesamtausgaben:</w:t>
      </w:r>
      <w:r w:rsidRPr="00645D56">
        <w:rPr>
          <w:rFonts w:cs="Arial"/>
        </w:rPr>
        <w:t xml:space="preserve"> // [</w:t>
      </w:r>
      <w:r w:rsidRPr="00645D56">
        <w:rPr>
          <w:rFonts w:cs="Arial"/>
          <w:i/>
        </w:rPr>
        <w:t>p. 189</w:t>
      </w:r>
      <w:r w:rsidRPr="00645D56">
        <w:rPr>
          <w:rFonts w:cs="Arial"/>
        </w:rPr>
        <w: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3763"/>
        <w:gridCol w:w="999"/>
        <w:gridCol w:w="999"/>
        <w:gridCol w:w="901"/>
      </w:tblGrid>
      <w:tr w:rsidR="00645D56" w:rsidRPr="00645D56" w:rsidTr="000A2F95">
        <w:trPr>
          <w:trHeight w:val="283"/>
        </w:trPr>
        <w:tc>
          <w:tcPr>
            <w:tcW w:w="0" w:type="auto"/>
            <w:shd w:val="clear" w:color="auto" w:fill="FFFFFF"/>
          </w:tcPr>
          <w:p w:rsidR="00645D56" w:rsidRPr="00645D56" w:rsidRDefault="00645D56" w:rsidP="000A2F95">
            <w:pPr>
              <w:spacing w:before="60"/>
              <w:rPr>
                <w:rFonts w:cs="Arial"/>
              </w:rPr>
            </w:pPr>
            <w:r w:rsidRPr="00645D56">
              <w:rPr>
                <w:rFonts w:cs="Arial"/>
              </w:rPr>
              <w:t>Gebiet Kanton Zürich:</w:t>
            </w:r>
          </w:p>
        </w:tc>
        <w:tc>
          <w:tcPr>
            <w:tcW w:w="0" w:type="auto"/>
            <w:gridSpan w:val="2"/>
            <w:shd w:val="clear" w:color="auto" w:fill="FFFFFF"/>
          </w:tcPr>
          <w:p w:rsidR="00645D56" w:rsidRPr="00645D56" w:rsidRDefault="00645D56" w:rsidP="000A2F95">
            <w:pPr>
              <w:spacing w:before="60"/>
              <w:rPr>
                <w:rFonts w:cs="Arial"/>
              </w:rPr>
            </w:pPr>
            <w:r w:rsidRPr="00645D56">
              <w:rPr>
                <w:rFonts w:cs="Arial"/>
              </w:rPr>
              <w:t>Kostenvoranschlag</w:t>
            </w:r>
          </w:p>
        </w:tc>
        <w:tc>
          <w:tcPr>
            <w:tcW w:w="0" w:type="auto"/>
            <w:shd w:val="clear" w:color="auto" w:fill="FFFFFF"/>
          </w:tcPr>
          <w:p w:rsidR="00645D56" w:rsidRPr="00645D56" w:rsidRDefault="00645D56" w:rsidP="000A2F95">
            <w:pPr>
              <w:spacing w:before="60"/>
              <w:rPr>
                <w:rFonts w:cs="Arial"/>
              </w:rPr>
            </w:pPr>
            <w:r w:rsidRPr="00645D56">
              <w:rPr>
                <w:rFonts w:cs="Arial"/>
              </w:rPr>
              <w:t>Differenz</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szCs w:val="10"/>
              </w:rPr>
            </w:pPr>
          </w:p>
        </w:tc>
        <w:tc>
          <w:tcPr>
            <w:tcW w:w="0" w:type="auto"/>
            <w:shd w:val="clear" w:color="auto" w:fill="FFFFFF"/>
          </w:tcPr>
          <w:p w:rsidR="00645D56" w:rsidRPr="00645D56" w:rsidRDefault="00645D56" w:rsidP="000A2F95">
            <w:pPr>
              <w:spacing w:before="60"/>
              <w:rPr>
                <w:rFonts w:cs="Arial"/>
              </w:rPr>
            </w:pPr>
            <w:r w:rsidRPr="00645D56">
              <w:rPr>
                <w:rFonts w:cs="Arial"/>
              </w:rPr>
              <w:t>1988</w:t>
            </w:r>
          </w:p>
        </w:tc>
        <w:tc>
          <w:tcPr>
            <w:tcW w:w="0" w:type="auto"/>
            <w:shd w:val="clear" w:color="auto" w:fill="FFFFFF"/>
          </w:tcPr>
          <w:p w:rsidR="00645D56" w:rsidRPr="00645D56" w:rsidRDefault="00645D56" w:rsidP="000A2F95">
            <w:pPr>
              <w:spacing w:before="60"/>
              <w:rPr>
                <w:rFonts w:cs="Arial"/>
              </w:rPr>
            </w:pPr>
            <w:r w:rsidRPr="00645D56">
              <w:rPr>
                <w:rFonts w:cs="Arial"/>
              </w:rPr>
              <w:t>1993</w:t>
            </w:r>
          </w:p>
        </w:tc>
        <w:tc>
          <w:tcPr>
            <w:tcW w:w="0" w:type="auto"/>
            <w:shd w:val="clear" w:color="auto" w:fill="FFFFFF"/>
          </w:tcPr>
          <w:p w:rsidR="00645D56" w:rsidRPr="00645D56" w:rsidRDefault="00645D56" w:rsidP="000A2F95">
            <w:pPr>
              <w:spacing w:before="60"/>
              <w:rPr>
                <w:rFonts w:cs="Arial"/>
              </w:rPr>
            </w:pPr>
            <w:r w:rsidRPr="00645D56">
              <w:rPr>
                <w:rFonts w:cs="Arial"/>
              </w:rPr>
              <w:t>1988/93</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szCs w:val="10"/>
              </w:rPr>
            </w:pPr>
          </w:p>
        </w:tc>
        <w:tc>
          <w:tcPr>
            <w:tcW w:w="0" w:type="auto"/>
            <w:shd w:val="clear" w:color="auto" w:fill="FFFFFF"/>
          </w:tcPr>
          <w:p w:rsidR="00645D56" w:rsidRPr="00645D56" w:rsidRDefault="00645D56" w:rsidP="000A2F95">
            <w:pPr>
              <w:spacing w:before="60"/>
              <w:jc w:val="center"/>
              <w:rPr>
                <w:rFonts w:cs="Arial"/>
              </w:rPr>
            </w:pPr>
            <w:r w:rsidRPr="00645D56">
              <w:rPr>
                <w:rFonts w:cs="Arial"/>
              </w:rPr>
              <w:t>Fr.</w:t>
            </w:r>
          </w:p>
        </w:tc>
        <w:tc>
          <w:tcPr>
            <w:tcW w:w="0" w:type="auto"/>
            <w:shd w:val="clear" w:color="auto" w:fill="FFFFFF"/>
          </w:tcPr>
          <w:p w:rsidR="00645D56" w:rsidRPr="00645D56" w:rsidRDefault="00645D56" w:rsidP="000A2F95">
            <w:pPr>
              <w:spacing w:before="60"/>
              <w:jc w:val="center"/>
              <w:rPr>
                <w:rFonts w:cs="Arial"/>
              </w:rPr>
            </w:pPr>
            <w:r w:rsidRPr="00645D56">
              <w:rPr>
                <w:rFonts w:cs="Arial"/>
              </w:rPr>
              <w:t>Fr.</w:t>
            </w:r>
          </w:p>
        </w:tc>
        <w:tc>
          <w:tcPr>
            <w:tcW w:w="0" w:type="auto"/>
            <w:shd w:val="clear" w:color="auto" w:fill="FFFFFF"/>
          </w:tcPr>
          <w:p w:rsidR="00645D56" w:rsidRPr="00645D56" w:rsidRDefault="00645D56" w:rsidP="000A2F95">
            <w:pPr>
              <w:spacing w:before="60"/>
              <w:jc w:val="center"/>
              <w:rPr>
                <w:rFonts w:cs="Arial"/>
              </w:rPr>
            </w:pPr>
            <w:r w:rsidRPr="00645D56">
              <w:rPr>
                <w:rFonts w:cs="Arial"/>
              </w:rPr>
              <w:t>Fr.</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rPr>
            </w:pPr>
            <w:r w:rsidRPr="00645D56">
              <w:rPr>
                <w:rFonts w:cs="Arial"/>
              </w:rPr>
              <w:t>Technische Vorarbeiten</w:t>
            </w:r>
          </w:p>
        </w:tc>
        <w:tc>
          <w:tcPr>
            <w:tcW w:w="0" w:type="auto"/>
            <w:shd w:val="clear" w:color="auto" w:fill="FFFFFF"/>
          </w:tcPr>
          <w:p w:rsidR="00645D56" w:rsidRPr="00645D56" w:rsidRDefault="00645D56" w:rsidP="000A2F95">
            <w:pPr>
              <w:spacing w:before="60"/>
              <w:jc w:val="right"/>
              <w:rPr>
                <w:rFonts w:cs="Arial"/>
              </w:rPr>
            </w:pPr>
            <w:r w:rsidRPr="00645D56">
              <w:rPr>
                <w:rFonts w:cs="Arial"/>
              </w:rPr>
              <w:t>30 000</w:t>
            </w:r>
          </w:p>
        </w:tc>
        <w:tc>
          <w:tcPr>
            <w:tcW w:w="0" w:type="auto"/>
            <w:shd w:val="clear" w:color="auto" w:fill="FFFFFF"/>
          </w:tcPr>
          <w:p w:rsidR="00645D56" w:rsidRPr="00645D56" w:rsidRDefault="00645D56" w:rsidP="000A2F95">
            <w:pPr>
              <w:spacing w:before="60"/>
              <w:jc w:val="right"/>
              <w:rPr>
                <w:rFonts w:cs="Arial"/>
              </w:rPr>
            </w:pPr>
            <w:r w:rsidRPr="00645D56">
              <w:rPr>
                <w:rFonts w:cs="Arial"/>
              </w:rPr>
              <w:t>30 000</w:t>
            </w:r>
          </w:p>
        </w:tc>
        <w:tc>
          <w:tcPr>
            <w:tcW w:w="0" w:type="auto"/>
            <w:shd w:val="clear" w:color="auto" w:fill="FFFFFF"/>
          </w:tcPr>
          <w:p w:rsidR="00645D56" w:rsidRPr="00645D56" w:rsidRDefault="00645D56" w:rsidP="000A2F95">
            <w:pPr>
              <w:spacing w:before="60"/>
              <w:jc w:val="right"/>
              <w:rPr>
                <w:rFonts w:cs="Arial"/>
              </w:rPr>
            </w:pPr>
            <w:r w:rsidRPr="00645D56">
              <w:rPr>
                <w:rFonts w:cs="Arial"/>
              </w:rPr>
              <w:t>-</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rPr>
            </w:pPr>
            <w:r w:rsidRPr="00645D56">
              <w:rPr>
                <w:rFonts w:cs="Arial"/>
              </w:rPr>
              <w:t>Landumlegung Bauliche Massnahmen</w:t>
            </w:r>
          </w:p>
        </w:tc>
        <w:tc>
          <w:tcPr>
            <w:tcW w:w="0" w:type="auto"/>
            <w:shd w:val="clear" w:color="auto" w:fill="FFFFFF"/>
          </w:tcPr>
          <w:p w:rsidR="00645D56" w:rsidRPr="00645D56" w:rsidRDefault="00645D56" w:rsidP="000A2F95">
            <w:pPr>
              <w:spacing w:before="60"/>
              <w:jc w:val="right"/>
              <w:rPr>
                <w:rFonts w:cs="Arial"/>
              </w:rPr>
            </w:pPr>
            <w:r w:rsidRPr="00645D56">
              <w:rPr>
                <w:rFonts w:cs="Arial"/>
              </w:rPr>
              <w:t>626 000</w:t>
            </w:r>
          </w:p>
        </w:tc>
        <w:tc>
          <w:tcPr>
            <w:tcW w:w="0" w:type="auto"/>
            <w:shd w:val="clear" w:color="auto" w:fill="FFFFFF"/>
          </w:tcPr>
          <w:p w:rsidR="00645D56" w:rsidRPr="00645D56" w:rsidRDefault="00645D56" w:rsidP="000A2F95">
            <w:pPr>
              <w:spacing w:before="60"/>
              <w:jc w:val="right"/>
              <w:rPr>
                <w:rFonts w:cs="Arial"/>
              </w:rPr>
            </w:pPr>
            <w:r w:rsidRPr="00645D56">
              <w:rPr>
                <w:rFonts w:cs="Arial"/>
              </w:rPr>
              <w:t>647 000</w:t>
            </w:r>
          </w:p>
        </w:tc>
        <w:tc>
          <w:tcPr>
            <w:tcW w:w="0" w:type="auto"/>
            <w:shd w:val="clear" w:color="auto" w:fill="FFFFFF"/>
          </w:tcPr>
          <w:p w:rsidR="00645D56" w:rsidRPr="00645D56" w:rsidRDefault="00645D56" w:rsidP="000A2F95">
            <w:pPr>
              <w:spacing w:before="60"/>
              <w:jc w:val="right"/>
              <w:rPr>
                <w:rFonts w:cs="Arial"/>
              </w:rPr>
            </w:pPr>
            <w:r w:rsidRPr="00645D56">
              <w:rPr>
                <w:rFonts w:cs="Arial"/>
              </w:rPr>
              <w:t>21 000</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rPr>
            </w:pPr>
            <w:r w:rsidRPr="00645D56">
              <w:rPr>
                <w:rFonts w:cs="Arial"/>
              </w:rPr>
              <w:t>und Vermarkung</w:t>
            </w:r>
          </w:p>
        </w:tc>
        <w:tc>
          <w:tcPr>
            <w:tcW w:w="0" w:type="auto"/>
            <w:tcBorders>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2 744 000</w:t>
            </w:r>
          </w:p>
        </w:tc>
        <w:tc>
          <w:tcPr>
            <w:tcW w:w="0" w:type="auto"/>
            <w:tcBorders>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3 593 000</w:t>
            </w:r>
          </w:p>
        </w:tc>
        <w:tc>
          <w:tcPr>
            <w:tcW w:w="0" w:type="auto"/>
            <w:tcBorders>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849 0Q0</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rPr>
            </w:pPr>
            <w:r w:rsidRPr="00645D56">
              <w:rPr>
                <w:rFonts w:cs="Arial"/>
              </w:rPr>
              <w:t>Insgesamt</w:t>
            </w:r>
          </w:p>
        </w:tc>
        <w:tc>
          <w:tcPr>
            <w:tcW w:w="0" w:type="auto"/>
            <w:tcBorders>
              <w:top w:val="single" w:sz="4" w:space="0" w:color="auto"/>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3 400 000</w:t>
            </w:r>
          </w:p>
        </w:tc>
        <w:tc>
          <w:tcPr>
            <w:tcW w:w="0" w:type="auto"/>
            <w:tcBorders>
              <w:top w:val="single" w:sz="4" w:space="0" w:color="auto"/>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4 270 000</w:t>
            </w:r>
          </w:p>
        </w:tc>
        <w:tc>
          <w:tcPr>
            <w:tcW w:w="0" w:type="auto"/>
            <w:tcBorders>
              <w:top w:val="single" w:sz="4" w:space="0" w:color="auto"/>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870 000</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rPr>
            </w:pPr>
            <w:r w:rsidRPr="00645D56">
              <w:rPr>
                <w:rFonts w:cs="Arial"/>
              </w:rPr>
              <w:t>Gebiet Kanton Aargau:</w:t>
            </w:r>
          </w:p>
        </w:tc>
        <w:tc>
          <w:tcPr>
            <w:tcW w:w="0" w:type="auto"/>
            <w:gridSpan w:val="2"/>
            <w:tcBorders>
              <w:top w:val="single" w:sz="4" w:space="0" w:color="auto"/>
            </w:tcBorders>
            <w:shd w:val="clear" w:color="auto" w:fill="FFFFFF"/>
          </w:tcPr>
          <w:p w:rsidR="00645D56" w:rsidRPr="00645D56" w:rsidRDefault="00645D56" w:rsidP="000A2F95">
            <w:pPr>
              <w:spacing w:before="60"/>
              <w:rPr>
                <w:rFonts w:cs="Arial"/>
              </w:rPr>
            </w:pPr>
            <w:r w:rsidRPr="00645D56">
              <w:rPr>
                <w:rFonts w:cs="Arial"/>
              </w:rPr>
              <w:t>Kostenvoranschlag</w:t>
            </w:r>
          </w:p>
        </w:tc>
        <w:tc>
          <w:tcPr>
            <w:tcW w:w="0" w:type="auto"/>
            <w:tcBorders>
              <w:top w:val="single" w:sz="4" w:space="0" w:color="auto"/>
            </w:tcBorders>
            <w:shd w:val="clear" w:color="auto" w:fill="FFFFFF"/>
          </w:tcPr>
          <w:p w:rsidR="00645D56" w:rsidRPr="00645D56" w:rsidRDefault="00645D56" w:rsidP="000A2F95">
            <w:pPr>
              <w:spacing w:before="60"/>
              <w:rPr>
                <w:rFonts w:cs="Arial"/>
              </w:rPr>
            </w:pPr>
            <w:r w:rsidRPr="00645D56">
              <w:rPr>
                <w:rFonts w:cs="Arial"/>
              </w:rPr>
              <w:t>Differenz</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szCs w:val="10"/>
              </w:rPr>
            </w:pPr>
          </w:p>
        </w:tc>
        <w:tc>
          <w:tcPr>
            <w:tcW w:w="0" w:type="auto"/>
            <w:shd w:val="clear" w:color="auto" w:fill="FFFFFF"/>
          </w:tcPr>
          <w:p w:rsidR="00645D56" w:rsidRPr="00645D56" w:rsidRDefault="00645D56" w:rsidP="000A2F95">
            <w:pPr>
              <w:spacing w:before="60"/>
              <w:rPr>
                <w:rFonts w:cs="Arial"/>
              </w:rPr>
            </w:pPr>
            <w:r w:rsidRPr="00645D56">
              <w:rPr>
                <w:rFonts w:cs="Arial"/>
              </w:rPr>
              <w:t>1988</w:t>
            </w:r>
          </w:p>
        </w:tc>
        <w:tc>
          <w:tcPr>
            <w:tcW w:w="0" w:type="auto"/>
            <w:shd w:val="clear" w:color="auto" w:fill="FFFFFF"/>
          </w:tcPr>
          <w:p w:rsidR="00645D56" w:rsidRPr="00645D56" w:rsidRDefault="00645D56" w:rsidP="000A2F95">
            <w:pPr>
              <w:spacing w:before="60"/>
              <w:rPr>
                <w:rFonts w:cs="Arial"/>
              </w:rPr>
            </w:pPr>
            <w:r w:rsidRPr="00645D56">
              <w:rPr>
                <w:rFonts w:cs="Arial"/>
              </w:rPr>
              <w:t>1993</w:t>
            </w:r>
          </w:p>
        </w:tc>
        <w:tc>
          <w:tcPr>
            <w:tcW w:w="0" w:type="auto"/>
            <w:shd w:val="clear" w:color="auto" w:fill="FFFFFF"/>
          </w:tcPr>
          <w:p w:rsidR="00645D56" w:rsidRPr="00645D56" w:rsidRDefault="00645D56" w:rsidP="000A2F95">
            <w:pPr>
              <w:spacing w:before="60"/>
              <w:rPr>
                <w:rFonts w:cs="Arial"/>
              </w:rPr>
            </w:pPr>
            <w:r w:rsidRPr="00645D56">
              <w:rPr>
                <w:rFonts w:cs="Arial"/>
              </w:rPr>
              <w:t>1988/93</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szCs w:val="10"/>
              </w:rPr>
            </w:pPr>
          </w:p>
        </w:tc>
        <w:tc>
          <w:tcPr>
            <w:tcW w:w="0" w:type="auto"/>
            <w:shd w:val="clear" w:color="auto" w:fill="FFFFFF"/>
          </w:tcPr>
          <w:p w:rsidR="00645D56" w:rsidRPr="00645D56" w:rsidRDefault="00645D56" w:rsidP="000A2F95">
            <w:pPr>
              <w:spacing w:before="60"/>
              <w:jc w:val="center"/>
              <w:rPr>
                <w:rFonts w:cs="Arial"/>
              </w:rPr>
            </w:pPr>
            <w:r w:rsidRPr="00645D56">
              <w:rPr>
                <w:rFonts w:cs="Arial"/>
              </w:rPr>
              <w:t>Fr.</w:t>
            </w:r>
          </w:p>
        </w:tc>
        <w:tc>
          <w:tcPr>
            <w:tcW w:w="0" w:type="auto"/>
            <w:shd w:val="clear" w:color="auto" w:fill="FFFFFF"/>
          </w:tcPr>
          <w:p w:rsidR="00645D56" w:rsidRPr="00645D56" w:rsidRDefault="00645D56" w:rsidP="000A2F95">
            <w:pPr>
              <w:spacing w:before="60"/>
              <w:jc w:val="center"/>
              <w:rPr>
                <w:rFonts w:cs="Arial"/>
              </w:rPr>
            </w:pPr>
            <w:r w:rsidRPr="00645D56">
              <w:rPr>
                <w:rFonts w:cs="Arial"/>
              </w:rPr>
              <w:t>Fr.</w:t>
            </w:r>
          </w:p>
        </w:tc>
        <w:tc>
          <w:tcPr>
            <w:tcW w:w="0" w:type="auto"/>
            <w:shd w:val="clear" w:color="auto" w:fill="FFFFFF"/>
          </w:tcPr>
          <w:p w:rsidR="00645D56" w:rsidRPr="00645D56" w:rsidRDefault="00645D56" w:rsidP="000A2F95">
            <w:pPr>
              <w:spacing w:before="60"/>
              <w:jc w:val="center"/>
              <w:rPr>
                <w:rFonts w:cs="Arial"/>
              </w:rPr>
            </w:pPr>
            <w:r w:rsidRPr="00645D56">
              <w:rPr>
                <w:rFonts w:cs="Arial"/>
              </w:rPr>
              <w:t>Fr.</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rPr>
            </w:pPr>
            <w:r w:rsidRPr="00645D56">
              <w:rPr>
                <w:rFonts w:cs="Arial"/>
              </w:rPr>
              <w:t>Landumlegung Bauliche Massnahmen</w:t>
            </w:r>
          </w:p>
        </w:tc>
        <w:tc>
          <w:tcPr>
            <w:tcW w:w="0" w:type="auto"/>
            <w:shd w:val="clear" w:color="auto" w:fill="FFFFFF"/>
          </w:tcPr>
          <w:p w:rsidR="00645D56" w:rsidRPr="00645D56" w:rsidRDefault="00645D56" w:rsidP="000A2F95">
            <w:pPr>
              <w:spacing w:before="60"/>
              <w:jc w:val="right"/>
              <w:rPr>
                <w:rFonts w:cs="Arial"/>
              </w:rPr>
            </w:pPr>
            <w:r w:rsidRPr="00645D56">
              <w:rPr>
                <w:rFonts w:cs="Arial"/>
              </w:rPr>
              <w:t>33 000</w:t>
            </w:r>
          </w:p>
        </w:tc>
        <w:tc>
          <w:tcPr>
            <w:tcW w:w="0" w:type="auto"/>
            <w:shd w:val="clear" w:color="auto" w:fill="FFFFFF"/>
          </w:tcPr>
          <w:p w:rsidR="00645D56" w:rsidRPr="00645D56" w:rsidRDefault="00645D56" w:rsidP="000A2F95">
            <w:pPr>
              <w:spacing w:before="60"/>
              <w:jc w:val="right"/>
              <w:rPr>
                <w:rFonts w:cs="Arial"/>
              </w:rPr>
            </w:pPr>
            <w:r w:rsidRPr="00645D56">
              <w:rPr>
                <w:rFonts w:cs="Arial"/>
              </w:rPr>
              <w:t>41 000</w:t>
            </w:r>
          </w:p>
        </w:tc>
        <w:tc>
          <w:tcPr>
            <w:tcW w:w="0" w:type="auto"/>
            <w:shd w:val="clear" w:color="auto" w:fill="FFFFFF"/>
          </w:tcPr>
          <w:p w:rsidR="00645D56" w:rsidRPr="00645D56" w:rsidRDefault="00645D56" w:rsidP="000A2F95">
            <w:pPr>
              <w:spacing w:before="60"/>
              <w:jc w:val="right"/>
              <w:rPr>
                <w:rFonts w:cs="Arial"/>
              </w:rPr>
            </w:pPr>
            <w:r w:rsidRPr="00645D56">
              <w:rPr>
                <w:rFonts w:cs="Arial"/>
              </w:rPr>
              <w:t>8 000</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rPr>
            </w:pPr>
            <w:r w:rsidRPr="00645D56">
              <w:rPr>
                <w:rFonts w:cs="Arial"/>
              </w:rPr>
              <w:t>und Vermarkung</w:t>
            </w:r>
          </w:p>
        </w:tc>
        <w:tc>
          <w:tcPr>
            <w:tcW w:w="0" w:type="auto"/>
            <w:tcBorders>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117 000</w:t>
            </w:r>
          </w:p>
        </w:tc>
        <w:tc>
          <w:tcPr>
            <w:tcW w:w="0" w:type="auto"/>
            <w:tcBorders>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109 000</w:t>
            </w:r>
          </w:p>
        </w:tc>
        <w:tc>
          <w:tcPr>
            <w:tcW w:w="0" w:type="auto"/>
            <w:tcBorders>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-8 000</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rPr>
            </w:pPr>
            <w:r w:rsidRPr="00645D56">
              <w:rPr>
                <w:rFonts w:cs="Arial"/>
              </w:rPr>
              <w:t>Insgesamt</w:t>
            </w:r>
          </w:p>
        </w:tc>
        <w:tc>
          <w:tcPr>
            <w:tcW w:w="0" w:type="auto"/>
            <w:tcBorders>
              <w:top w:val="single" w:sz="4" w:space="0" w:color="auto"/>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150 000</w:t>
            </w:r>
          </w:p>
        </w:tc>
        <w:tc>
          <w:tcPr>
            <w:tcW w:w="0" w:type="auto"/>
            <w:tcBorders>
              <w:top w:val="single" w:sz="4" w:space="0" w:color="auto"/>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150 000</w:t>
            </w:r>
          </w:p>
        </w:tc>
        <w:tc>
          <w:tcPr>
            <w:tcW w:w="0" w:type="auto"/>
            <w:tcBorders>
              <w:top w:val="single" w:sz="4" w:space="0" w:color="auto"/>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rPr>
            </w:pPr>
            <w:r w:rsidRPr="00645D56">
              <w:rPr>
                <w:rFonts w:cs="Arial"/>
              </w:rPr>
              <w:t>Zusammenstellung:</w:t>
            </w:r>
          </w:p>
        </w:tc>
        <w:tc>
          <w:tcPr>
            <w:tcW w:w="0" w:type="auto"/>
            <w:gridSpan w:val="2"/>
            <w:tcBorders>
              <w:top w:val="single" w:sz="4" w:space="0" w:color="auto"/>
            </w:tcBorders>
            <w:shd w:val="clear" w:color="auto" w:fill="FFFFFF"/>
          </w:tcPr>
          <w:p w:rsidR="00645D56" w:rsidRPr="00645D56" w:rsidRDefault="00645D56" w:rsidP="000A2F95">
            <w:pPr>
              <w:spacing w:before="60"/>
              <w:rPr>
                <w:rFonts w:cs="Arial"/>
              </w:rPr>
            </w:pPr>
            <w:r w:rsidRPr="00645D56">
              <w:rPr>
                <w:rFonts w:cs="Arial"/>
              </w:rPr>
              <w:t>Kostenvoranschlag</w:t>
            </w:r>
          </w:p>
        </w:tc>
        <w:tc>
          <w:tcPr>
            <w:tcW w:w="0" w:type="auto"/>
            <w:tcBorders>
              <w:top w:val="single" w:sz="4" w:space="0" w:color="auto"/>
            </w:tcBorders>
            <w:shd w:val="clear" w:color="auto" w:fill="FFFFFF"/>
          </w:tcPr>
          <w:p w:rsidR="00645D56" w:rsidRPr="00645D56" w:rsidRDefault="00645D56" w:rsidP="000A2F95">
            <w:pPr>
              <w:spacing w:before="60"/>
              <w:rPr>
                <w:rFonts w:cs="Arial"/>
              </w:rPr>
            </w:pPr>
            <w:r w:rsidRPr="00645D56">
              <w:rPr>
                <w:rFonts w:cs="Arial"/>
              </w:rPr>
              <w:t>Differenz</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szCs w:val="10"/>
              </w:rPr>
            </w:pPr>
          </w:p>
        </w:tc>
        <w:tc>
          <w:tcPr>
            <w:tcW w:w="0" w:type="auto"/>
            <w:shd w:val="clear" w:color="auto" w:fill="FFFFFF"/>
          </w:tcPr>
          <w:p w:rsidR="00645D56" w:rsidRPr="00645D56" w:rsidRDefault="00645D56" w:rsidP="000A2F95">
            <w:pPr>
              <w:spacing w:before="60"/>
              <w:rPr>
                <w:rFonts w:cs="Arial"/>
              </w:rPr>
            </w:pPr>
            <w:r w:rsidRPr="00645D56">
              <w:rPr>
                <w:rFonts w:cs="Arial"/>
              </w:rPr>
              <w:t>1988</w:t>
            </w:r>
          </w:p>
        </w:tc>
        <w:tc>
          <w:tcPr>
            <w:tcW w:w="0" w:type="auto"/>
            <w:shd w:val="clear" w:color="auto" w:fill="FFFFFF"/>
          </w:tcPr>
          <w:p w:rsidR="00645D56" w:rsidRPr="00645D56" w:rsidRDefault="00645D56" w:rsidP="000A2F95">
            <w:pPr>
              <w:spacing w:before="60"/>
              <w:rPr>
                <w:rFonts w:cs="Arial"/>
              </w:rPr>
            </w:pPr>
            <w:r w:rsidRPr="00645D56">
              <w:rPr>
                <w:rFonts w:cs="Arial"/>
              </w:rPr>
              <w:t>1993</w:t>
            </w:r>
          </w:p>
        </w:tc>
        <w:tc>
          <w:tcPr>
            <w:tcW w:w="0" w:type="auto"/>
            <w:shd w:val="clear" w:color="auto" w:fill="FFFFFF"/>
          </w:tcPr>
          <w:p w:rsidR="00645D56" w:rsidRPr="00645D56" w:rsidRDefault="00645D56" w:rsidP="000A2F95">
            <w:pPr>
              <w:spacing w:before="60"/>
              <w:rPr>
                <w:rFonts w:cs="Arial"/>
              </w:rPr>
            </w:pPr>
            <w:r w:rsidRPr="00645D56">
              <w:rPr>
                <w:rFonts w:cs="Arial"/>
              </w:rPr>
              <w:t>1988/93</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szCs w:val="10"/>
              </w:rPr>
            </w:pPr>
          </w:p>
        </w:tc>
        <w:tc>
          <w:tcPr>
            <w:tcW w:w="0" w:type="auto"/>
            <w:shd w:val="clear" w:color="auto" w:fill="FFFFFF"/>
          </w:tcPr>
          <w:p w:rsidR="00645D56" w:rsidRPr="00645D56" w:rsidRDefault="00645D56" w:rsidP="000A2F95">
            <w:pPr>
              <w:spacing w:before="60"/>
              <w:jc w:val="center"/>
              <w:rPr>
                <w:rFonts w:cs="Arial"/>
              </w:rPr>
            </w:pPr>
            <w:r w:rsidRPr="00645D56">
              <w:rPr>
                <w:rFonts w:cs="Arial"/>
              </w:rPr>
              <w:t>Fr.</w:t>
            </w:r>
          </w:p>
        </w:tc>
        <w:tc>
          <w:tcPr>
            <w:tcW w:w="0" w:type="auto"/>
            <w:shd w:val="clear" w:color="auto" w:fill="FFFFFF"/>
          </w:tcPr>
          <w:p w:rsidR="00645D56" w:rsidRPr="00645D56" w:rsidRDefault="00645D56" w:rsidP="000A2F95">
            <w:pPr>
              <w:spacing w:before="60"/>
              <w:jc w:val="center"/>
              <w:rPr>
                <w:rFonts w:cs="Arial"/>
              </w:rPr>
            </w:pPr>
            <w:r w:rsidRPr="00645D56">
              <w:rPr>
                <w:rFonts w:cs="Arial"/>
              </w:rPr>
              <w:t>Fr.</w:t>
            </w:r>
          </w:p>
        </w:tc>
        <w:tc>
          <w:tcPr>
            <w:tcW w:w="0" w:type="auto"/>
            <w:shd w:val="clear" w:color="auto" w:fill="FFFFFF"/>
          </w:tcPr>
          <w:p w:rsidR="00645D56" w:rsidRPr="00645D56" w:rsidRDefault="00645D56" w:rsidP="000A2F95">
            <w:pPr>
              <w:spacing w:before="60"/>
              <w:jc w:val="center"/>
              <w:rPr>
                <w:rFonts w:cs="Arial"/>
              </w:rPr>
            </w:pPr>
            <w:r w:rsidRPr="00645D56">
              <w:rPr>
                <w:rFonts w:cs="Arial"/>
              </w:rPr>
              <w:t>Fr.</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rPr>
            </w:pPr>
            <w:r w:rsidRPr="00645D56">
              <w:rPr>
                <w:rFonts w:cs="Arial"/>
              </w:rPr>
              <w:t>Kanton Zürich</w:t>
            </w:r>
          </w:p>
        </w:tc>
        <w:tc>
          <w:tcPr>
            <w:tcW w:w="0" w:type="auto"/>
            <w:shd w:val="clear" w:color="auto" w:fill="FFFFFF"/>
          </w:tcPr>
          <w:p w:rsidR="00645D56" w:rsidRPr="00645D56" w:rsidRDefault="00645D56" w:rsidP="000A2F95">
            <w:pPr>
              <w:spacing w:before="60"/>
              <w:jc w:val="right"/>
              <w:rPr>
                <w:rFonts w:cs="Arial"/>
              </w:rPr>
            </w:pPr>
            <w:r w:rsidRPr="00645D56">
              <w:rPr>
                <w:rFonts w:cs="Arial"/>
              </w:rPr>
              <w:t>3 400 000</w:t>
            </w:r>
          </w:p>
        </w:tc>
        <w:tc>
          <w:tcPr>
            <w:tcW w:w="0" w:type="auto"/>
            <w:shd w:val="clear" w:color="auto" w:fill="FFFFFF"/>
          </w:tcPr>
          <w:p w:rsidR="00645D56" w:rsidRPr="00645D56" w:rsidRDefault="00645D56" w:rsidP="000A2F95">
            <w:pPr>
              <w:spacing w:before="60"/>
              <w:jc w:val="right"/>
              <w:rPr>
                <w:rFonts w:cs="Arial"/>
              </w:rPr>
            </w:pPr>
            <w:r w:rsidRPr="00645D56">
              <w:rPr>
                <w:rFonts w:cs="Arial"/>
              </w:rPr>
              <w:t>4 270 000</w:t>
            </w:r>
          </w:p>
        </w:tc>
        <w:tc>
          <w:tcPr>
            <w:tcW w:w="0" w:type="auto"/>
            <w:shd w:val="clear" w:color="auto" w:fill="FFFFFF"/>
          </w:tcPr>
          <w:p w:rsidR="00645D56" w:rsidRPr="00645D56" w:rsidRDefault="00645D56" w:rsidP="000A2F95">
            <w:pPr>
              <w:spacing w:before="60"/>
              <w:jc w:val="right"/>
              <w:rPr>
                <w:rFonts w:cs="Arial"/>
              </w:rPr>
            </w:pPr>
            <w:r w:rsidRPr="00645D56">
              <w:rPr>
                <w:rFonts w:cs="Arial"/>
              </w:rPr>
              <w:t>870 000</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rPr>
            </w:pPr>
            <w:r w:rsidRPr="00645D56">
              <w:rPr>
                <w:rFonts w:cs="Arial"/>
              </w:rPr>
              <w:t>Kanton Aargau</w:t>
            </w:r>
          </w:p>
        </w:tc>
        <w:tc>
          <w:tcPr>
            <w:tcW w:w="0" w:type="auto"/>
            <w:tcBorders>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150 000</w:t>
            </w:r>
          </w:p>
        </w:tc>
        <w:tc>
          <w:tcPr>
            <w:tcW w:w="0" w:type="auto"/>
            <w:tcBorders>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150 000</w:t>
            </w:r>
          </w:p>
        </w:tc>
        <w:tc>
          <w:tcPr>
            <w:tcW w:w="0" w:type="auto"/>
            <w:tcBorders>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w:t>
            </w:r>
          </w:p>
        </w:tc>
      </w:tr>
      <w:tr w:rsidR="00645D56" w:rsidRPr="00645D56" w:rsidTr="000A2F95">
        <w:trPr>
          <w:trHeight w:val="283"/>
        </w:trPr>
        <w:tc>
          <w:tcPr>
            <w:tcW w:w="0" w:type="auto"/>
            <w:shd w:val="clear" w:color="auto" w:fill="FFFFFF"/>
          </w:tcPr>
          <w:p w:rsidR="00645D56" w:rsidRPr="00645D56" w:rsidRDefault="00645D56" w:rsidP="000A2F95">
            <w:pPr>
              <w:spacing w:before="60"/>
              <w:rPr>
                <w:rFonts w:cs="Arial"/>
              </w:rPr>
            </w:pPr>
            <w:r w:rsidRPr="00645D56">
              <w:rPr>
                <w:rFonts w:cs="Arial"/>
              </w:rPr>
              <w:t>Insgesamt</w:t>
            </w:r>
          </w:p>
        </w:tc>
        <w:tc>
          <w:tcPr>
            <w:tcW w:w="0" w:type="auto"/>
            <w:tcBorders>
              <w:top w:val="single" w:sz="4" w:space="0" w:color="auto"/>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3 550 000</w:t>
            </w:r>
          </w:p>
        </w:tc>
        <w:tc>
          <w:tcPr>
            <w:tcW w:w="0" w:type="auto"/>
            <w:tcBorders>
              <w:top w:val="single" w:sz="4" w:space="0" w:color="auto"/>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4 420 000</w:t>
            </w:r>
          </w:p>
        </w:tc>
        <w:tc>
          <w:tcPr>
            <w:tcW w:w="0" w:type="auto"/>
            <w:tcBorders>
              <w:top w:val="single" w:sz="4" w:space="0" w:color="auto"/>
              <w:bottom w:val="single" w:sz="4" w:space="0" w:color="auto"/>
            </w:tcBorders>
            <w:shd w:val="clear" w:color="auto" w:fill="FFFFFF"/>
          </w:tcPr>
          <w:p w:rsidR="00645D56" w:rsidRPr="00645D56" w:rsidRDefault="00645D56" w:rsidP="000A2F95">
            <w:pPr>
              <w:spacing w:before="60"/>
              <w:jc w:val="right"/>
              <w:rPr>
                <w:rFonts w:cs="Arial"/>
              </w:rPr>
            </w:pPr>
            <w:r w:rsidRPr="00645D56">
              <w:rPr>
                <w:rFonts w:cs="Arial"/>
              </w:rPr>
              <w:t>870 000</w:t>
            </w:r>
          </w:p>
        </w:tc>
      </w:tr>
    </w:tbl>
    <w:p w:rsidR="00645D56" w:rsidRPr="00645D56" w:rsidRDefault="00645D56" w:rsidP="00645D56">
      <w:pPr>
        <w:spacing w:before="60"/>
        <w:rPr>
          <w:rFonts w:cs="Arial"/>
        </w:rPr>
      </w:pPr>
      <w:r w:rsidRPr="00645D56">
        <w:rPr>
          <w:rFonts w:cs="Arial"/>
        </w:rPr>
        <w:t>Die Erhöhung der Ausgaben ist bedingt durch die Teuerung (Fr. 319000), Mehraufwendungen für den Wegebau (Fr. 214 000) und für die Entwässerungsanlagen (Fr. 193 000), einen zu tief angesetzten Einheitspreis im Kostenvoranschlag 1988 für die Vermarkung (Fr. 47 000) sowie die Schäden des Unwetters vom 5. Juli 1993 an den Weganlagen (Fr. 97 000).</w:t>
      </w:r>
    </w:p>
    <w:p w:rsidR="00645D56" w:rsidRPr="00645D56" w:rsidRDefault="00645D56" w:rsidP="00645D56">
      <w:pPr>
        <w:spacing w:before="60"/>
        <w:rPr>
          <w:rFonts w:cs="Arial"/>
        </w:rPr>
      </w:pPr>
      <w:r w:rsidRPr="00645D56">
        <w:rPr>
          <w:rFonts w:cs="Arial"/>
        </w:rPr>
        <w:t>An die Mehrausgaben der Landumlegung von Fr. 21 000 ist der feste Subventionssatz von 50% auszurichten. An die zusätzlichen Ausgaben für bauliche Massnahmen und Vermarkung von Fr. 849 000 ist die Zusicherung einer dem bisherigen Subventionssatz entsprechenden Subvention von 43% gerechtfertigt. Für die dem Zürcher Recht unterstellten Gebiete in der Gemeinde Würenlos ist gemäss RRB Nr. 434/1989 eine zusätzliche Subvention von 15% an die Mehrausgaben der Landumlegungsarbeiten von Fr. 8000 zuzusichern.</w:t>
      </w:r>
    </w:p>
    <w:p w:rsidR="00645D56" w:rsidRPr="00645D56" w:rsidRDefault="00645D56" w:rsidP="00645D56">
      <w:pPr>
        <w:spacing w:before="60"/>
        <w:rPr>
          <w:rFonts w:cs="Arial"/>
        </w:rPr>
      </w:pPr>
      <w:r w:rsidRPr="00645D56">
        <w:rPr>
          <w:rFonts w:cs="Arial"/>
        </w:rPr>
        <w:t>Der Bund hat die Beiträge an die Mehrkosten im etappenweisen Verfahren mehrheitlich zugesichert. Ausstehend ist nur noch die Beitragszusicherung für die Kostenerhöhung bei den Abschlussarbeiten.</w:t>
      </w:r>
    </w:p>
    <w:p w:rsidR="00645D56" w:rsidRPr="00645D56" w:rsidRDefault="00645D56" w:rsidP="00645D56">
      <w:pPr>
        <w:spacing w:before="60"/>
        <w:rPr>
          <w:rFonts w:cs="Arial"/>
        </w:rPr>
      </w:pPr>
      <w:r w:rsidRPr="00645D56">
        <w:rPr>
          <w:rFonts w:cs="Arial"/>
        </w:rPr>
        <w:t>Die Ausrichtung der Subvention hat unter den Bedingungen und Auflagen, wie sie in RRB Nrn. 2054/1985 und 434/1989 festgehalten worden sind, und nach Massgabe der vom Kantonsrat beschlossenen Voranschlagskredite zu erfolgen.</w:t>
      </w:r>
    </w:p>
    <w:p w:rsidR="00645D56" w:rsidRPr="00645D56" w:rsidRDefault="00645D56" w:rsidP="00645D56">
      <w:pPr>
        <w:spacing w:before="60"/>
        <w:rPr>
          <w:rFonts w:cs="Arial"/>
        </w:rPr>
      </w:pPr>
      <w:r w:rsidRPr="00645D56">
        <w:rPr>
          <w:rFonts w:cs="Arial"/>
        </w:rPr>
        <w:t>Auf Antrag der Direktion der Volkswirtschaft</w:t>
      </w:r>
    </w:p>
    <w:p w:rsidR="00645D56" w:rsidRPr="00645D56" w:rsidRDefault="00645D56" w:rsidP="00645D56">
      <w:pPr>
        <w:spacing w:before="60"/>
        <w:jc w:val="center"/>
        <w:rPr>
          <w:rFonts w:cs="Arial"/>
        </w:rPr>
      </w:pPr>
      <w:r w:rsidRPr="00645D56">
        <w:rPr>
          <w:rFonts w:cs="Arial"/>
        </w:rPr>
        <w:t>beschliesst der Regierungsrat:</w:t>
      </w:r>
    </w:p>
    <w:p w:rsidR="00645D56" w:rsidRPr="00645D56" w:rsidRDefault="00645D56" w:rsidP="00645D56">
      <w:pPr>
        <w:tabs>
          <w:tab w:val="left" w:pos="495"/>
        </w:tabs>
        <w:spacing w:before="60"/>
        <w:rPr>
          <w:rFonts w:cs="Arial"/>
        </w:rPr>
      </w:pPr>
      <w:r w:rsidRPr="00645D56">
        <w:rPr>
          <w:rFonts w:cs="Arial"/>
        </w:rPr>
        <w:t>I. Von der Ausgabenerhöhung von insgesamt Fr. 870 000 für das Projekt der Gesamtmelioration Däniken-Hüttikon, genehmigt mit RRB Nrn. 2054/1985 und 434/1989, wird Kenntnis genommen. Die subventionsberechtigten Ausgaben für die Güterzusammenlegung erhöhen sich damit auf Fr. 4 420 000.</w:t>
      </w:r>
    </w:p>
    <w:p w:rsidR="00645D56" w:rsidRPr="00645D56" w:rsidRDefault="00645D56" w:rsidP="00645D56">
      <w:pPr>
        <w:tabs>
          <w:tab w:val="left" w:pos="524"/>
        </w:tabs>
        <w:spacing w:before="60"/>
        <w:rPr>
          <w:rFonts w:cs="Arial"/>
        </w:rPr>
      </w:pPr>
      <w:r w:rsidRPr="00645D56">
        <w:rPr>
          <w:rFonts w:cs="Arial"/>
        </w:rPr>
        <w:t>II. Der Meliorationsgenossenschaft Däniken-Hüttikon werden zu Lasten des Kontos 2636.01.5650.101. Investitionsbeiträge an private Institutionen für Bodenverbesserungen und landwirtschaftliche Hochbauten, an die zusätzlichen Kosten im Zusammenlegungsgebiet des Kantons Zürich von Fr. 21 000 für die Landumlegung eine Subvention von 50%, höchstens Fr. 10 500, und von Fr. 849 000 für bauliche Massnahmen eine Subvention von 43%, höchstens Fr. 365 000, zugesichert. Ferner wird ihr an die Mehrausgaben der Landumlegungsarbeiten von Fr. 8000 im aargauischen Gebiet eine Subvention von 15%, höchstens Fr. 1200, zugesichert.</w:t>
      </w:r>
    </w:p>
    <w:p w:rsidR="00645D56" w:rsidRPr="00645D56" w:rsidRDefault="00645D56" w:rsidP="00645D56">
      <w:pPr>
        <w:tabs>
          <w:tab w:val="left" w:pos="601"/>
        </w:tabs>
        <w:spacing w:before="60"/>
        <w:rPr>
          <w:rFonts w:cs="Arial"/>
        </w:rPr>
      </w:pPr>
      <w:r w:rsidRPr="00645D56">
        <w:rPr>
          <w:rFonts w:cs="Arial"/>
        </w:rPr>
        <w:t>III. Die Volkswirtschaftsdirektion wird eingeladen, beim Eidgenössischen Meliorationsamt um den entsprechenden Bundesbeitrag an die Erhöhung des Kostenvoranschlags nachzusuchen.</w:t>
      </w:r>
    </w:p>
    <w:p w:rsidR="00645D56" w:rsidRPr="00645D56" w:rsidRDefault="00645D56" w:rsidP="00645D56">
      <w:pPr>
        <w:tabs>
          <w:tab w:val="left" w:pos="596"/>
        </w:tabs>
        <w:spacing w:before="60"/>
        <w:rPr>
          <w:rFonts w:cs="Arial"/>
        </w:rPr>
      </w:pPr>
      <w:r w:rsidRPr="00645D56">
        <w:rPr>
          <w:rFonts w:cs="Arial"/>
        </w:rPr>
        <w:t>IV. Die Ausrichtung der Subvention erfolgt unter den Bedingungen und Auflagen gemäss RRB Nrn. 2054/1985 und 434/1989 und nach Massgabe der vom Kantonsrat beschlossenen Voranschlagskredite.</w:t>
      </w:r>
    </w:p>
    <w:p w:rsidR="00645D56" w:rsidRPr="00645D56" w:rsidRDefault="00645D56" w:rsidP="00645D56">
      <w:pPr>
        <w:tabs>
          <w:tab w:val="left" w:pos="586"/>
        </w:tabs>
        <w:spacing w:before="60"/>
        <w:rPr>
          <w:rFonts w:cs="Arial"/>
        </w:rPr>
      </w:pPr>
      <w:r w:rsidRPr="00645D56">
        <w:rPr>
          <w:rFonts w:cs="Arial"/>
        </w:rPr>
        <w:t>V. Für die Ausführung der Arbeiten und die Einsendung der Abrechnung wird Frist bis 31. Dezember 1999 gewährt.</w:t>
      </w:r>
    </w:p>
    <w:p w:rsidR="00645D56" w:rsidRPr="00645D56" w:rsidRDefault="00645D56" w:rsidP="00645D56">
      <w:pPr>
        <w:pStyle w:val="00Vorgabetext"/>
        <w:keepNext/>
        <w:keepLines/>
        <w:rPr>
          <w:rFonts w:cs="Arial"/>
        </w:rPr>
      </w:pPr>
      <w:r w:rsidRPr="00645D56">
        <w:rPr>
          <w:rFonts w:cs="Arial"/>
        </w:rPr>
        <w:t>VI. Mitteilung an die Meliorationsgenossenschaft Dänikon-Hüttikon (Präsident: Eduard Meier, Alte Landstrasse 38, 8114 Dänikon), die Gemeinderäte Dänikon, 8114 Dänikon, Hüttikon, 8115 Hüttikon, Dällikon, 8108 Dällikon, Würenlos, 8116 Würenlos, den Bezirksrat Dielsdorf, 8157 Dielsdorf, das Ingenieur- und Vermessungsbüro W. Leisinger AG, Strehlgasse 19, 8472 Seuzach, das Eidgenössische Meliorationsamt, 3003 Bern, den Regierungsrat des Kantons Aargau, 5001 Aarau, sowie an die Direktionen der Finanzen und der Volkswirtschaft.</w:t>
      </w:r>
    </w:p>
    <w:p w:rsidR="00645D56" w:rsidRPr="00645D56" w:rsidRDefault="00645D56" w:rsidP="00645D56">
      <w:pPr>
        <w:pStyle w:val="00Vorgabetext"/>
        <w:keepNext/>
        <w:keepLines/>
        <w:rPr>
          <w:rFonts w:cs="Arial"/>
        </w:rPr>
      </w:pPr>
    </w:p>
    <w:p w:rsidR="00645D56" w:rsidRPr="00645D56" w:rsidRDefault="00645D56" w:rsidP="00645D56">
      <w:pPr>
        <w:pStyle w:val="00Vorgabetext"/>
        <w:keepNext/>
        <w:keepLines/>
        <w:rPr>
          <w:rFonts w:cs="Arial"/>
        </w:rPr>
      </w:pPr>
    </w:p>
    <w:p w:rsidR="00BE768B" w:rsidRPr="00645D56" w:rsidRDefault="00645D56" w:rsidP="00645D56">
      <w:pPr>
        <w:pStyle w:val="00Vorgabetext"/>
        <w:keepNext/>
        <w:keepLines/>
      </w:pPr>
      <w:r w:rsidRPr="00645D56">
        <w:rPr>
          <w:rFonts w:cs="Arial"/>
        </w:rPr>
        <w:t>[</w:t>
      </w:r>
      <w:r w:rsidRPr="00645D56">
        <w:rPr>
          <w:rFonts w:cs="Arial"/>
          <w:i/>
        </w:rPr>
        <w:t>Transkript: OCR (Überarbeitung: Team TKR)/14.09.2017</w:t>
      </w:r>
      <w:bookmarkStart w:id="1" w:name="_GoBack"/>
      <w:r w:rsidRPr="00645D56">
        <w:rPr>
          <w:rFonts w:cs="Arial"/>
        </w:rPr>
        <w:t xml:space="preserve">] </w:t>
      </w:r>
      <w:bookmarkEnd w:id="1"/>
    </w:p>
    <w:sectPr w:rsidR="00BE768B" w:rsidRPr="00645D56"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D56" w:rsidRDefault="00645D56">
      <w:r>
        <w:separator/>
      </w:r>
    </w:p>
    <w:p w:rsidR="00645D56" w:rsidRDefault="00645D56"/>
    <w:p w:rsidR="00645D56" w:rsidRDefault="00645D56"/>
  </w:endnote>
  <w:endnote w:type="continuationSeparator" w:id="0">
    <w:p w:rsidR="00645D56" w:rsidRDefault="00645D56">
      <w:r>
        <w:continuationSeparator/>
      </w:r>
    </w:p>
    <w:p w:rsidR="00645D56" w:rsidRDefault="00645D56"/>
    <w:p w:rsidR="00645D56" w:rsidRDefault="00645D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D56" w:rsidRDefault="00645D56">
      <w:r>
        <w:separator/>
      </w:r>
    </w:p>
    <w:p w:rsidR="00645D56" w:rsidRDefault="00645D56"/>
    <w:p w:rsidR="00645D56" w:rsidRDefault="00645D56"/>
  </w:footnote>
  <w:footnote w:type="continuationSeparator" w:id="0">
    <w:p w:rsidR="00645D56" w:rsidRDefault="00645D56">
      <w:r>
        <w:continuationSeparator/>
      </w:r>
    </w:p>
    <w:p w:rsidR="00645D56" w:rsidRDefault="00645D56"/>
    <w:p w:rsidR="00645D56" w:rsidRDefault="00645D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45D5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45D5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D5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5D56"/>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AA75018-5E42-426B-B745-4042BCE1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45D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592BEA-3EC7-44A7-83BB-1C4DB4110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576</Words>
  <Characters>4416</Characters>
  <Application>Microsoft Office Word</Application>
  <DocSecurity>0</DocSecurity>
  <PresentationFormat/>
  <Lines>401</Lines>
  <Paragraphs>332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4660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Gesamtmelioration Dänikon-Hüttikon (Güterzusammenlegung)</dc:subject>
  <dc:creator>Staatsarchiv des Kantons Zürich</dc:creator>
  <cp:lastModifiedBy>Mirjam Stadler</cp:lastModifiedBy>
  <cp:revision>1</cp:revision>
  <cp:lastPrinted>2012-06-15T14:37:00Z</cp:lastPrinted>
  <dcterms:created xsi:type="dcterms:W3CDTF">2017-09-14T06:23:00Z</dcterms:created>
  <dcterms:modified xsi:type="dcterms:W3CDTF">2017-09-14T06:23:00Z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