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E1784" w:rsidTr="00C80ABA">
        <w:trPr>
          <w:trHeight w:val="454"/>
        </w:trPr>
        <w:tc>
          <w:tcPr>
            <w:tcW w:w="1668" w:type="dxa"/>
          </w:tcPr>
          <w:p w:rsidR="00A43AE4" w:rsidRPr="00AE178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E1784">
              <w:t>Signatur</w:t>
            </w:r>
          </w:p>
        </w:tc>
        <w:tc>
          <w:tcPr>
            <w:tcW w:w="6721" w:type="dxa"/>
          </w:tcPr>
          <w:p w:rsidR="00A43AE4" w:rsidRPr="00AE1784" w:rsidRDefault="00AE1784" w:rsidP="00931B1F">
            <w:pPr>
              <w:pStyle w:val="70SignaturX"/>
            </w:pPr>
            <w:r w:rsidRPr="00AE1784">
              <w:t>StAZH MM 3.203 RRB 1994/0695</w:t>
            </w:r>
          </w:p>
        </w:tc>
      </w:tr>
      <w:tr w:rsidR="00A43AE4" w:rsidRPr="00AE1784" w:rsidTr="00C80ABA">
        <w:trPr>
          <w:trHeight w:val="454"/>
        </w:trPr>
        <w:tc>
          <w:tcPr>
            <w:tcW w:w="1668" w:type="dxa"/>
          </w:tcPr>
          <w:p w:rsidR="00A43AE4" w:rsidRPr="00AE178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E1784">
              <w:t>Titel</w:t>
            </w:r>
          </w:p>
        </w:tc>
        <w:tc>
          <w:tcPr>
            <w:tcW w:w="6721" w:type="dxa"/>
          </w:tcPr>
          <w:p w:rsidR="006C59EA" w:rsidRPr="00AE1784" w:rsidRDefault="00AE178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E1784">
              <w:rPr>
                <w:rFonts w:ascii="Arial Black" w:hAnsi="Arial Black"/>
              </w:rPr>
              <w:t>Kläranlage</w:t>
            </w:r>
          </w:p>
        </w:tc>
      </w:tr>
      <w:tr w:rsidR="00BC0931" w:rsidRPr="00AE1784" w:rsidTr="00C80ABA">
        <w:trPr>
          <w:trHeight w:val="454"/>
        </w:trPr>
        <w:tc>
          <w:tcPr>
            <w:tcW w:w="1668" w:type="dxa"/>
          </w:tcPr>
          <w:p w:rsidR="00BC0931" w:rsidRPr="00AE178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E1784">
              <w:t>Datum</w:t>
            </w:r>
          </w:p>
        </w:tc>
        <w:tc>
          <w:tcPr>
            <w:tcW w:w="6721" w:type="dxa"/>
          </w:tcPr>
          <w:p w:rsidR="00BC0931" w:rsidRPr="00AE1784" w:rsidRDefault="00AE1784" w:rsidP="00931B1F">
            <w:pPr>
              <w:pStyle w:val="71DatumX"/>
            </w:pPr>
            <w:r w:rsidRPr="00AE1784">
              <w:t>09.03.1994</w:t>
            </w:r>
          </w:p>
        </w:tc>
      </w:tr>
      <w:tr w:rsidR="00A43AE4" w:rsidRPr="00AE1784" w:rsidTr="00C80ABA">
        <w:trPr>
          <w:trHeight w:val="454"/>
        </w:trPr>
        <w:tc>
          <w:tcPr>
            <w:tcW w:w="1668" w:type="dxa"/>
          </w:tcPr>
          <w:p w:rsidR="00A43AE4" w:rsidRPr="00AE178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E1784">
              <w:t>P.</w:t>
            </w:r>
          </w:p>
        </w:tc>
        <w:tc>
          <w:tcPr>
            <w:tcW w:w="6721" w:type="dxa"/>
          </w:tcPr>
          <w:p w:rsidR="00A43AE4" w:rsidRPr="00AE1784" w:rsidRDefault="00AE1784" w:rsidP="00931B1F">
            <w:pPr>
              <w:pStyle w:val="00Vorgabetext"/>
            </w:pPr>
            <w:r w:rsidRPr="00AE1784">
              <w:t>331</w:t>
            </w:r>
          </w:p>
        </w:tc>
      </w:tr>
    </w:tbl>
    <w:p w:rsidR="00616641" w:rsidRPr="00AE1784" w:rsidRDefault="00616641" w:rsidP="0077655B">
      <w:pPr>
        <w:pStyle w:val="00Vorgabetext"/>
        <w:spacing w:before="0" w:after="60"/>
      </w:pPr>
    </w:p>
    <w:p w:rsidR="00AE1784" w:rsidRPr="00AE1784" w:rsidRDefault="00AE1784" w:rsidP="00AE1784">
      <w:pPr>
        <w:spacing w:before="60"/>
        <w:rPr>
          <w:rFonts w:cs="Arial"/>
        </w:rPr>
      </w:pPr>
      <w:bookmarkStart w:id="0" w:name="ContentText"/>
      <w:bookmarkEnd w:id="0"/>
      <w:r w:rsidRPr="00AE1784">
        <w:t>[</w:t>
      </w:r>
      <w:r w:rsidRPr="00AE1784">
        <w:rPr>
          <w:i/>
        </w:rPr>
        <w:t>p. 331</w:t>
      </w:r>
      <w:r w:rsidRPr="00AE1784">
        <w:t xml:space="preserve">] </w:t>
      </w:r>
      <w:r w:rsidRPr="00AE1784">
        <w:rPr>
          <w:rFonts w:cs="Arial"/>
        </w:rPr>
        <w:t>Mit Schreiben vom 9. Dezember 1993 ersuchte der Gemeinderat Hinwil um Zusicherung eines Staats- und eines Bundesbeitrags an die auf Fr. 7 960 000 veranschlagten Kosten für die 2. Ausbauetappe der Kläranlage Bossikon.</w:t>
      </w:r>
    </w:p>
    <w:p w:rsidR="00AE1784" w:rsidRPr="00AE1784" w:rsidRDefault="00AE1784" w:rsidP="00AE1784">
      <w:pPr>
        <w:spacing w:before="60"/>
        <w:rPr>
          <w:rFonts w:cs="Arial"/>
        </w:rPr>
      </w:pPr>
      <w:r w:rsidRPr="00AE1784">
        <w:rPr>
          <w:rFonts w:cs="Arial"/>
        </w:rPr>
        <w:t>Das Ausbauprojekt umfasst im wesentlichen folgende Massnahmen:</w:t>
      </w:r>
    </w:p>
    <w:p w:rsidR="00AE1784" w:rsidRPr="00AE1784" w:rsidRDefault="00AE1784" w:rsidP="00AE1784">
      <w:pPr>
        <w:tabs>
          <w:tab w:val="left" w:pos="235"/>
        </w:tabs>
        <w:spacing w:before="60"/>
        <w:rPr>
          <w:rFonts w:cs="Arial"/>
        </w:rPr>
      </w:pPr>
      <w:r w:rsidRPr="00AE1784">
        <w:rPr>
          <w:rFonts w:cs="Arial"/>
        </w:rPr>
        <w:t>- Bau eines Regenbeckens</w:t>
      </w:r>
    </w:p>
    <w:p w:rsidR="00AE1784" w:rsidRPr="00AE1784" w:rsidRDefault="00AE1784" w:rsidP="00AE1784">
      <w:pPr>
        <w:tabs>
          <w:tab w:val="left" w:pos="235"/>
        </w:tabs>
        <w:spacing w:before="60"/>
        <w:rPr>
          <w:rFonts w:cs="Arial"/>
        </w:rPr>
      </w:pPr>
      <w:r w:rsidRPr="00AE1784">
        <w:rPr>
          <w:rFonts w:cs="Arial"/>
        </w:rPr>
        <w:t>- Neubau eines Rechengebäudes für Feinrechen mit Rechengutpresse und neuem Sandfang</w:t>
      </w:r>
    </w:p>
    <w:p w:rsidR="00AE1784" w:rsidRPr="00AE1784" w:rsidRDefault="00AE1784" w:rsidP="00AE1784">
      <w:pPr>
        <w:tabs>
          <w:tab w:val="left" w:pos="235"/>
        </w:tabs>
        <w:spacing w:before="60"/>
        <w:rPr>
          <w:rFonts w:cs="Arial"/>
        </w:rPr>
      </w:pPr>
      <w:r w:rsidRPr="00AE1784">
        <w:rPr>
          <w:rFonts w:cs="Arial"/>
        </w:rPr>
        <w:t>- Bau einer Schlammentwässerungsanlage</w:t>
      </w:r>
    </w:p>
    <w:p w:rsidR="00AE1784" w:rsidRPr="00AE1784" w:rsidRDefault="00AE1784" w:rsidP="00AE1784">
      <w:pPr>
        <w:tabs>
          <w:tab w:val="left" w:pos="235"/>
        </w:tabs>
        <w:spacing w:before="60"/>
        <w:rPr>
          <w:rFonts w:cs="Arial"/>
        </w:rPr>
      </w:pPr>
      <w:r w:rsidRPr="00AE1784">
        <w:rPr>
          <w:rFonts w:cs="Arial"/>
        </w:rPr>
        <w:t>- Sanierung und Anpassung der elektrischen Anlagen und der Belüftungsbeckenausrüstung</w:t>
      </w:r>
    </w:p>
    <w:p w:rsidR="00AE1784" w:rsidRPr="00AE1784" w:rsidRDefault="00AE1784" w:rsidP="00AE1784">
      <w:pPr>
        <w:tabs>
          <w:tab w:val="left" w:pos="235"/>
        </w:tabs>
        <w:spacing w:before="60"/>
        <w:rPr>
          <w:rFonts w:cs="Arial"/>
        </w:rPr>
      </w:pPr>
      <w:r w:rsidRPr="00AE1784">
        <w:rPr>
          <w:rFonts w:cs="Arial"/>
        </w:rPr>
        <w:t>- Verschiedene Sanierungen an Kanälen und Becken sowie am Betriebsgebäude</w:t>
      </w:r>
    </w:p>
    <w:p w:rsidR="00AE1784" w:rsidRPr="00AE1784" w:rsidRDefault="00AE1784" w:rsidP="00AE1784">
      <w:pPr>
        <w:spacing w:before="60"/>
        <w:rPr>
          <w:rFonts w:cs="Arial"/>
        </w:rPr>
      </w:pPr>
      <w:r w:rsidRPr="00AE1784">
        <w:rPr>
          <w:rFonts w:cs="Arial"/>
        </w:rPr>
        <w:t>Das Ausbauprojekt der 2. Etappe wurde in abwassertechnischer Hinsicht vom Amt für Gewässerschutz und Wasserbau (AGW) mit Verfügung Nr. 249 vom 21. Januar 1994 genehmigt (AWR E 1 Hinwil).</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306"/>
        <w:gridCol w:w="999"/>
      </w:tblGrid>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Die Erweiterungskosten teilen sich im wesentlichen wie folgt auf:</w:t>
            </w:r>
          </w:p>
        </w:tc>
        <w:tc>
          <w:tcPr>
            <w:tcW w:w="0" w:type="auto"/>
            <w:shd w:val="clear" w:color="auto" w:fill="FFFFFF"/>
          </w:tcPr>
          <w:p w:rsidR="00AE1784" w:rsidRPr="00AE1784" w:rsidRDefault="00AE1784" w:rsidP="000A2F95">
            <w:pPr>
              <w:spacing w:before="60"/>
              <w:jc w:val="right"/>
              <w:rPr>
                <w:rFonts w:cs="Arial"/>
              </w:rPr>
            </w:pPr>
            <w:r w:rsidRPr="00AE1784">
              <w:rPr>
                <w:rFonts w:cs="Arial"/>
              </w:rPr>
              <w:t>Fr.</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Bauarbeiten</w:t>
            </w:r>
          </w:p>
        </w:tc>
        <w:tc>
          <w:tcPr>
            <w:tcW w:w="0" w:type="auto"/>
            <w:shd w:val="clear" w:color="auto" w:fill="FFFFFF"/>
          </w:tcPr>
          <w:p w:rsidR="00AE1784" w:rsidRPr="00AE1784" w:rsidRDefault="00AE1784" w:rsidP="000A2F95">
            <w:pPr>
              <w:spacing w:before="60"/>
              <w:jc w:val="right"/>
              <w:rPr>
                <w:rFonts w:cs="Arial"/>
              </w:rPr>
            </w:pPr>
            <w:r w:rsidRPr="00AE1784">
              <w:rPr>
                <w:rFonts w:cs="Arial"/>
              </w:rPr>
              <w:t>1 626 000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Mechanische Ausrüstung</w:t>
            </w:r>
          </w:p>
        </w:tc>
        <w:tc>
          <w:tcPr>
            <w:tcW w:w="0" w:type="auto"/>
            <w:shd w:val="clear" w:color="auto" w:fill="FFFFFF"/>
          </w:tcPr>
          <w:p w:rsidR="00AE1784" w:rsidRPr="00AE1784" w:rsidRDefault="00AE1784" w:rsidP="000A2F95">
            <w:pPr>
              <w:spacing w:before="60"/>
              <w:jc w:val="right"/>
              <w:rPr>
                <w:rFonts w:cs="Arial"/>
              </w:rPr>
            </w:pPr>
            <w:r w:rsidRPr="00AE1784">
              <w:rPr>
                <w:rFonts w:cs="Arial"/>
              </w:rPr>
              <w:t>1 610 000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Kanäle, Strassen und Umgebungsarbeiten</w:t>
            </w:r>
          </w:p>
        </w:tc>
        <w:tc>
          <w:tcPr>
            <w:tcW w:w="0" w:type="auto"/>
            <w:shd w:val="clear" w:color="auto" w:fill="FFFFFF"/>
          </w:tcPr>
          <w:p w:rsidR="00AE1784" w:rsidRPr="00AE1784" w:rsidRDefault="00AE1784" w:rsidP="000A2F95">
            <w:pPr>
              <w:spacing w:before="60"/>
              <w:jc w:val="right"/>
              <w:rPr>
                <w:rFonts w:cs="Arial"/>
              </w:rPr>
            </w:pPr>
            <w:r w:rsidRPr="00AE1784">
              <w:rPr>
                <w:rFonts w:cs="Arial"/>
              </w:rPr>
              <w:t>780 000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Allgemeine Ausbauarbeiten</w:t>
            </w:r>
          </w:p>
        </w:tc>
        <w:tc>
          <w:tcPr>
            <w:tcW w:w="0" w:type="auto"/>
            <w:shd w:val="clear" w:color="auto" w:fill="FFFFFF"/>
          </w:tcPr>
          <w:p w:rsidR="00AE1784" w:rsidRPr="00AE1784" w:rsidRDefault="00AE1784" w:rsidP="000A2F95">
            <w:pPr>
              <w:spacing w:before="60"/>
              <w:jc w:val="right"/>
              <w:rPr>
                <w:rFonts w:cs="Arial"/>
              </w:rPr>
            </w:pPr>
            <w:r w:rsidRPr="00AE1784">
              <w:rPr>
                <w:rFonts w:cs="Arial"/>
              </w:rPr>
              <w:t>525 000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Elektrische Anlagen</w:t>
            </w:r>
          </w:p>
        </w:tc>
        <w:tc>
          <w:tcPr>
            <w:tcW w:w="0" w:type="auto"/>
            <w:shd w:val="clear" w:color="auto" w:fill="FFFFFF"/>
          </w:tcPr>
          <w:p w:rsidR="00AE1784" w:rsidRPr="00AE1784" w:rsidRDefault="00AE1784" w:rsidP="000A2F95">
            <w:pPr>
              <w:spacing w:before="60"/>
              <w:jc w:val="right"/>
              <w:rPr>
                <w:rFonts w:cs="Arial"/>
              </w:rPr>
            </w:pPr>
            <w:r w:rsidRPr="00AE1784">
              <w:rPr>
                <w:rFonts w:cs="Arial"/>
              </w:rPr>
              <w:t>820 000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Verschiedene Sanierungsarbeiten</w:t>
            </w:r>
          </w:p>
        </w:tc>
        <w:tc>
          <w:tcPr>
            <w:tcW w:w="0" w:type="auto"/>
            <w:shd w:val="clear" w:color="auto" w:fill="FFFFFF"/>
          </w:tcPr>
          <w:p w:rsidR="00AE1784" w:rsidRPr="00AE1784" w:rsidRDefault="00AE1784" w:rsidP="000A2F95">
            <w:pPr>
              <w:spacing w:before="60"/>
              <w:jc w:val="right"/>
              <w:rPr>
                <w:rFonts w:cs="Arial"/>
              </w:rPr>
            </w:pPr>
            <w:r w:rsidRPr="00AE1784">
              <w:rPr>
                <w:rFonts w:cs="Arial"/>
              </w:rPr>
              <w:t>315 000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Unvorhergesehenes</w:t>
            </w:r>
          </w:p>
        </w:tc>
        <w:tc>
          <w:tcPr>
            <w:tcW w:w="0" w:type="auto"/>
            <w:shd w:val="clear" w:color="auto" w:fill="FFFFFF"/>
          </w:tcPr>
          <w:p w:rsidR="00AE1784" w:rsidRPr="00AE1784" w:rsidRDefault="00AE1784" w:rsidP="000A2F95">
            <w:pPr>
              <w:spacing w:before="60"/>
              <w:jc w:val="right"/>
              <w:rPr>
                <w:rFonts w:cs="Arial"/>
              </w:rPr>
            </w:pPr>
            <w:r w:rsidRPr="00AE1784">
              <w:rPr>
                <w:rFonts w:cs="Arial"/>
              </w:rPr>
              <w:t>584 000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 Technische Arbeiten</w:t>
            </w:r>
          </w:p>
        </w:tc>
        <w:tc>
          <w:tcPr>
            <w:tcW w:w="0" w:type="auto"/>
            <w:shd w:val="clear" w:color="auto" w:fill="FFFFFF"/>
          </w:tcPr>
          <w:p w:rsidR="00AE1784" w:rsidRPr="00AE1784" w:rsidRDefault="00AE1784" w:rsidP="000A2F95">
            <w:pPr>
              <w:spacing w:before="60"/>
              <w:jc w:val="right"/>
              <w:rPr>
                <w:rFonts w:cs="Arial"/>
              </w:rPr>
            </w:pPr>
            <w:r w:rsidRPr="00AE1784">
              <w:rPr>
                <w:rFonts w:cs="Arial"/>
              </w:rPr>
              <w:t>1 700 000</w:t>
            </w:r>
          </w:p>
        </w:tc>
      </w:tr>
      <w:tr w:rsidR="00AE1784" w:rsidRPr="00AE1784" w:rsidTr="000A2F95">
        <w:trPr>
          <w:trHeight w:val="283"/>
        </w:trPr>
        <w:tc>
          <w:tcPr>
            <w:tcW w:w="0" w:type="auto"/>
            <w:shd w:val="clear" w:color="auto" w:fill="FFFFFF"/>
          </w:tcPr>
          <w:p w:rsidR="00AE1784" w:rsidRPr="00AE1784" w:rsidRDefault="00AE1784" w:rsidP="000A2F95">
            <w:pPr>
              <w:spacing w:before="60"/>
              <w:rPr>
                <w:rFonts w:cs="Arial"/>
              </w:rPr>
            </w:pPr>
            <w:r w:rsidRPr="00AE1784">
              <w:rPr>
                <w:rFonts w:cs="Arial"/>
              </w:rPr>
              <w:t>Gesamtkosten</w:t>
            </w:r>
          </w:p>
        </w:tc>
        <w:tc>
          <w:tcPr>
            <w:tcW w:w="0" w:type="auto"/>
            <w:shd w:val="clear" w:color="auto" w:fill="FFFFFF"/>
          </w:tcPr>
          <w:p w:rsidR="00AE1784" w:rsidRPr="00AE1784" w:rsidRDefault="00AE1784" w:rsidP="000A2F95">
            <w:pPr>
              <w:spacing w:before="60"/>
              <w:jc w:val="right"/>
              <w:rPr>
                <w:rFonts w:cs="Arial"/>
              </w:rPr>
            </w:pPr>
            <w:r w:rsidRPr="00AE1784">
              <w:rPr>
                <w:rFonts w:cs="Arial"/>
              </w:rPr>
              <w:t>7 960 000</w:t>
            </w:r>
          </w:p>
        </w:tc>
      </w:tr>
    </w:tbl>
    <w:p w:rsidR="00AE1784" w:rsidRPr="00AE1784" w:rsidRDefault="00AE1784" w:rsidP="00AE1784">
      <w:pPr>
        <w:spacing w:before="60"/>
        <w:rPr>
          <w:rFonts w:cs="Arial"/>
        </w:rPr>
      </w:pPr>
      <w:r w:rsidRPr="00AE1784">
        <w:rPr>
          <w:rFonts w:cs="Arial"/>
        </w:rPr>
        <w:t xml:space="preserve">Die geplanten Erweiterungsbauten der 2. Etappe auf der ARA Bossikon sind gemäss § 46 des Einführungsgesetzes zum Gewässerschutzgesetz (EG GSchG) kostenanteilsberechtigt. Bei einem Finanzkraftindex von 112 für das </w:t>
      </w:r>
      <w:r w:rsidRPr="00AE1784">
        <w:rPr>
          <w:rFonts w:cs="Arial"/>
          <w:lang w:eastAsia="fr-FR" w:bidi="fr-FR"/>
        </w:rPr>
        <w:t>J</w:t>
      </w:r>
      <w:r w:rsidRPr="00AE1784">
        <w:rPr>
          <w:rFonts w:cs="Arial"/>
        </w:rPr>
        <w:t>ahr 1994 beträgt der Kostenanteil 5% oder voraussichtlich Fr. 398 000 der auf rund Fr. 7 960 000 veranschlagten Kosten.</w:t>
      </w:r>
    </w:p>
    <w:p w:rsidR="00AE1784" w:rsidRPr="00AE1784" w:rsidRDefault="00AE1784" w:rsidP="00AE1784">
      <w:pPr>
        <w:spacing w:before="60"/>
        <w:rPr>
          <w:rFonts w:cs="Arial"/>
        </w:rPr>
      </w:pPr>
      <w:r w:rsidRPr="00AE1784">
        <w:rPr>
          <w:rFonts w:cs="Arial"/>
        </w:rPr>
        <w:t>Für die Zusicherung eines Bundesbeitrags an die vorgesehenen Erweiterungsbauten wird das AGW dem Bundesamt für Umwelt, Wald und Landschaft (Buwal) ein entsprechendes Gesuch einreichen.</w:t>
      </w:r>
    </w:p>
    <w:p w:rsidR="00AE1784" w:rsidRPr="00AE1784" w:rsidRDefault="00AE1784" w:rsidP="00AE1784">
      <w:pPr>
        <w:spacing w:before="60"/>
        <w:outlineLvl w:val="0"/>
        <w:rPr>
          <w:rFonts w:cs="Arial"/>
        </w:rPr>
      </w:pPr>
      <w:r w:rsidRPr="00AE1784">
        <w:rPr>
          <w:rFonts w:cs="Arial"/>
        </w:rPr>
        <w:t>Auf Antrag der Direktion der öffentlichen Bauten</w:t>
      </w:r>
    </w:p>
    <w:p w:rsidR="00AE1784" w:rsidRPr="00AE1784" w:rsidRDefault="00AE1784" w:rsidP="00AE1784">
      <w:pPr>
        <w:spacing w:before="60"/>
        <w:jc w:val="center"/>
        <w:rPr>
          <w:rFonts w:cs="Arial"/>
        </w:rPr>
      </w:pPr>
      <w:r w:rsidRPr="00AE1784">
        <w:rPr>
          <w:rFonts w:cs="Arial"/>
        </w:rPr>
        <w:t>beschliesst der Regierungsrat:</w:t>
      </w:r>
    </w:p>
    <w:p w:rsidR="00AE1784" w:rsidRPr="00AE1784" w:rsidRDefault="00AE1784" w:rsidP="00AE1784">
      <w:pPr>
        <w:tabs>
          <w:tab w:val="left" w:pos="490"/>
        </w:tabs>
        <w:spacing w:before="60"/>
        <w:rPr>
          <w:rFonts w:cs="Arial"/>
        </w:rPr>
      </w:pPr>
      <w:r w:rsidRPr="00AE1784">
        <w:rPr>
          <w:rFonts w:cs="Arial"/>
        </w:rPr>
        <w:t>I. Der Gemeinde Hinwil wird an die beitragsberechtigten Kosten für die Erweiterungsbauten auf der ARA Bossikon, 2. Etappe, zu Lasten des Kontos 3015.5620.201. Investitionsbeiträge an Gemeinden, Genossenschaften und Zweckverbände für Abwasseranlagen, ein Kostenanteil von 5% zugesichert (AWA Nr. 69 Hinwil). Hierfür gelten die vom AGW erlassenen Allgemeinen Bedingungen für die Zusicherung von Staatsbeiträgen an Abwasseranlagen vom 29. Mai 1991 (Beilage).</w:t>
      </w:r>
    </w:p>
    <w:p w:rsidR="00AE1784" w:rsidRPr="00AE1784" w:rsidRDefault="00AE1784" w:rsidP="00AE1784">
      <w:pPr>
        <w:tabs>
          <w:tab w:val="left" w:pos="529"/>
        </w:tabs>
        <w:spacing w:before="60"/>
        <w:rPr>
          <w:rFonts w:cs="Arial"/>
        </w:rPr>
      </w:pPr>
      <w:r w:rsidRPr="00AE1784">
        <w:rPr>
          <w:rFonts w:cs="Arial"/>
        </w:rPr>
        <w:t>II. Gegen diesen Beschluss kann innert zwanzig Tagen, von der Zustellung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AE1784" w:rsidRPr="00AE1784" w:rsidRDefault="00AE1784" w:rsidP="00AE1784">
      <w:pPr>
        <w:pStyle w:val="00Vorgabetext"/>
        <w:keepNext/>
        <w:keepLines/>
        <w:rPr>
          <w:rFonts w:cs="Arial"/>
        </w:rPr>
      </w:pPr>
      <w:r w:rsidRPr="00AE1784">
        <w:rPr>
          <w:rFonts w:cs="Arial"/>
        </w:rPr>
        <w:t>III. Mitteilung an den Gemeinderat Hinwil, 8340 Hinwil, das Ingenieurbüro F. Boecker, Birmensdorferstrasse 155, 8003 Zürich, sowie an die Direktionen der öffentlichen Bauten und des Innern.</w:t>
      </w:r>
    </w:p>
    <w:p w:rsidR="00AE1784" w:rsidRPr="00AE1784" w:rsidRDefault="00AE1784" w:rsidP="00AE1784">
      <w:pPr>
        <w:pStyle w:val="00Vorgabetext"/>
        <w:keepNext/>
        <w:keepLines/>
        <w:rPr>
          <w:rFonts w:cs="Arial"/>
        </w:rPr>
      </w:pPr>
    </w:p>
    <w:p w:rsidR="00AE1784" w:rsidRPr="00AE1784" w:rsidRDefault="00AE1784" w:rsidP="00AE1784">
      <w:pPr>
        <w:pStyle w:val="00Vorgabetext"/>
        <w:keepNext/>
        <w:keepLines/>
        <w:rPr>
          <w:rFonts w:cs="Arial"/>
        </w:rPr>
      </w:pPr>
    </w:p>
    <w:p w:rsidR="00BE768B" w:rsidRPr="00AE1784" w:rsidRDefault="00AE1784" w:rsidP="00AE1784">
      <w:pPr>
        <w:pStyle w:val="00Vorgabetext"/>
        <w:keepNext/>
        <w:keepLines/>
      </w:pPr>
      <w:r w:rsidRPr="00AE1784">
        <w:rPr>
          <w:rFonts w:cs="Arial"/>
        </w:rPr>
        <w:t>[</w:t>
      </w:r>
      <w:r w:rsidRPr="00AE1784">
        <w:rPr>
          <w:rFonts w:cs="Arial"/>
          <w:i/>
        </w:rPr>
        <w:t>Transkript: OCR (Überarbeitung: Team TKR)/14.09.2017</w:t>
      </w:r>
      <w:bookmarkStart w:id="1" w:name="_GoBack"/>
      <w:r w:rsidRPr="00AE1784">
        <w:rPr>
          <w:rFonts w:cs="Arial"/>
        </w:rPr>
        <w:t xml:space="preserve">] </w:t>
      </w:r>
      <w:bookmarkEnd w:id="1"/>
    </w:p>
    <w:sectPr w:rsidR="00BE768B" w:rsidRPr="00AE178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784" w:rsidRDefault="00AE1784">
      <w:r>
        <w:separator/>
      </w:r>
    </w:p>
    <w:p w:rsidR="00AE1784" w:rsidRDefault="00AE1784"/>
    <w:p w:rsidR="00AE1784" w:rsidRDefault="00AE1784"/>
  </w:endnote>
  <w:endnote w:type="continuationSeparator" w:id="0">
    <w:p w:rsidR="00AE1784" w:rsidRDefault="00AE1784">
      <w:r>
        <w:continuationSeparator/>
      </w:r>
    </w:p>
    <w:p w:rsidR="00AE1784" w:rsidRDefault="00AE1784"/>
    <w:p w:rsidR="00AE1784" w:rsidRDefault="00AE1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784" w:rsidRDefault="00AE1784">
      <w:r>
        <w:separator/>
      </w:r>
    </w:p>
    <w:p w:rsidR="00AE1784" w:rsidRDefault="00AE1784"/>
    <w:p w:rsidR="00AE1784" w:rsidRDefault="00AE1784"/>
  </w:footnote>
  <w:footnote w:type="continuationSeparator" w:id="0">
    <w:p w:rsidR="00AE1784" w:rsidRDefault="00AE1784">
      <w:r>
        <w:continuationSeparator/>
      </w:r>
    </w:p>
    <w:p w:rsidR="00AE1784" w:rsidRDefault="00AE1784"/>
    <w:p w:rsidR="00AE1784" w:rsidRDefault="00AE17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E178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E178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8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E1784"/>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E4834B-A774-4DED-BEE2-41BFADDB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E1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D3693-86F7-4462-8839-09F53D12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448</Words>
  <Characters>2501</Characters>
  <Application>Microsoft Office Word</Application>
  <DocSecurity>0</DocSecurity>
  <PresentationFormat/>
  <Lines>357</Lines>
  <Paragraphs>327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2622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Kläranlage</dc:subject>
  <dc:creator>Staatsarchiv des Kantons Zürich</dc:creator>
  <cp:lastModifiedBy>Mirjam Stadler</cp:lastModifiedBy>
  <cp:revision>1</cp:revision>
  <cp:lastPrinted>2012-06-15T14:37:00Z</cp:lastPrinted>
  <dcterms:created xsi:type="dcterms:W3CDTF">2017-09-14T06:31:00Z</dcterms:created>
  <dcterms:modified xsi:type="dcterms:W3CDTF">2017-09-14T06:31:00Z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