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9108A4" w:rsidTr="00C80ABA">
        <w:trPr>
          <w:trHeight w:val="454"/>
        </w:trPr>
        <w:tc>
          <w:tcPr>
            <w:tcW w:w="1668" w:type="dxa"/>
          </w:tcPr>
          <w:p w:rsidR="00A43AE4" w:rsidRPr="009108A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108A4">
              <w:t>Signatur</w:t>
            </w:r>
          </w:p>
        </w:tc>
        <w:tc>
          <w:tcPr>
            <w:tcW w:w="6721" w:type="dxa"/>
          </w:tcPr>
          <w:p w:rsidR="00A43AE4" w:rsidRPr="009108A4" w:rsidRDefault="009108A4" w:rsidP="00931B1F">
            <w:pPr>
              <w:pStyle w:val="70SignaturX"/>
            </w:pPr>
            <w:r w:rsidRPr="009108A4">
              <w:t>StAZH MM 3.203 RRB 1994/0746</w:t>
            </w:r>
          </w:p>
        </w:tc>
      </w:tr>
      <w:tr w:rsidR="00A43AE4" w:rsidRPr="009108A4" w:rsidTr="00C80ABA">
        <w:trPr>
          <w:trHeight w:val="454"/>
        </w:trPr>
        <w:tc>
          <w:tcPr>
            <w:tcW w:w="1668" w:type="dxa"/>
          </w:tcPr>
          <w:p w:rsidR="00A43AE4" w:rsidRPr="009108A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108A4">
              <w:t>Titel</w:t>
            </w:r>
          </w:p>
        </w:tc>
        <w:tc>
          <w:tcPr>
            <w:tcW w:w="6721" w:type="dxa"/>
          </w:tcPr>
          <w:p w:rsidR="006C59EA" w:rsidRPr="009108A4" w:rsidRDefault="009108A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108A4">
              <w:rPr>
                <w:rFonts w:ascii="Arial Black" w:hAnsi="Arial Black"/>
              </w:rPr>
              <w:t>Schulhausbauten (Projekt)</w:t>
            </w:r>
          </w:p>
        </w:tc>
      </w:tr>
      <w:tr w:rsidR="00BC0931" w:rsidRPr="009108A4" w:rsidTr="00C80ABA">
        <w:trPr>
          <w:trHeight w:val="454"/>
        </w:trPr>
        <w:tc>
          <w:tcPr>
            <w:tcW w:w="1668" w:type="dxa"/>
          </w:tcPr>
          <w:p w:rsidR="00BC0931" w:rsidRPr="009108A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108A4">
              <w:t>Datum</w:t>
            </w:r>
          </w:p>
        </w:tc>
        <w:tc>
          <w:tcPr>
            <w:tcW w:w="6721" w:type="dxa"/>
          </w:tcPr>
          <w:p w:rsidR="00BC0931" w:rsidRPr="009108A4" w:rsidRDefault="009108A4" w:rsidP="00931B1F">
            <w:pPr>
              <w:pStyle w:val="71DatumX"/>
            </w:pPr>
            <w:r w:rsidRPr="009108A4">
              <w:t>16.03.1994</w:t>
            </w:r>
          </w:p>
        </w:tc>
      </w:tr>
      <w:tr w:rsidR="00A43AE4" w:rsidRPr="009108A4" w:rsidTr="00C80ABA">
        <w:trPr>
          <w:trHeight w:val="454"/>
        </w:trPr>
        <w:tc>
          <w:tcPr>
            <w:tcW w:w="1668" w:type="dxa"/>
          </w:tcPr>
          <w:p w:rsidR="00A43AE4" w:rsidRPr="009108A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108A4">
              <w:t>P.</w:t>
            </w:r>
          </w:p>
        </w:tc>
        <w:tc>
          <w:tcPr>
            <w:tcW w:w="6721" w:type="dxa"/>
          </w:tcPr>
          <w:p w:rsidR="00A43AE4" w:rsidRPr="009108A4" w:rsidRDefault="009108A4" w:rsidP="00931B1F">
            <w:pPr>
              <w:pStyle w:val="00Vorgabetext"/>
            </w:pPr>
            <w:r w:rsidRPr="009108A4">
              <w:t>357–358</w:t>
            </w:r>
          </w:p>
        </w:tc>
      </w:tr>
    </w:tbl>
    <w:p w:rsidR="00616641" w:rsidRPr="009108A4" w:rsidRDefault="00616641" w:rsidP="0077655B">
      <w:pPr>
        <w:pStyle w:val="00Vorgabetext"/>
        <w:spacing w:before="0" w:after="60"/>
      </w:pPr>
    </w:p>
    <w:p w:rsidR="009108A4" w:rsidRPr="009108A4" w:rsidRDefault="009108A4" w:rsidP="00BE768B">
      <w:pPr>
        <w:pStyle w:val="00Vorgabetext"/>
        <w:rPr>
          <w:rFonts w:cs="Arial"/>
        </w:rPr>
      </w:pPr>
      <w:bookmarkStart w:id="0" w:name="ContentText"/>
      <w:bookmarkEnd w:id="0"/>
      <w:r w:rsidRPr="009108A4">
        <w:t>[</w:t>
      </w:r>
      <w:r w:rsidRPr="009108A4">
        <w:rPr>
          <w:i/>
        </w:rPr>
        <w:t>p. 357</w:t>
      </w:r>
      <w:r w:rsidRPr="009108A4">
        <w:t xml:space="preserve">] </w:t>
      </w:r>
      <w:r w:rsidRPr="009108A4">
        <w:rPr>
          <w:rFonts w:cs="Arial"/>
        </w:rPr>
        <w:t>Die Schulpflege Nürensdorf ersucht um Genehmigung des Projektes und um Zusicherung eines Kostenanteils für die Erstellung einer Schulsportanlage in der Schulanlage Hatzenbühl in Nürensdorf. Es sind eine Dreifachturnhalle und eine Holzschnitzelheizung vorgesehen. Dem Projekt wurde am 19. Mai 1992 durch die Schulgemeindeversammlung zugestimmt. Anlässlich der Schulgemeindeversammlung wurde folgende Projektänderung beantragt: Anstelle der geplanten Normturnhalle für die Oberstufe mit den Ausmassen 15 x 26 x 7 m sei eine Dreifachturnhalle nach Magglinger Norm von 24 x 44 x 7 m mit einer Schnitzelheizung zu erstellen.</w:t>
      </w:r>
      <w:r w:rsidRPr="009108A4">
        <w:rPr>
          <w:rFonts w:cs="Arial"/>
        </w:rPr>
        <w:t xml:space="preserve"> // [</w:t>
      </w:r>
      <w:r w:rsidRPr="009108A4">
        <w:rPr>
          <w:rFonts w:cs="Arial"/>
          <w:i/>
        </w:rPr>
        <w:t>p. 358</w:t>
      </w:r>
      <w:r w:rsidRPr="009108A4">
        <w:rPr>
          <w:rFonts w:cs="Arial"/>
        </w:rPr>
        <w:t>]</w:t>
      </w:r>
    </w:p>
    <w:p w:rsidR="009108A4" w:rsidRPr="009108A4" w:rsidRDefault="009108A4" w:rsidP="009108A4">
      <w:pPr>
        <w:spacing w:before="60"/>
        <w:rPr>
          <w:rFonts w:cs="Arial"/>
        </w:rPr>
      </w:pPr>
      <w:r w:rsidRPr="009108A4">
        <w:rPr>
          <w:rFonts w:cs="Arial"/>
        </w:rPr>
        <w:t>Das Projekt ist teilweise Gegenstand des mit RRB Nr. 947/1992 genehmigten Raumprogramms für die Erstellung der noch fehlenden Schulsportanlage und die Erweiterung der Schulräume des 1979 erstellten Oberstufenschulhauses Hatzenbühl. Aufgrund der stagnierenden Schülerzahlen wird einstweilen auf eine Schulhauserweiterung verzichtet. Es ist lediglich vorgesehen, die Zentralheizung im Klassentrakt durch eine Holzschnitzelheizung im neuen Turnhallengebäude zu ersetzen. Die Heizung im Klassentrakt soll ausserhalb der Heizperiode für die Warmwasseraufbereitung im Klassentrakt und in der Turnhalle verwendet werden.</w:t>
      </w:r>
    </w:p>
    <w:p w:rsidR="009108A4" w:rsidRPr="009108A4" w:rsidRDefault="009108A4" w:rsidP="009108A4">
      <w:pPr>
        <w:spacing w:before="60"/>
        <w:rPr>
          <w:rFonts w:cs="Arial"/>
        </w:rPr>
      </w:pPr>
      <w:r w:rsidRPr="009108A4">
        <w:rPr>
          <w:rFonts w:cs="Arial"/>
        </w:rPr>
        <w:t>Das Bauprogramm für die Sportanlage setzt sich wie folgt zusammen: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074"/>
        <w:gridCol w:w="1452"/>
      </w:tblGrid>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Untergeschoss:</w:t>
            </w:r>
          </w:p>
        </w:tc>
        <w:tc>
          <w:tcPr>
            <w:tcW w:w="1452" w:type="dxa"/>
            <w:shd w:val="clear" w:color="auto" w:fill="FFFFFF"/>
          </w:tcPr>
          <w:p w:rsidR="009108A4" w:rsidRPr="009108A4" w:rsidRDefault="009108A4" w:rsidP="000A2F95">
            <w:pPr>
              <w:spacing w:before="60"/>
              <w:jc w:val="right"/>
              <w:rPr>
                <w:rFonts w:cs="Arial"/>
                <w:szCs w:val="10"/>
              </w:rPr>
            </w:pP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1 Dreifachturnhalle, aufteilbar in drei Einzelhallen</w:t>
            </w:r>
          </w:p>
        </w:tc>
        <w:tc>
          <w:tcPr>
            <w:tcW w:w="1452" w:type="dxa"/>
            <w:shd w:val="clear" w:color="auto" w:fill="FFFFFF"/>
          </w:tcPr>
          <w:p w:rsidR="009108A4" w:rsidRPr="009108A4" w:rsidRDefault="009108A4" w:rsidP="000A2F95">
            <w:pPr>
              <w:spacing w:before="60"/>
              <w:jc w:val="right"/>
              <w:rPr>
                <w:rFonts w:cs="Arial"/>
              </w:rPr>
            </w:pPr>
            <w:r w:rsidRPr="009108A4">
              <w:rPr>
                <w:rFonts w:cs="Arial"/>
              </w:rPr>
              <w:t>24 x 44 x 7 m</w:t>
            </w:r>
          </w:p>
        </w:tc>
      </w:tr>
      <w:tr w:rsidR="009108A4" w:rsidRPr="009108A4" w:rsidTr="000A2F95">
        <w:trPr>
          <w:trHeight w:val="283"/>
        </w:trPr>
        <w:tc>
          <w:tcPr>
            <w:tcW w:w="7074" w:type="dxa"/>
            <w:shd w:val="clear" w:color="auto" w:fill="FFFFFF"/>
          </w:tcPr>
          <w:p w:rsidR="009108A4" w:rsidRPr="009108A4" w:rsidRDefault="009108A4" w:rsidP="000A2F95">
            <w:pPr>
              <w:tabs>
                <w:tab w:val="left" w:pos="192"/>
              </w:tabs>
              <w:spacing w:before="60"/>
              <w:rPr>
                <w:rFonts w:cs="Arial"/>
              </w:rPr>
            </w:pPr>
            <w:r w:rsidRPr="009108A4">
              <w:rPr>
                <w:rFonts w:cs="Arial"/>
              </w:rPr>
              <w:t>1 Geräteraum</w:t>
            </w:r>
          </w:p>
          <w:p w:rsidR="009108A4" w:rsidRPr="009108A4" w:rsidRDefault="009108A4" w:rsidP="000A2F95">
            <w:pPr>
              <w:tabs>
                <w:tab w:val="left" w:pos="221"/>
              </w:tabs>
              <w:spacing w:before="60"/>
              <w:rPr>
                <w:rFonts w:cs="Arial"/>
              </w:rPr>
            </w:pPr>
            <w:r w:rsidRPr="009108A4">
              <w:rPr>
                <w:rFonts w:cs="Arial"/>
              </w:rPr>
              <w:t>2 Doppelgarderobenanlagen mit Dusch- und</w:t>
            </w:r>
          </w:p>
        </w:tc>
        <w:tc>
          <w:tcPr>
            <w:tcW w:w="1452" w:type="dxa"/>
            <w:shd w:val="clear" w:color="auto" w:fill="FFFFFF"/>
          </w:tcPr>
          <w:p w:rsidR="009108A4" w:rsidRPr="009108A4" w:rsidRDefault="009108A4" w:rsidP="000A2F95">
            <w:pPr>
              <w:spacing w:before="60"/>
              <w:jc w:val="right"/>
              <w:rPr>
                <w:rFonts w:cs="Arial"/>
              </w:rPr>
            </w:pPr>
            <w:r w:rsidRPr="009108A4">
              <w:rPr>
                <w:rFonts w:cs="Arial"/>
              </w:rPr>
              <w:t>168 m</w:t>
            </w:r>
            <w:r w:rsidRPr="009108A4">
              <w:rPr>
                <w:rFonts w:cs="Arial"/>
                <w:vertAlign w:val="superscript"/>
              </w:rPr>
              <w:t>2</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Trockenräumen</w:t>
            </w:r>
          </w:p>
        </w:tc>
        <w:tc>
          <w:tcPr>
            <w:tcW w:w="1452" w:type="dxa"/>
            <w:shd w:val="clear" w:color="auto" w:fill="FFFFFF"/>
          </w:tcPr>
          <w:p w:rsidR="009108A4" w:rsidRPr="009108A4" w:rsidRDefault="009108A4" w:rsidP="000A2F95">
            <w:pPr>
              <w:spacing w:before="60"/>
              <w:jc w:val="right"/>
              <w:rPr>
                <w:rFonts w:cs="Arial"/>
              </w:rPr>
            </w:pPr>
            <w:r w:rsidRPr="009108A4">
              <w:rPr>
                <w:rFonts w:cs="Arial"/>
              </w:rPr>
              <w:t>zu 86 m</w:t>
            </w:r>
            <w:r w:rsidRPr="009108A4">
              <w:rPr>
                <w:rFonts w:cs="Arial"/>
                <w:vertAlign w:val="superscript"/>
              </w:rPr>
              <w:t>2</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1 Lehrergarderobe/Sanitätsraum mit zwei Duschkabinen</w:t>
            </w:r>
          </w:p>
        </w:tc>
        <w:tc>
          <w:tcPr>
            <w:tcW w:w="1452" w:type="dxa"/>
            <w:shd w:val="clear" w:color="auto" w:fill="FFFFFF"/>
          </w:tcPr>
          <w:p w:rsidR="009108A4" w:rsidRPr="009108A4" w:rsidRDefault="009108A4" w:rsidP="000A2F95">
            <w:pPr>
              <w:spacing w:before="60"/>
              <w:jc w:val="right"/>
              <w:rPr>
                <w:rFonts w:cs="Arial"/>
              </w:rPr>
            </w:pPr>
            <w:r w:rsidRPr="009108A4">
              <w:rPr>
                <w:rFonts w:cs="Arial"/>
              </w:rPr>
              <w:t>28 m</w:t>
            </w:r>
            <w:r w:rsidRPr="009108A4">
              <w:rPr>
                <w:rFonts w:cs="Arial"/>
                <w:vertAlign w:val="superscript"/>
              </w:rPr>
              <w:t>2</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1 Mehrzweckraum (Theorie, Kraft und Gymnastik) 1 Invaliden-WC</w:t>
            </w:r>
          </w:p>
        </w:tc>
        <w:tc>
          <w:tcPr>
            <w:tcW w:w="1452" w:type="dxa"/>
            <w:shd w:val="clear" w:color="auto" w:fill="FFFFFF"/>
          </w:tcPr>
          <w:p w:rsidR="009108A4" w:rsidRPr="009108A4" w:rsidRDefault="009108A4" w:rsidP="000A2F95">
            <w:pPr>
              <w:spacing w:before="60"/>
              <w:jc w:val="right"/>
              <w:rPr>
                <w:rFonts w:cs="Arial"/>
              </w:rPr>
            </w:pPr>
            <w:r w:rsidRPr="009108A4">
              <w:rPr>
                <w:rFonts w:cs="Arial"/>
              </w:rPr>
              <w:t>56 m</w:t>
            </w:r>
            <w:r w:rsidRPr="009108A4">
              <w:rPr>
                <w:rFonts w:cs="Arial"/>
                <w:vertAlign w:val="superscript"/>
              </w:rPr>
              <w:t>2</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 WC-Anlagen für Damen und Herren Erdgeschoss:</w:t>
            </w:r>
          </w:p>
        </w:tc>
        <w:tc>
          <w:tcPr>
            <w:tcW w:w="1452" w:type="dxa"/>
            <w:shd w:val="clear" w:color="auto" w:fill="FFFFFF"/>
          </w:tcPr>
          <w:p w:rsidR="009108A4" w:rsidRPr="009108A4" w:rsidRDefault="009108A4" w:rsidP="000A2F95">
            <w:pPr>
              <w:spacing w:before="60"/>
              <w:jc w:val="right"/>
              <w:rPr>
                <w:rFonts w:cs="Arial"/>
              </w:rPr>
            </w:pPr>
            <w:r w:rsidRPr="009108A4">
              <w:rPr>
                <w:rFonts w:cs="Arial"/>
              </w:rPr>
              <w:t>je 1</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1 Aussengeräteraum</w:t>
            </w:r>
          </w:p>
        </w:tc>
        <w:tc>
          <w:tcPr>
            <w:tcW w:w="1452" w:type="dxa"/>
            <w:shd w:val="clear" w:color="auto" w:fill="FFFFFF"/>
          </w:tcPr>
          <w:p w:rsidR="009108A4" w:rsidRPr="009108A4" w:rsidRDefault="009108A4" w:rsidP="000A2F95">
            <w:pPr>
              <w:spacing w:before="60"/>
              <w:jc w:val="right"/>
              <w:rPr>
                <w:rFonts w:cs="Arial"/>
              </w:rPr>
            </w:pPr>
            <w:r w:rsidRPr="009108A4">
              <w:rPr>
                <w:rFonts w:cs="Arial"/>
              </w:rPr>
              <w:t>35 m</w:t>
            </w:r>
            <w:r w:rsidRPr="009108A4">
              <w:rPr>
                <w:rFonts w:cs="Arial"/>
                <w:vertAlign w:val="superscript"/>
              </w:rPr>
              <w:t>2</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1 Werkstatt/Geräteraum für den Abwart</w:t>
            </w:r>
          </w:p>
          <w:p w:rsidR="009108A4" w:rsidRPr="009108A4" w:rsidRDefault="009108A4" w:rsidP="000A2F95">
            <w:pPr>
              <w:tabs>
                <w:tab w:val="left" w:pos="211"/>
              </w:tabs>
              <w:spacing w:before="60"/>
              <w:rPr>
                <w:rFonts w:cs="Arial"/>
              </w:rPr>
            </w:pPr>
            <w:r w:rsidRPr="009108A4">
              <w:rPr>
                <w:rFonts w:cs="Arial"/>
              </w:rPr>
              <w:t>- Eingangshalle mit Anrichteraum</w:t>
            </w:r>
          </w:p>
          <w:p w:rsidR="009108A4" w:rsidRPr="009108A4" w:rsidRDefault="009108A4" w:rsidP="000A2F95">
            <w:pPr>
              <w:tabs>
                <w:tab w:val="left" w:pos="206"/>
              </w:tabs>
              <w:spacing w:before="60"/>
              <w:rPr>
                <w:rFonts w:cs="Arial"/>
              </w:rPr>
            </w:pPr>
            <w:r w:rsidRPr="009108A4">
              <w:rPr>
                <w:rFonts w:cs="Arial"/>
              </w:rPr>
              <w:t>- Zuschauertribüne mit Sitzstufen</w:t>
            </w:r>
          </w:p>
          <w:p w:rsidR="009108A4" w:rsidRPr="009108A4" w:rsidRDefault="009108A4" w:rsidP="000A2F95">
            <w:pPr>
              <w:tabs>
                <w:tab w:val="left" w:pos="211"/>
              </w:tabs>
              <w:spacing w:before="60"/>
              <w:rPr>
                <w:rFonts w:cs="Arial"/>
              </w:rPr>
            </w:pPr>
            <w:r w:rsidRPr="009108A4">
              <w:rPr>
                <w:rFonts w:cs="Arial"/>
              </w:rPr>
              <w:t>- Putzraum</w:t>
            </w:r>
          </w:p>
          <w:p w:rsidR="009108A4" w:rsidRPr="009108A4" w:rsidRDefault="009108A4" w:rsidP="000A2F95">
            <w:pPr>
              <w:tabs>
                <w:tab w:val="left" w:pos="211"/>
              </w:tabs>
              <w:spacing w:before="60"/>
              <w:rPr>
                <w:rFonts w:cs="Arial"/>
              </w:rPr>
            </w:pPr>
            <w:r w:rsidRPr="009108A4">
              <w:rPr>
                <w:rFonts w:cs="Arial"/>
              </w:rPr>
              <w:t>- Garage und Untergeschossräume der Abwartwohnung</w:t>
            </w:r>
          </w:p>
          <w:p w:rsidR="009108A4" w:rsidRPr="009108A4" w:rsidRDefault="009108A4" w:rsidP="000A2F95">
            <w:pPr>
              <w:tabs>
                <w:tab w:val="left" w:pos="211"/>
              </w:tabs>
              <w:spacing w:before="60"/>
              <w:rPr>
                <w:rFonts w:cs="Arial"/>
              </w:rPr>
            </w:pPr>
            <w:r w:rsidRPr="009108A4">
              <w:rPr>
                <w:rFonts w:cs="Arial"/>
              </w:rPr>
              <w:t>Obergeschoss:</w:t>
            </w:r>
          </w:p>
        </w:tc>
        <w:tc>
          <w:tcPr>
            <w:tcW w:w="1452" w:type="dxa"/>
            <w:shd w:val="clear" w:color="auto" w:fill="FFFFFF"/>
          </w:tcPr>
          <w:p w:rsidR="009108A4" w:rsidRPr="009108A4" w:rsidRDefault="009108A4" w:rsidP="000A2F95">
            <w:pPr>
              <w:spacing w:before="60"/>
              <w:jc w:val="right"/>
              <w:rPr>
                <w:rFonts w:cs="Arial"/>
              </w:rPr>
            </w:pPr>
            <w:r w:rsidRPr="009108A4">
              <w:rPr>
                <w:rFonts w:cs="Arial"/>
              </w:rPr>
              <w:t>45 m</w:t>
            </w:r>
            <w:r w:rsidRPr="009108A4">
              <w:rPr>
                <w:rFonts w:cs="Arial"/>
                <w:vertAlign w:val="superscript"/>
              </w:rPr>
              <w:t>2</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1 Abwartwohnung Aussenanlagen:</w:t>
            </w:r>
          </w:p>
        </w:tc>
        <w:tc>
          <w:tcPr>
            <w:tcW w:w="1452" w:type="dxa"/>
            <w:shd w:val="clear" w:color="auto" w:fill="FFFFFF"/>
          </w:tcPr>
          <w:p w:rsidR="009108A4" w:rsidRPr="009108A4" w:rsidRDefault="009108A4" w:rsidP="000A2F95">
            <w:pPr>
              <w:spacing w:before="60"/>
              <w:jc w:val="right"/>
              <w:rPr>
                <w:rFonts w:cs="Arial"/>
              </w:rPr>
            </w:pPr>
            <w:r w:rsidRPr="009108A4">
              <w:rPr>
                <w:rFonts w:cs="Arial"/>
              </w:rPr>
              <w:t>128 m</w:t>
            </w:r>
            <w:r w:rsidRPr="009108A4">
              <w:rPr>
                <w:rFonts w:cs="Arial"/>
                <w:vertAlign w:val="superscript"/>
              </w:rPr>
              <w:t>2</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1 Spielwiese</w:t>
            </w:r>
          </w:p>
        </w:tc>
        <w:tc>
          <w:tcPr>
            <w:tcW w:w="1452" w:type="dxa"/>
            <w:shd w:val="clear" w:color="auto" w:fill="FFFFFF"/>
          </w:tcPr>
          <w:p w:rsidR="009108A4" w:rsidRPr="009108A4" w:rsidRDefault="009108A4" w:rsidP="000A2F95">
            <w:pPr>
              <w:spacing w:before="60"/>
              <w:jc w:val="right"/>
              <w:rPr>
                <w:rFonts w:cs="Arial"/>
              </w:rPr>
            </w:pPr>
            <w:r w:rsidRPr="009108A4">
              <w:rPr>
                <w:rFonts w:cs="Arial"/>
              </w:rPr>
              <w:t>45 x 90 m</w:t>
            </w:r>
          </w:p>
        </w:tc>
      </w:tr>
      <w:tr w:rsidR="009108A4" w:rsidRPr="009108A4" w:rsidTr="000A2F95">
        <w:trPr>
          <w:trHeight w:val="283"/>
        </w:trPr>
        <w:tc>
          <w:tcPr>
            <w:tcW w:w="7074" w:type="dxa"/>
            <w:shd w:val="clear" w:color="auto" w:fill="FFFFFF"/>
          </w:tcPr>
          <w:p w:rsidR="009108A4" w:rsidRPr="009108A4" w:rsidRDefault="009108A4" w:rsidP="000A2F95">
            <w:pPr>
              <w:spacing w:before="60"/>
              <w:rPr>
                <w:rFonts w:cs="Arial"/>
              </w:rPr>
            </w:pPr>
            <w:r w:rsidRPr="009108A4">
              <w:rPr>
                <w:rFonts w:cs="Arial"/>
              </w:rPr>
              <w:t>1 Hartplatz</w:t>
            </w:r>
          </w:p>
          <w:p w:rsidR="009108A4" w:rsidRPr="009108A4" w:rsidRDefault="009108A4" w:rsidP="000A2F95">
            <w:pPr>
              <w:spacing w:before="60"/>
              <w:rPr>
                <w:rFonts w:cs="Arial"/>
              </w:rPr>
            </w:pPr>
            <w:r w:rsidRPr="009108A4">
              <w:rPr>
                <w:rFonts w:cs="Arial"/>
              </w:rPr>
              <w:t>1 Kugelstossanlage</w:t>
            </w:r>
          </w:p>
          <w:p w:rsidR="009108A4" w:rsidRPr="009108A4" w:rsidRDefault="009108A4" w:rsidP="000A2F95">
            <w:pPr>
              <w:spacing w:before="60"/>
              <w:rPr>
                <w:rFonts w:cs="Arial"/>
              </w:rPr>
            </w:pPr>
            <w:r w:rsidRPr="009108A4">
              <w:rPr>
                <w:rFonts w:cs="Arial"/>
              </w:rPr>
              <w:t>1 Weitsprunggrube</w:t>
            </w:r>
          </w:p>
          <w:p w:rsidR="009108A4" w:rsidRPr="009108A4" w:rsidRDefault="009108A4" w:rsidP="000A2F95">
            <w:pPr>
              <w:spacing w:before="60"/>
              <w:rPr>
                <w:rFonts w:cs="Arial"/>
              </w:rPr>
            </w:pPr>
            <w:r w:rsidRPr="009108A4">
              <w:rPr>
                <w:rFonts w:cs="Arial"/>
              </w:rPr>
              <w:t>1 100 m-Schnellaufbahn zu 6 Bahnen</w:t>
            </w:r>
          </w:p>
          <w:p w:rsidR="009108A4" w:rsidRPr="009108A4" w:rsidRDefault="009108A4" w:rsidP="000A2F95">
            <w:pPr>
              <w:tabs>
                <w:tab w:val="left" w:pos="211"/>
              </w:tabs>
              <w:spacing w:before="60"/>
              <w:rPr>
                <w:rFonts w:cs="Arial"/>
              </w:rPr>
            </w:pPr>
            <w:r w:rsidRPr="009108A4">
              <w:rPr>
                <w:rFonts w:cs="Arial"/>
              </w:rPr>
              <w:t>- Veloabstellplätze</w:t>
            </w:r>
          </w:p>
          <w:p w:rsidR="009108A4" w:rsidRPr="009108A4" w:rsidRDefault="009108A4" w:rsidP="000A2F95">
            <w:pPr>
              <w:tabs>
                <w:tab w:val="left" w:pos="216"/>
              </w:tabs>
              <w:spacing w:before="60"/>
              <w:rPr>
                <w:rFonts w:cs="Arial"/>
              </w:rPr>
            </w:pPr>
            <w:r w:rsidRPr="009108A4">
              <w:rPr>
                <w:rFonts w:cs="Arial"/>
              </w:rPr>
              <w:t>- Parkplätze für ausserschulischen Sportbetrieb</w:t>
            </w:r>
          </w:p>
          <w:p w:rsidR="009108A4" w:rsidRPr="009108A4" w:rsidRDefault="009108A4" w:rsidP="000A2F95">
            <w:pPr>
              <w:tabs>
                <w:tab w:val="left" w:pos="211"/>
              </w:tabs>
              <w:spacing w:before="60"/>
              <w:rPr>
                <w:rFonts w:cs="Arial"/>
              </w:rPr>
            </w:pPr>
            <w:r w:rsidRPr="009108A4">
              <w:rPr>
                <w:rFonts w:cs="Arial"/>
              </w:rPr>
              <w:t>- Zufahrt zu Schnitzelsilo</w:t>
            </w:r>
          </w:p>
        </w:tc>
        <w:tc>
          <w:tcPr>
            <w:tcW w:w="1452" w:type="dxa"/>
            <w:shd w:val="clear" w:color="auto" w:fill="FFFFFF"/>
          </w:tcPr>
          <w:p w:rsidR="009108A4" w:rsidRPr="009108A4" w:rsidRDefault="009108A4" w:rsidP="000A2F95">
            <w:pPr>
              <w:spacing w:before="60"/>
              <w:jc w:val="right"/>
              <w:rPr>
                <w:rFonts w:cs="Arial"/>
              </w:rPr>
            </w:pPr>
            <w:r w:rsidRPr="009108A4">
              <w:rPr>
                <w:rFonts w:cs="Arial"/>
              </w:rPr>
              <w:t>27 x 40 m</w:t>
            </w:r>
          </w:p>
        </w:tc>
      </w:tr>
    </w:tbl>
    <w:p w:rsidR="009108A4" w:rsidRPr="009108A4" w:rsidRDefault="009108A4" w:rsidP="009108A4">
      <w:pPr>
        <w:spacing w:before="60"/>
        <w:rPr>
          <w:rFonts w:cs="Arial"/>
        </w:rPr>
      </w:pPr>
      <w:r w:rsidRPr="009108A4">
        <w:rPr>
          <w:rFonts w:cs="Arial"/>
        </w:rPr>
        <w:t>Das Bauvorhaben kommt auf ein nordöstlich des Klassentrakts und längs der Hatzenbühlstrasse liegendes Nachbargrundstück zu stehen. Die Schnellaufbahn ist auf der bestehenden Fussballanlage, östlich der Spielwiese, vorgesehen. Sie soll längs des Fussballspielfeldes und neben dem Garderobengebäude erstellt werden.</w:t>
      </w:r>
    </w:p>
    <w:p w:rsidR="009108A4" w:rsidRPr="009108A4" w:rsidRDefault="009108A4" w:rsidP="009108A4">
      <w:pPr>
        <w:spacing w:before="60"/>
        <w:rPr>
          <w:rFonts w:cs="Arial"/>
        </w:rPr>
      </w:pPr>
      <w:r w:rsidRPr="009108A4">
        <w:rPr>
          <w:rFonts w:cs="Arial"/>
        </w:rPr>
        <w:t>Das Hochbauamt hat das Projekt geprüft. Es empfiehlt, das Bauvorhaben zu genehmigen. Das Gutachten des Hochbauamtes wird der Bauherrschaft zur Verfügung gestellt; die darin enthaltenen Bemerkungen müssen bei der Projektierung beachtet werden.</w:t>
      </w:r>
    </w:p>
    <w:p w:rsidR="009108A4" w:rsidRPr="009108A4" w:rsidRDefault="009108A4" w:rsidP="009108A4">
      <w:pPr>
        <w:spacing w:before="60"/>
        <w:rPr>
          <w:rFonts w:cs="Arial"/>
        </w:rPr>
      </w:pPr>
      <w:r w:rsidRPr="009108A4">
        <w:rPr>
          <w:rFonts w:cs="Arial"/>
        </w:rPr>
        <w:t>Gemäss dem detaillierten Kostenvoranschlag (Preisstand 1. Oktober 1992) werden die Gesamtkosten wie folgt aufgeteilt: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140"/>
        <w:gridCol w:w="1319"/>
        <w:gridCol w:w="1092"/>
      </w:tblGrid>
      <w:tr w:rsidR="009108A4" w:rsidRPr="009108A4" w:rsidTr="000A2F95">
        <w:trPr>
          <w:trHeight w:val="283"/>
        </w:trPr>
        <w:tc>
          <w:tcPr>
            <w:tcW w:w="0" w:type="auto"/>
            <w:shd w:val="clear" w:color="auto" w:fill="FFFFFF"/>
          </w:tcPr>
          <w:p w:rsidR="009108A4" w:rsidRPr="009108A4" w:rsidRDefault="009108A4" w:rsidP="000A2F95">
            <w:pPr>
              <w:spacing w:before="60"/>
              <w:rPr>
                <w:rFonts w:cs="Arial"/>
                <w:szCs w:val="10"/>
              </w:rPr>
            </w:pPr>
          </w:p>
        </w:tc>
        <w:tc>
          <w:tcPr>
            <w:tcW w:w="0" w:type="auto"/>
            <w:shd w:val="clear" w:color="auto" w:fill="FFFFFF"/>
          </w:tcPr>
          <w:p w:rsidR="009108A4" w:rsidRPr="009108A4" w:rsidRDefault="009108A4" w:rsidP="000A2F95">
            <w:pPr>
              <w:spacing w:before="60"/>
              <w:rPr>
                <w:rFonts w:cs="Arial"/>
              </w:rPr>
            </w:pPr>
            <w:r w:rsidRPr="009108A4">
              <w:rPr>
                <w:rFonts w:cs="Arial"/>
              </w:rPr>
              <w:t>Kosten-</w:t>
            </w:r>
          </w:p>
          <w:p w:rsidR="009108A4" w:rsidRPr="009108A4" w:rsidRDefault="009108A4" w:rsidP="000A2F95">
            <w:pPr>
              <w:spacing w:before="60"/>
              <w:rPr>
                <w:rFonts w:cs="Arial"/>
              </w:rPr>
            </w:pPr>
            <w:r w:rsidRPr="009108A4">
              <w:rPr>
                <w:rFonts w:cs="Arial"/>
              </w:rPr>
              <w:t>voranschlag</w:t>
            </w:r>
          </w:p>
          <w:p w:rsidR="009108A4" w:rsidRPr="009108A4" w:rsidRDefault="009108A4" w:rsidP="000A2F95">
            <w:pPr>
              <w:spacing w:before="60"/>
              <w:rPr>
                <w:rFonts w:cs="Arial"/>
              </w:rPr>
            </w:pPr>
            <w:r w:rsidRPr="009108A4">
              <w:rPr>
                <w:rFonts w:cs="Arial"/>
              </w:rPr>
              <w:t>Fr.</w:t>
            </w:r>
          </w:p>
        </w:tc>
        <w:tc>
          <w:tcPr>
            <w:tcW w:w="0" w:type="auto"/>
            <w:shd w:val="clear" w:color="auto" w:fill="FFFFFF"/>
          </w:tcPr>
          <w:p w:rsidR="009108A4" w:rsidRPr="009108A4" w:rsidRDefault="009108A4" w:rsidP="000A2F95">
            <w:pPr>
              <w:spacing w:before="60"/>
              <w:rPr>
                <w:rFonts w:cs="Arial"/>
              </w:rPr>
            </w:pPr>
            <w:r w:rsidRPr="009108A4">
              <w:rPr>
                <w:rFonts w:cs="Arial"/>
              </w:rPr>
              <w:t>Beitrags-</w:t>
            </w:r>
          </w:p>
          <w:p w:rsidR="009108A4" w:rsidRPr="009108A4" w:rsidRDefault="009108A4" w:rsidP="000A2F95">
            <w:pPr>
              <w:spacing w:before="60"/>
              <w:rPr>
                <w:rFonts w:cs="Arial"/>
              </w:rPr>
            </w:pPr>
            <w:r w:rsidRPr="009108A4">
              <w:rPr>
                <w:rFonts w:cs="Arial"/>
              </w:rPr>
              <w:t>berechtigt</w:t>
            </w:r>
          </w:p>
          <w:p w:rsidR="009108A4" w:rsidRPr="009108A4" w:rsidRDefault="009108A4" w:rsidP="000A2F95">
            <w:pPr>
              <w:spacing w:before="60"/>
              <w:rPr>
                <w:rFonts w:cs="Arial"/>
              </w:rPr>
            </w:pPr>
            <w:r w:rsidRPr="009108A4">
              <w:rPr>
                <w:rFonts w:cs="Arial"/>
              </w:rPr>
              <w:t>Fr.</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1. Vorbereitungsarbeiten</w:t>
            </w:r>
          </w:p>
        </w:tc>
        <w:tc>
          <w:tcPr>
            <w:tcW w:w="0" w:type="auto"/>
            <w:shd w:val="clear" w:color="auto" w:fill="FFFFFF"/>
          </w:tcPr>
          <w:p w:rsidR="009108A4" w:rsidRPr="009108A4" w:rsidRDefault="009108A4" w:rsidP="000A2F95">
            <w:pPr>
              <w:spacing w:before="60"/>
              <w:jc w:val="right"/>
              <w:rPr>
                <w:rFonts w:cs="Arial"/>
              </w:rPr>
            </w:pPr>
            <w:r w:rsidRPr="009108A4">
              <w:rPr>
                <w:rFonts w:cs="Arial"/>
              </w:rPr>
              <w:t>450 000</w:t>
            </w:r>
          </w:p>
        </w:tc>
        <w:tc>
          <w:tcPr>
            <w:tcW w:w="0" w:type="auto"/>
            <w:shd w:val="clear" w:color="auto" w:fill="FFFFFF"/>
          </w:tcPr>
          <w:p w:rsidR="009108A4" w:rsidRPr="009108A4" w:rsidRDefault="009108A4" w:rsidP="000A2F95">
            <w:pPr>
              <w:spacing w:before="60"/>
              <w:jc w:val="right"/>
              <w:rPr>
                <w:rFonts w:cs="Arial"/>
              </w:rPr>
            </w:pPr>
            <w:r w:rsidRPr="009108A4">
              <w:rPr>
                <w:rFonts w:cs="Arial"/>
              </w:rPr>
              <w:t>401 500</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2. Gebäude und Betriebseinrichtungen</w:t>
            </w:r>
          </w:p>
        </w:tc>
        <w:tc>
          <w:tcPr>
            <w:tcW w:w="0" w:type="auto"/>
            <w:shd w:val="clear" w:color="auto" w:fill="FFFFFF"/>
          </w:tcPr>
          <w:p w:rsidR="009108A4" w:rsidRPr="009108A4" w:rsidRDefault="009108A4" w:rsidP="000A2F95">
            <w:pPr>
              <w:spacing w:before="60"/>
              <w:jc w:val="right"/>
              <w:rPr>
                <w:rFonts w:cs="Arial"/>
              </w:rPr>
            </w:pPr>
            <w:r w:rsidRPr="009108A4">
              <w:rPr>
                <w:rFonts w:cs="Arial"/>
              </w:rPr>
              <w:t>6 188 500</w:t>
            </w:r>
          </w:p>
        </w:tc>
        <w:tc>
          <w:tcPr>
            <w:tcW w:w="0" w:type="auto"/>
            <w:shd w:val="clear" w:color="auto" w:fill="FFFFFF"/>
          </w:tcPr>
          <w:p w:rsidR="009108A4" w:rsidRPr="009108A4" w:rsidRDefault="009108A4" w:rsidP="000A2F95">
            <w:pPr>
              <w:spacing w:before="60"/>
              <w:jc w:val="right"/>
              <w:rPr>
                <w:rFonts w:cs="Arial"/>
              </w:rPr>
            </w:pPr>
            <w:r w:rsidRPr="009108A4">
              <w:rPr>
                <w:rFonts w:cs="Arial"/>
              </w:rPr>
              <w:t>2 012 500</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3. Umgebung</w:t>
            </w:r>
          </w:p>
        </w:tc>
        <w:tc>
          <w:tcPr>
            <w:tcW w:w="0" w:type="auto"/>
            <w:shd w:val="clear" w:color="auto" w:fill="FFFFFF"/>
          </w:tcPr>
          <w:p w:rsidR="009108A4" w:rsidRPr="009108A4" w:rsidRDefault="009108A4" w:rsidP="000A2F95">
            <w:pPr>
              <w:spacing w:before="60"/>
              <w:jc w:val="right"/>
              <w:rPr>
                <w:rFonts w:cs="Arial"/>
              </w:rPr>
            </w:pPr>
            <w:r w:rsidRPr="009108A4">
              <w:rPr>
                <w:rFonts w:cs="Arial"/>
              </w:rPr>
              <w:t>1 090 000</w:t>
            </w:r>
          </w:p>
        </w:tc>
        <w:tc>
          <w:tcPr>
            <w:tcW w:w="0" w:type="auto"/>
            <w:shd w:val="clear" w:color="auto" w:fill="FFFFFF"/>
          </w:tcPr>
          <w:p w:rsidR="009108A4" w:rsidRPr="009108A4" w:rsidRDefault="009108A4" w:rsidP="000A2F95">
            <w:pPr>
              <w:spacing w:before="60"/>
              <w:jc w:val="right"/>
              <w:rPr>
                <w:rFonts w:cs="Arial"/>
              </w:rPr>
            </w:pPr>
            <w:r w:rsidRPr="009108A4">
              <w:rPr>
                <w:rFonts w:cs="Arial"/>
              </w:rPr>
              <w:t>763 000</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4. Baunebenkosten</w:t>
            </w:r>
          </w:p>
        </w:tc>
        <w:tc>
          <w:tcPr>
            <w:tcW w:w="0" w:type="auto"/>
            <w:shd w:val="clear" w:color="auto" w:fill="FFFFFF"/>
          </w:tcPr>
          <w:p w:rsidR="009108A4" w:rsidRPr="009108A4" w:rsidRDefault="009108A4" w:rsidP="000A2F95">
            <w:pPr>
              <w:spacing w:before="60"/>
              <w:jc w:val="right"/>
              <w:rPr>
                <w:rFonts w:cs="Arial"/>
              </w:rPr>
            </w:pPr>
            <w:r w:rsidRPr="009108A4">
              <w:rPr>
                <w:rFonts w:cs="Arial"/>
              </w:rPr>
              <w:t>690 000</w:t>
            </w:r>
          </w:p>
        </w:tc>
        <w:tc>
          <w:tcPr>
            <w:tcW w:w="0" w:type="auto"/>
            <w:shd w:val="clear" w:color="auto" w:fill="FFFFFF"/>
          </w:tcPr>
          <w:p w:rsidR="009108A4" w:rsidRPr="009108A4" w:rsidRDefault="009108A4" w:rsidP="000A2F95">
            <w:pPr>
              <w:spacing w:before="60"/>
              <w:jc w:val="right"/>
              <w:rPr>
                <w:rFonts w:cs="Arial"/>
              </w:rPr>
            </w:pPr>
            <w:r w:rsidRPr="009108A4">
              <w:rPr>
                <w:rFonts w:cs="Arial"/>
              </w:rPr>
              <w:t>62 300</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5. Ausstattungen</w:t>
            </w:r>
          </w:p>
        </w:tc>
        <w:tc>
          <w:tcPr>
            <w:tcW w:w="0" w:type="auto"/>
            <w:shd w:val="clear" w:color="auto" w:fill="FFFFFF"/>
          </w:tcPr>
          <w:p w:rsidR="009108A4" w:rsidRPr="009108A4" w:rsidRDefault="009108A4" w:rsidP="000A2F95">
            <w:pPr>
              <w:spacing w:before="60"/>
              <w:jc w:val="right"/>
              <w:rPr>
                <w:rFonts w:cs="Arial"/>
              </w:rPr>
            </w:pPr>
            <w:r w:rsidRPr="009108A4">
              <w:rPr>
                <w:rFonts w:cs="Arial"/>
              </w:rPr>
              <w:t>381 500</w:t>
            </w:r>
          </w:p>
        </w:tc>
        <w:tc>
          <w:tcPr>
            <w:tcW w:w="0" w:type="auto"/>
            <w:shd w:val="clear" w:color="auto" w:fill="FFFFFF"/>
          </w:tcPr>
          <w:p w:rsidR="009108A4" w:rsidRPr="009108A4" w:rsidRDefault="009108A4" w:rsidP="000A2F95">
            <w:pPr>
              <w:spacing w:before="60"/>
              <w:jc w:val="right"/>
              <w:rPr>
                <w:rFonts w:cs="Arial"/>
              </w:rPr>
            </w:pPr>
            <w:r w:rsidRPr="009108A4">
              <w:rPr>
                <w:rFonts w:cs="Arial"/>
              </w:rPr>
              <w:t>20 200</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Total</w:t>
            </w:r>
          </w:p>
        </w:tc>
        <w:tc>
          <w:tcPr>
            <w:tcW w:w="0" w:type="auto"/>
            <w:shd w:val="clear" w:color="auto" w:fill="FFFFFF"/>
          </w:tcPr>
          <w:p w:rsidR="009108A4" w:rsidRPr="009108A4" w:rsidRDefault="009108A4" w:rsidP="000A2F95">
            <w:pPr>
              <w:spacing w:before="60"/>
              <w:jc w:val="right"/>
              <w:rPr>
                <w:rFonts w:cs="Arial"/>
              </w:rPr>
            </w:pPr>
            <w:r w:rsidRPr="009108A4">
              <w:rPr>
                <w:rFonts w:cs="Arial"/>
              </w:rPr>
              <w:t>8 800 000</w:t>
            </w:r>
          </w:p>
        </w:tc>
        <w:tc>
          <w:tcPr>
            <w:tcW w:w="0" w:type="auto"/>
            <w:shd w:val="clear" w:color="auto" w:fill="FFFFFF"/>
          </w:tcPr>
          <w:p w:rsidR="009108A4" w:rsidRPr="009108A4" w:rsidRDefault="009108A4" w:rsidP="000A2F95">
            <w:pPr>
              <w:spacing w:before="60"/>
              <w:jc w:val="right"/>
              <w:rPr>
                <w:rFonts w:cs="Arial"/>
              </w:rPr>
            </w:pPr>
            <w:r w:rsidRPr="009108A4">
              <w:rPr>
                <w:rFonts w:cs="Arial"/>
              </w:rPr>
              <w:t>3 259 500</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Gebäude und Betriebseinrichtungen:</w:t>
            </w:r>
          </w:p>
        </w:tc>
        <w:tc>
          <w:tcPr>
            <w:tcW w:w="0" w:type="auto"/>
            <w:shd w:val="clear" w:color="auto" w:fill="FFFFFF"/>
          </w:tcPr>
          <w:p w:rsidR="009108A4" w:rsidRPr="009108A4" w:rsidRDefault="009108A4" w:rsidP="000A2F95">
            <w:pPr>
              <w:spacing w:before="60"/>
              <w:rPr>
                <w:rFonts w:cs="Arial"/>
                <w:szCs w:val="10"/>
              </w:rPr>
            </w:pPr>
          </w:p>
        </w:tc>
        <w:tc>
          <w:tcPr>
            <w:tcW w:w="0" w:type="auto"/>
            <w:shd w:val="clear" w:color="auto" w:fill="FFFFFF"/>
          </w:tcPr>
          <w:p w:rsidR="009108A4" w:rsidRPr="009108A4" w:rsidRDefault="009108A4" w:rsidP="000A2F95">
            <w:pPr>
              <w:spacing w:before="60"/>
              <w:rPr>
                <w:rFonts w:cs="Arial"/>
                <w:szCs w:val="10"/>
              </w:rPr>
            </w:pPr>
          </w:p>
        </w:tc>
      </w:tr>
      <w:tr w:rsidR="009108A4" w:rsidRPr="009108A4" w:rsidTr="000A2F95">
        <w:trPr>
          <w:trHeight w:val="283"/>
        </w:trPr>
        <w:tc>
          <w:tcPr>
            <w:tcW w:w="0" w:type="auto"/>
            <w:gridSpan w:val="3"/>
            <w:shd w:val="clear" w:color="auto" w:fill="FFFFFF"/>
          </w:tcPr>
          <w:p w:rsidR="009108A4" w:rsidRPr="009108A4" w:rsidRDefault="009108A4" w:rsidP="000A2F95">
            <w:pPr>
              <w:spacing w:before="60"/>
              <w:rPr>
                <w:rFonts w:cs="Arial"/>
              </w:rPr>
            </w:pPr>
            <w:r w:rsidRPr="009108A4">
              <w:rPr>
                <w:rFonts w:cs="Arial"/>
              </w:rPr>
              <w:t>Die subventionsberechtigten Kosten für die Aufstockung der Schul-</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anlage werden pauschaliert:</w:t>
            </w:r>
          </w:p>
        </w:tc>
        <w:tc>
          <w:tcPr>
            <w:tcW w:w="0" w:type="auto"/>
            <w:shd w:val="clear" w:color="auto" w:fill="FFFFFF"/>
          </w:tcPr>
          <w:p w:rsidR="009108A4" w:rsidRPr="009108A4" w:rsidRDefault="009108A4" w:rsidP="000A2F95">
            <w:pPr>
              <w:spacing w:before="60"/>
              <w:rPr>
                <w:rFonts w:cs="Arial"/>
                <w:szCs w:val="10"/>
              </w:rPr>
            </w:pPr>
          </w:p>
        </w:tc>
        <w:tc>
          <w:tcPr>
            <w:tcW w:w="0" w:type="auto"/>
            <w:shd w:val="clear" w:color="auto" w:fill="FFFFFF"/>
          </w:tcPr>
          <w:p w:rsidR="009108A4" w:rsidRPr="009108A4" w:rsidRDefault="009108A4" w:rsidP="000A2F95">
            <w:pPr>
              <w:spacing w:before="60"/>
              <w:jc w:val="right"/>
              <w:rPr>
                <w:rFonts w:cs="Arial"/>
              </w:rPr>
            </w:pPr>
            <w:r w:rsidRPr="009108A4">
              <w:rPr>
                <w:rFonts w:cs="Arial"/>
              </w:rPr>
              <w:t>Fr.</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7,5 Kosteneinheiten zu Fr. 265 000</w:t>
            </w:r>
          </w:p>
        </w:tc>
        <w:tc>
          <w:tcPr>
            <w:tcW w:w="0" w:type="auto"/>
            <w:shd w:val="clear" w:color="auto" w:fill="FFFFFF"/>
          </w:tcPr>
          <w:p w:rsidR="009108A4" w:rsidRPr="009108A4" w:rsidRDefault="009108A4" w:rsidP="000A2F95">
            <w:pPr>
              <w:spacing w:before="60"/>
              <w:rPr>
                <w:rFonts w:cs="Arial"/>
                <w:szCs w:val="10"/>
              </w:rPr>
            </w:pPr>
          </w:p>
        </w:tc>
        <w:tc>
          <w:tcPr>
            <w:tcW w:w="0" w:type="auto"/>
            <w:shd w:val="clear" w:color="auto" w:fill="FFFFFF"/>
          </w:tcPr>
          <w:p w:rsidR="009108A4" w:rsidRPr="009108A4" w:rsidRDefault="009108A4" w:rsidP="000A2F95">
            <w:pPr>
              <w:spacing w:before="60"/>
              <w:jc w:val="right"/>
              <w:rPr>
                <w:rFonts w:cs="Arial"/>
              </w:rPr>
            </w:pPr>
            <w:r w:rsidRPr="009108A4">
              <w:rPr>
                <w:rFonts w:cs="Arial"/>
              </w:rPr>
              <w:t>1 987 500</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rPr>
            </w:pPr>
            <w:r w:rsidRPr="009108A4">
              <w:rPr>
                <w:rFonts w:cs="Arial"/>
              </w:rPr>
              <w:t>Zuschlag für Schnitzelheizung</w:t>
            </w:r>
          </w:p>
        </w:tc>
        <w:tc>
          <w:tcPr>
            <w:tcW w:w="0" w:type="auto"/>
            <w:shd w:val="clear" w:color="auto" w:fill="FFFFFF"/>
          </w:tcPr>
          <w:p w:rsidR="009108A4" w:rsidRPr="009108A4" w:rsidRDefault="009108A4" w:rsidP="000A2F95">
            <w:pPr>
              <w:spacing w:before="60"/>
              <w:rPr>
                <w:rFonts w:cs="Arial"/>
                <w:szCs w:val="10"/>
              </w:rPr>
            </w:pPr>
          </w:p>
        </w:tc>
        <w:tc>
          <w:tcPr>
            <w:tcW w:w="0" w:type="auto"/>
            <w:shd w:val="clear" w:color="auto" w:fill="FFFFFF"/>
          </w:tcPr>
          <w:p w:rsidR="009108A4" w:rsidRPr="009108A4" w:rsidRDefault="009108A4" w:rsidP="000A2F95">
            <w:pPr>
              <w:spacing w:before="60"/>
              <w:jc w:val="right"/>
              <w:rPr>
                <w:rFonts w:cs="Arial"/>
              </w:rPr>
            </w:pPr>
            <w:r w:rsidRPr="009108A4">
              <w:rPr>
                <w:rFonts w:cs="Arial"/>
              </w:rPr>
              <w:t>25 000</w:t>
            </w:r>
          </w:p>
        </w:tc>
      </w:tr>
      <w:tr w:rsidR="009108A4" w:rsidRPr="009108A4" w:rsidTr="000A2F95">
        <w:trPr>
          <w:trHeight w:val="283"/>
        </w:trPr>
        <w:tc>
          <w:tcPr>
            <w:tcW w:w="0" w:type="auto"/>
            <w:shd w:val="clear" w:color="auto" w:fill="FFFFFF"/>
          </w:tcPr>
          <w:p w:rsidR="009108A4" w:rsidRPr="009108A4" w:rsidRDefault="009108A4" w:rsidP="000A2F95">
            <w:pPr>
              <w:spacing w:before="60"/>
              <w:rPr>
                <w:rFonts w:cs="Arial"/>
                <w:szCs w:val="10"/>
              </w:rPr>
            </w:pPr>
          </w:p>
        </w:tc>
        <w:tc>
          <w:tcPr>
            <w:tcW w:w="0" w:type="auto"/>
            <w:shd w:val="clear" w:color="auto" w:fill="FFFFFF"/>
          </w:tcPr>
          <w:p w:rsidR="009108A4" w:rsidRPr="009108A4" w:rsidRDefault="009108A4" w:rsidP="000A2F95">
            <w:pPr>
              <w:spacing w:before="60"/>
              <w:rPr>
                <w:rFonts w:cs="Arial"/>
                <w:szCs w:val="10"/>
              </w:rPr>
            </w:pPr>
          </w:p>
        </w:tc>
        <w:tc>
          <w:tcPr>
            <w:tcW w:w="0" w:type="auto"/>
            <w:shd w:val="clear" w:color="auto" w:fill="FFFFFF"/>
          </w:tcPr>
          <w:p w:rsidR="009108A4" w:rsidRPr="009108A4" w:rsidRDefault="009108A4" w:rsidP="000A2F95">
            <w:pPr>
              <w:spacing w:before="60"/>
              <w:jc w:val="right"/>
              <w:rPr>
                <w:rFonts w:cs="Arial"/>
              </w:rPr>
            </w:pPr>
            <w:r w:rsidRPr="009108A4">
              <w:rPr>
                <w:rFonts w:cs="Arial"/>
              </w:rPr>
              <w:t>2 012 500</w:t>
            </w:r>
          </w:p>
        </w:tc>
      </w:tr>
    </w:tbl>
    <w:p w:rsidR="009108A4" w:rsidRPr="009108A4" w:rsidRDefault="009108A4" w:rsidP="009108A4">
      <w:pPr>
        <w:spacing w:before="60"/>
        <w:rPr>
          <w:rFonts w:cs="Arial"/>
        </w:rPr>
      </w:pPr>
      <w:r w:rsidRPr="009108A4">
        <w:rPr>
          <w:rFonts w:cs="Arial"/>
        </w:rPr>
        <w:t>Von den veranschlagten Kosten sind folgende Anteile nicht beitragsberechtigt:</w:t>
      </w:r>
    </w:p>
    <w:p w:rsidR="009108A4" w:rsidRPr="009108A4" w:rsidRDefault="009108A4" w:rsidP="009108A4">
      <w:pPr>
        <w:tabs>
          <w:tab w:val="left" w:pos="197"/>
        </w:tabs>
        <w:spacing w:before="60"/>
        <w:rPr>
          <w:rFonts w:cs="Arial"/>
        </w:rPr>
      </w:pPr>
      <w:r w:rsidRPr="009108A4">
        <w:rPr>
          <w:rFonts w:cs="Arial"/>
        </w:rPr>
        <w:t>- Vorbereitungsarbeiten:</w:t>
      </w:r>
    </w:p>
    <w:p w:rsidR="009108A4" w:rsidRPr="009108A4" w:rsidRDefault="009108A4" w:rsidP="009108A4">
      <w:pPr>
        <w:tabs>
          <w:tab w:val="clear" w:pos="397"/>
          <w:tab w:val="left" w:pos="417"/>
        </w:tabs>
        <w:spacing w:before="60"/>
        <w:rPr>
          <w:rFonts w:cs="Arial"/>
        </w:rPr>
      </w:pPr>
      <w:r w:rsidRPr="009108A4">
        <w:rPr>
          <w:rFonts w:cs="Arial"/>
        </w:rPr>
        <w:t>- Anteil der Sportanlagen (ca. 45% des Kostenvoranschlags)</w:t>
      </w:r>
    </w:p>
    <w:p w:rsidR="009108A4" w:rsidRPr="009108A4" w:rsidRDefault="009108A4" w:rsidP="009108A4">
      <w:pPr>
        <w:tabs>
          <w:tab w:val="clear" w:pos="397"/>
          <w:tab w:val="left" w:pos="422"/>
        </w:tabs>
        <w:spacing w:before="60"/>
        <w:rPr>
          <w:rFonts w:cs="Arial"/>
        </w:rPr>
      </w:pPr>
      <w:r w:rsidRPr="009108A4">
        <w:rPr>
          <w:rFonts w:cs="Arial"/>
        </w:rPr>
        <w:t>- Heizungsanteil für den bestehenden Klassentrakt (ca. 50% des Gesamtwärmebedarfs)</w:t>
      </w:r>
    </w:p>
    <w:p w:rsidR="009108A4" w:rsidRPr="009108A4" w:rsidRDefault="009108A4" w:rsidP="009108A4">
      <w:pPr>
        <w:tabs>
          <w:tab w:val="clear" w:pos="397"/>
          <w:tab w:val="left" w:pos="412"/>
        </w:tabs>
        <w:spacing w:before="60"/>
        <w:rPr>
          <w:rFonts w:cs="Arial"/>
        </w:rPr>
      </w:pPr>
      <w:r w:rsidRPr="009108A4">
        <w:rPr>
          <w:rFonts w:cs="Arial"/>
        </w:rPr>
        <w:t>- Anteil der Mehrkosten für die Dreifachturnhalle</w:t>
      </w:r>
    </w:p>
    <w:p w:rsidR="009108A4" w:rsidRPr="009108A4" w:rsidRDefault="009108A4" w:rsidP="009108A4">
      <w:pPr>
        <w:tabs>
          <w:tab w:val="left" w:pos="192"/>
        </w:tabs>
        <w:spacing w:before="60"/>
        <w:rPr>
          <w:rFonts w:cs="Arial"/>
        </w:rPr>
      </w:pPr>
      <w:r w:rsidRPr="009108A4">
        <w:rPr>
          <w:rFonts w:cs="Arial"/>
        </w:rPr>
        <w:t>- Umgebung:</w:t>
      </w:r>
    </w:p>
    <w:p w:rsidR="009108A4" w:rsidRPr="009108A4" w:rsidRDefault="009108A4" w:rsidP="009108A4">
      <w:pPr>
        <w:tabs>
          <w:tab w:val="clear" w:pos="397"/>
          <w:tab w:val="left" w:pos="422"/>
        </w:tabs>
        <w:spacing w:before="60"/>
        <w:rPr>
          <w:rFonts w:cs="Arial"/>
        </w:rPr>
      </w:pPr>
      <w:r w:rsidRPr="009108A4">
        <w:rPr>
          <w:rFonts w:cs="Arial"/>
        </w:rPr>
        <w:t>- Betonstützmauer und Böschung zu Schneilaufanlage</w:t>
      </w:r>
    </w:p>
    <w:p w:rsidR="009108A4" w:rsidRPr="009108A4" w:rsidRDefault="009108A4" w:rsidP="009108A4">
      <w:pPr>
        <w:tabs>
          <w:tab w:val="clear" w:pos="397"/>
          <w:tab w:val="left" w:pos="422"/>
        </w:tabs>
        <w:spacing w:before="60"/>
        <w:rPr>
          <w:rFonts w:cs="Arial"/>
        </w:rPr>
      </w:pPr>
      <w:r w:rsidRPr="009108A4">
        <w:rPr>
          <w:rFonts w:cs="Arial"/>
        </w:rPr>
        <w:t>- Mehrkosten für sechsbahnige Schnellaufanlage</w:t>
      </w:r>
    </w:p>
    <w:p w:rsidR="009108A4" w:rsidRPr="009108A4" w:rsidRDefault="009108A4" w:rsidP="009108A4">
      <w:pPr>
        <w:tabs>
          <w:tab w:val="left" w:pos="426"/>
        </w:tabs>
        <w:spacing w:before="60"/>
        <w:rPr>
          <w:rFonts w:cs="Arial"/>
        </w:rPr>
      </w:pPr>
      <w:r w:rsidRPr="009108A4">
        <w:rPr>
          <w:rFonts w:cs="Arial"/>
        </w:rPr>
        <w:t>- Drahtzaun für den Fussballplatz</w:t>
      </w:r>
    </w:p>
    <w:p w:rsidR="009108A4" w:rsidRPr="009108A4" w:rsidRDefault="009108A4" w:rsidP="009108A4">
      <w:pPr>
        <w:tabs>
          <w:tab w:val="clear" w:pos="397"/>
          <w:tab w:val="left" w:pos="417"/>
        </w:tabs>
        <w:spacing w:before="60"/>
        <w:rPr>
          <w:rFonts w:cs="Arial"/>
        </w:rPr>
      </w:pPr>
      <w:r w:rsidRPr="009108A4">
        <w:rPr>
          <w:rFonts w:cs="Arial"/>
        </w:rPr>
        <w:t>- Aussenbeleuchtung des Sportplatzes</w:t>
      </w:r>
    </w:p>
    <w:p w:rsidR="009108A4" w:rsidRPr="009108A4" w:rsidRDefault="009108A4" w:rsidP="009108A4">
      <w:pPr>
        <w:tabs>
          <w:tab w:val="clear" w:pos="397"/>
          <w:tab w:val="left" w:pos="417"/>
        </w:tabs>
        <w:spacing w:before="60"/>
        <w:rPr>
          <w:rFonts w:cs="Arial"/>
        </w:rPr>
      </w:pPr>
      <w:r w:rsidRPr="009108A4">
        <w:rPr>
          <w:rFonts w:cs="Arial"/>
        </w:rPr>
        <w:t>- Zufahrt zu Schnitzelsilo</w:t>
      </w:r>
    </w:p>
    <w:p w:rsidR="009108A4" w:rsidRPr="009108A4" w:rsidRDefault="009108A4" w:rsidP="009108A4">
      <w:pPr>
        <w:tabs>
          <w:tab w:val="clear" w:pos="397"/>
          <w:tab w:val="left" w:pos="422"/>
        </w:tabs>
        <w:spacing w:before="60"/>
        <w:rPr>
          <w:rFonts w:cs="Arial"/>
        </w:rPr>
      </w:pPr>
      <w:r w:rsidRPr="009108A4">
        <w:rPr>
          <w:rFonts w:cs="Arial"/>
        </w:rPr>
        <w:t>- Parkplätze und Schotterrasenbelag für den schulfremden Betrieb</w:t>
      </w:r>
    </w:p>
    <w:p w:rsidR="009108A4" w:rsidRPr="009108A4" w:rsidRDefault="009108A4" w:rsidP="009108A4">
      <w:pPr>
        <w:tabs>
          <w:tab w:val="left" w:pos="426"/>
        </w:tabs>
        <w:spacing w:before="60"/>
        <w:rPr>
          <w:rFonts w:cs="Arial"/>
        </w:rPr>
      </w:pPr>
      <w:r w:rsidRPr="009108A4">
        <w:rPr>
          <w:rFonts w:cs="Arial"/>
        </w:rPr>
        <w:t>- Honoraranteil der nichtbeitragsberechtigten Kosten</w:t>
      </w:r>
    </w:p>
    <w:p w:rsidR="009108A4" w:rsidRPr="009108A4" w:rsidRDefault="009108A4" w:rsidP="009108A4">
      <w:pPr>
        <w:tabs>
          <w:tab w:val="left" w:pos="222"/>
        </w:tabs>
        <w:spacing w:before="60"/>
        <w:rPr>
          <w:rFonts w:cs="Arial"/>
        </w:rPr>
      </w:pPr>
      <w:r w:rsidRPr="009108A4">
        <w:rPr>
          <w:rFonts w:cs="Arial"/>
        </w:rPr>
        <w:t>- Baunebenkosten (ausgenommen Plankopien und Vervielfältigungen)</w:t>
      </w:r>
      <w:r w:rsidRPr="009108A4">
        <w:rPr>
          <w:rFonts w:cs="Arial"/>
        </w:rPr>
        <w:t xml:space="preserve"> </w:t>
      </w:r>
      <w:r w:rsidRPr="009108A4">
        <w:rPr>
          <w:rFonts w:cs="Arial"/>
        </w:rPr>
        <w:t>- Ausstattungen (Die Anschaffungen von beweglichen Einrichtungen werden durch die Schülerpauschale abgegolten.)</w:t>
      </w:r>
    </w:p>
    <w:p w:rsidR="009108A4" w:rsidRPr="009108A4" w:rsidRDefault="009108A4" w:rsidP="009108A4">
      <w:pPr>
        <w:tabs>
          <w:tab w:val="left" w:pos="226"/>
        </w:tabs>
        <w:spacing w:before="60"/>
        <w:rPr>
          <w:rFonts w:cs="Arial"/>
        </w:rPr>
      </w:pPr>
      <w:r w:rsidRPr="009108A4">
        <w:rPr>
          <w:rFonts w:cs="Arial"/>
        </w:rPr>
        <w:t>- Künstlerischer Schmuck (1% der beitragsberechtigten Kosten für das Gebäude und die Betriebseinrichtungen)</w:t>
      </w:r>
    </w:p>
    <w:p w:rsidR="009108A4" w:rsidRPr="009108A4" w:rsidRDefault="009108A4" w:rsidP="009108A4">
      <w:pPr>
        <w:spacing w:before="60"/>
        <w:rPr>
          <w:rFonts w:cs="Arial"/>
        </w:rPr>
      </w:pPr>
      <w:r w:rsidRPr="009108A4">
        <w:rPr>
          <w:rFonts w:cs="Arial"/>
        </w:rPr>
        <w:t>Auflagen:</w:t>
      </w:r>
    </w:p>
    <w:p w:rsidR="009108A4" w:rsidRPr="009108A4" w:rsidRDefault="009108A4" w:rsidP="009108A4">
      <w:pPr>
        <w:tabs>
          <w:tab w:val="left" w:pos="226"/>
        </w:tabs>
        <w:spacing w:before="60"/>
        <w:rPr>
          <w:rFonts w:cs="Arial"/>
        </w:rPr>
      </w:pPr>
      <w:r w:rsidRPr="009108A4">
        <w:rPr>
          <w:rFonts w:cs="Arial"/>
        </w:rPr>
        <w:t>- Bei der Detailprojektierung ist frühzeitig der kantonale Bauberater für Schulsport beizuziehen.</w:t>
      </w:r>
    </w:p>
    <w:p w:rsidR="009108A4" w:rsidRPr="009108A4" w:rsidRDefault="009108A4" w:rsidP="009108A4">
      <w:pPr>
        <w:tabs>
          <w:tab w:val="left" w:pos="226"/>
        </w:tabs>
        <w:spacing w:before="60"/>
        <w:rPr>
          <w:rFonts w:cs="Arial"/>
        </w:rPr>
      </w:pPr>
      <w:r w:rsidRPr="009108A4">
        <w:rPr>
          <w:rFonts w:cs="Arial"/>
        </w:rPr>
        <w:t>- Gemäss § 239 Abs. 4 des Planungs- und Baugesetzes (PBG) zählen Schulen zu den Bauten, die nach § 35 der Besonderen Bauverordnung I (BBV 1) so zu projektieren sind, dass sie für Behinderte benützbar sind, soweit dadurch nicht unverhältnismässige Kosten oder andere erhebliche Nachteile erwachsen. Die Räume im Erdgeschoss sollen für Behinderte zugänglich sein.</w:t>
      </w:r>
    </w:p>
    <w:p w:rsidR="009108A4" w:rsidRPr="009108A4" w:rsidRDefault="009108A4" w:rsidP="009108A4">
      <w:pPr>
        <w:tabs>
          <w:tab w:val="left" w:pos="226"/>
        </w:tabs>
        <w:spacing w:before="60"/>
        <w:rPr>
          <w:rFonts w:cs="Arial"/>
        </w:rPr>
      </w:pPr>
      <w:r w:rsidRPr="009108A4">
        <w:rPr>
          <w:rFonts w:cs="Arial"/>
        </w:rPr>
        <w:t>- Nach Beendigung des Bauvorhabens ist durch den zuständigen Architekten das Büro für Begutachtungen des kantonalen Hochbauamtes zu verständigen, damit eine Kontrolle über die Einhaltung der Richtlinien vorgenommen werden kann.</w:t>
      </w:r>
    </w:p>
    <w:p w:rsidR="009108A4" w:rsidRPr="009108A4" w:rsidRDefault="009108A4" w:rsidP="009108A4">
      <w:pPr>
        <w:spacing w:before="60"/>
        <w:rPr>
          <w:rFonts w:cs="Arial"/>
        </w:rPr>
      </w:pPr>
      <w:r w:rsidRPr="009108A4">
        <w:rPr>
          <w:rFonts w:cs="Arial"/>
        </w:rPr>
        <w:t xml:space="preserve">An die beitragsberechtigten Kosten von Fr. 3 259 500 ist gemäss § 1 Abs. 1 </w:t>
      </w:r>
      <w:r w:rsidRPr="009108A4">
        <w:rPr>
          <w:rFonts w:cs="Arial"/>
          <w:lang w:eastAsia="fr-FR" w:bidi="fr-FR"/>
        </w:rPr>
        <w:t xml:space="preserve">lit. </w:t>
      </w:r>
      <w:r w:rsidRPr="009108A4">
        <w:rPr>
          <w:rFonts w:cs="Arial"/>
        </w:rPr>
        <w:t>b Ziffer 1 des Schulleistungsgesetzes vom 2. Februar 1919 und aufgrund des Finanzkraftindexes der Schulgemeinde Nürensdorf von 117 ein Kostenanteil von 4%, höchstens Fr. 130380, zuzusichern.</w:t>
      </w:r>
    </w:p>
    <w:p w:rsidR="009108A4" w:rsidRPr="009108A4" w:rsidRDefault="009108A4" w:rsidP="009108A4">
      <w:pPr>
        <w:spacing w:before="60"/>
        <w:rPr>
          <w:rFonts w:cs="Arial"/>
        </w:rPr>
      </w:pPr>
      <w:r w:rsidRPr="009108A4">
        <w:rPr>
          <w:rFonts w:cs="Arial"/>
        </w:rPr>
        <w:t>Auf Antrag der Direktion des Erziehungswesens</w:t>
      </w:r>
    </w:p>
    <w:p w:rsidR="009108A4" w:rsidRPr="009108A4" w:rsidRDefault="009108A4" w:rsidP="009108A4">
      <w:pPr>
        <w:spacing w:before="60"/>
        <w:jc w:val="center"/>
        <w:rPr>
          <w:rFonts w:cs="Arial"/>
        </w:rPr>
      </w:pPr>
      <w:r w:rsidRPr="009108A4">
        <w:rPr>
          <w:rFonts w:cs="Arial"/>
        </w:rPr>
        <w:t>beschliesst der Regierungsrat:</w:t>
      </w:r>
    </w:p>
    <w:p w:rsidR="009108A4" w:rsidRPr="009108A4" w:rsidRDefault="009108A4" w:rsidP="009108A4">
      <w:pPr>
        <w:tabs>
          <w:tab w:val="left" w:pos="503"/>
        </w:tabs>
        <w:spacing w:before="60"/>
        <w:rPr>
          <w:rFonts w:cs="Arial"/>
        </w:rPr>
      </w:pPr>
      <w:r w:rsidRPr="009108A4">
        <w:rPr>
          <w:rFonts w:cs="Arial"/>
        </w:rPr>
        <w:t>I. Die Vorlage der Schulpflege Nürensdorf betreffend die Erstellung einer Schulsportanlage mit Dreifachturnhalle und einer Holzschnitzelheizung in der Oberstufenschulanlage Hatzenbühl in Nürensdorf mit voraussichtlichen Gesamtkosten von Fr. 8 800 000 wird genehmigt.</w:t>
      </w:r>
    </w:p>
    <w:p w:rsidR="009108A4" w:rsidRPr="009108A4" w:rsidRDefault="009108A4" w:rsidP="009108A4">
      <w:pPr>
        <w:tabs>
          <w:tab w:val="left" w:pos="534"/>
        </w:tabs>
        <w:spacing w:before="60"/>
        <w:rPr>
          <w:rFonts w:cs="Arial"/>
        </w:rPr>
      </w:pPr>
      <w:r w:rsidRPr="009108A4">
        <w:rPr>
          <w:rFonts w:cs="Arial"/>
        </w:rPr>
        <w:t>II. An die beitragsberechtigten Kosten von Fr. 3 259 500 wird aufgrund des Finanzkraftindexes der Schulgemeinde Nürensdorf von 117 ein Kostenanteil von 4%, höchstens Fr. 130 380, zugesichert. Die Auszahlung erfolgt nach dem vorhandenen Voranschlagskredit des Kantons.</w:t>
      </w:r>
    </w:p>
    <w:p w:rsidR="009108A4" w:rsidRPr="009108A4" w:rsidRDefault="009108A4" w:rsidP="009108A4">
      <w:pPr>
        <w:tabs>
          <w:tab w:val="left" w:pos="606"/>
        </w:tabs>
        <w:spacing w:before="60"/>
        <w:rPr>
          <w:rFonts w:cs="Arial"/>
        </w:rPr>
      </w:pPr>
      <w:r w:rsidRPr="009108A4">
        <w:rPr>
          <w:rFonts w:cs="Arial"/>
        </w:rPr>
        <w:t>III. Bei der Durchführung des Bauvorhabens sind die Richtlinien und die Wegleitung für Schulhausanlagen vom 5. Oktober 1988 sowie die Bemerkungen und Auflagen in den Erwägungen zu beachten.</w:t>
      </w:r>
    </w:p>
    <w:p w:rsidR="009108A4" w:rsidRPr="009108A4" w:rsidRDefault="009108A4" w:rsidP="009108A4">
      <w:pPr>
        <w:tabs>
          <w:tab w:val="left" w:pos="601"/>
        </w:tabs>
        <w:spacing w:before="60"/>
        <w:rPr>
          <w:rFonts w:cs="Arial"/>
        </w:rPr>
      </w:pPr>
      <w:r w:rsidRPr="009108A4">
        <w:rPr>
          <w:rFonts w:cs="Arial"/>
        </w:rPr>
        <w:t>IV. Der Anspruch auf den Kostenanteil verfällt, wenn das Gesuch um dessen Auszahlung nicht spätestens innert eines Jahres nach Abnahme der Bauabrechnung durch das zuständige Gemeindeorgan der Erziehungsdirektion eingereicht wird.</w:t>
      </w:r>
    </w:p>
    <w:p w:rsidR="009108A4" w:rsidRPr="009108A4" w:rsidRDefault="009108A4" w:rsidP="009108A4">
      <w:pPr>
        <w:tabs>
          <w:tab w:val="left" w:pos="601"/>
        </w:tabs>
        <w:spacing w:before="60"/>
        <w:rPr>
          <w:rFonts w:cs="Arial"/>
        </w:rPr>
      </w:pPr>
      <w:r w:rsidRPr="009108A4">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9108A4" w:rsidRPr="009108A4" w:rsidRDefault="009108A4" w:rsidP="009108A4">
      <w:pPr>
        <w:pStyle w:val="00Vorgabetext"/>
        <w:keepNext/>
        <w:keepLines/>
        <w:rPr>
          <w:rFonts w:cs="Arial"/>
        </w:rPr>
      </w:pPr>
      <w:r w:rsidRPr="009108A4">
        <w:rPr>
          <w:rFonts w:cs="Arial"/>
        </w:rPr>
        <w:t>VI. Mitteilung an die Schulpflege Nürensdorf, 8309 Nürensdorf, den Präsidenten der Bezirksschulpflege Winterthur, Heinrich Baltensperger, Zelglistrasse 1, 8181 Höri, den kantonalen Bauberater für Schulsport, Marcel Girod, Reallehrer, Obere Breitlen, 8476 Unterstammheim, sowie an die Direktionen der öffentlichen Bauten und des Erziehungswesens.</w:t>
      </w:r>
    </w:p>
    <w:p w:rsidR="009108A4" w:rsidRPr="009108A4" w:rsidRDefault="009108A4" w:rsidP="009108A4">
      <w:pPr>
        <w:pStyle w:val="00Vorgabetext"/>
        <w:keepNext/>
        <w:keepLines/>
        <w:rPr>
          <w:rFonts w:cs="Arial"/>
        </w:rPr>
      </w:pPr>
    </w:p>
    <w:p w:rsidR="009108A4" w:rsidRPr="009108A4" w:rsidRDefault="009108A4" w:rsidP="009108A4">
      <w:pPr>
        <w:pStyle w:val="00Vorgabetext"/>
        <w:keepNext/>
        <w:keepLines/>
        <w:rPr>
          <w:rFonts w:cs="Arial"/>
        </w:rPr>
      </w:pPr>
    </w:p>
    <w:p w:rsidR="00BE768B" w:rsidRPr="009108A4" w:rsidRDefault="009108A4" w:rsidP="009108A4">
      <w:pPr>
        <w:pStyle w:val="00Vorgabetext"/>
        <w:keepNext/>
        <w:keepLines/>
      </w:pPr>
      <w:r w:rsidRPr="009108A4">
        <w:rPr>
          <w:rFonts w:cs="Arial"/>
        </w:rPr>
        <w:t>[</w:t>
      </w:r>
      <w:r w:rsidRPr="009108A4">
        <w:rPr>
          <w:rFonts w:cs="Arial"/>
          <w:i/>
        </w:rPr>
        <w:t>Transkript: OCR (Überarbeitung: Team TKR)/14.09.2017</w:t>
      </w:r>
      <w:bookmarkStart w:id="1" w:name="_GoBack"/>
      <w:r w:rsidRPr="009108A4">
        <w:rPr>
          <w:rFonts w:cs="Arial"/>
        </w:rPr>
        <w:t xml:space="preserve">] </w:t>
      </w:r>
      <w:bookmarkEnd w:id="1"/>
    </w:p>
    <w:sectPr w:rsidR="00BE768B" w:rsidRPr="009108A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8A4" w:rsidRDefault="009108A4">
      <w:r>
        <w:separator/>
      </w:r>
    </w:p>
    <w:p w:rsidR="009108A4" w:rsidRDefault="009108A4"/>
    <w:p w:rsidR="009108A4" w:rsidRDefault="009108A4"/>
  </w:endnote>
  <w:endnote w:type="continuationSeparator" w:id="0">
    <w:p w:rsidR="009108A4" w:rsidRDefault="009108A4">
      <w:r>
        <w:continuationSeparator/>
      </w:r>
    </w:p>
    <w:p w:rsidR="009108A4" w:rsidRDefault="009108A4"/>
    <w:p w:rsidR="009108A4" w:rsidRDefault="00910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8A4" w:rsidRDefault="009108A4">
      <w:r>
        <w:separator/>
      </w:r>
    </w:p>
    <w:p w:rsidR="009108A4" w:rsidRDefault="009108A4"/>
    <w:p w:rsidR="009108A4" w:rsidRDefault="009108A4"/>
  </w:footnote>
  <w:footnote w:type="continuationSeparator" w:id="0">
    <w:p w:rsidR="009108A4" w:rsidRDefault="009108A4">
      <w:r>
        <w:continuationSeparator/>
      </w:r>
    </w:p>
    <w:p w:rsidR="009108A4" w:rsidRDefault="009108A4"/>
    <w:p w:rsidR="009108A4" w:rsidRDefault="009108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108A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108A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A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108A4"/>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0917E8-1C59-46EC-88AC-62417090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108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3417C-2636-47C4-A925-E2AFAA831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1010</Words>
  <Characters>6132</Characters>
  <Application>Microsoft Office Word</Application>
  <DocSecurity>0</DocSecurity>
  <PresentationFormat/>
  <Lines>681</Lines>
  <Paragraphs>649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6493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(Projekt)</dc:subject>
  <dc:creator>Staatsarchiv des Kantons Zürich</dc:creator>
  <cp:lastModifiedBy>Mirjam Stadler</cp:lastModifiedBy>
  <cp:revision>1</cp:revision>
  <cp:lastPrinted>2012-06-15T14:37:00Z</cp:lastPrinted>
  <dcterms:created xsi:type="dcterms:W3CDTF">2017-09-14T06:32:00Z</dcterms:created>
  <dcterms:modified xsi:type="dcterms:W3CDTF">2017-09-14T06:32:00Z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