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31A05" w:rsidTr="00C80ABA">
        <w:trPr>
          <w:trHeight w:val="454"/>
        </w:trPr>
        <w:tc>
          <w:tcPr>
            <w:tcW w:w="1668" w:type="dxa"/>
          </w:tcPr>
          <w:p w:rsidR="00A43AE4" w:rsidRPr="00E31A0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31A05">
              <w:t>Signatur</w:t>
            </w:r>
          </w:p>
        </w:tc>
        <w:tc>
          <w:tcPr>
            <w:tcW w:w="6721" w:type="dxa"/>
          </w:tcPr>
          <w:p w:rsidR="00A43AE4" w:rsidRPr="00E31A05" w:rsidRDefault="00E31A05" w:rsidP="00931B1F">
            <w:pPr>
              <w:pStyle w:val="70SignaturX"/>
            </w:pPr>
            <w:r w:rsidRPr="00E31A05">
              <w:t>StAZH MM 3.203 RRB 1994/0941</w:t>
            </w:r>
          </w:p>
        </w:tc>
      </w:tr>
      <w:tr w:rsidR="00A43AE4" w:rsidRPr="00E31A05" w:rsidTr="00C80ABA">
        <w:trPr>
          <w:trHeight w:val="454"/>
        </w:trPr>
        <w:tc>
          <w:tcPr>
            <w:tcW w:w="1668" w:type="dxa"/>
          </w:tcPr>
          <w:p w:rsidR="00A43AE4" w:rsidRPr="00E31A0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31A05">
              <w:t>Titel</w:t>
            </w:r>
          </w:p>
        </w:tc>
        <w:tc>
          <w:tcPr>
            <w:tcW w:w="6721" w:type="dxa"/>
          </w:tcPr>
          <w:p w:rsidR="006C59EA" w:rsidRPr="00E31A05" w:rsidRDefault="00E31A0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31A05">
              <w:rPr>
                <w:rFonts w:ascii="Arial Black" w:hAnsi="Arial Black"/>
              </w:rPr>
              <w:t>Personalamt, Aus- und Weiterbildung, PC-Schulungsraum (Stampfenbachstrasse 63, Zürich)</w:t>
            </w:r>
          </w:p>
        </w:tc>
      </w:tr>
      <w:tr w:rsidR="00BC0931" w:rsidRPr="00E31A05" w:rsidTr="00C80ABA">
        <w:trPr>
          <w:trHeight w:val="454"/>
        </w:trPr>
        <w:tc>
          <w:tcPr>
            <w:tcW w:w="1668" w:type="dxa"/>
          </w:tcPr>
          <w:p w:rsidR="00BC0931" w:rsidRPr="00E31A0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31A05">
              <w:t>Datum</w:t>
            </w:r>
          </w:p>
        </w:tc>
        <w:tc>
          <w:tcPr>
            <w:tcW w:w="6721" w:type="dxa"/>
          </w:tcPr>
          <w:p w:rsidR="00BC0931" w:rsidRPr="00E31A05" w:rsidRDefault="00E31A05" w:rsidP="00931B1F">
            <w:pPr>
              <w:pStyle w:val="71DatumX"/>
            </w:pPr>
            <w:r w:rsidRPr="00E31A05">
              <w:t>06.04.1994</w:t>
            </w:r>
          </w:p>
        </w:tc>
      </w:tr>
      <w:tr w:rsidR="00A43AE4" w:rsidRPr="00E31A05" w:rsidTr="00C80ABA">
        <w:trPr>
          <w:trHeight w:val="454"/>
        </w:trPr>
        <w:tc>
          <w:tcPr>
            <w:tcW w:w="1668" w:type="dxa"/>
          </w:tcPr>
          <w:p w:rsidR="00A43AE4" w:rsidRPr="00E31A0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31A05">
              <w:t>P.</w:t>
            </w:r>
          </w:p>
        </w:tc>
        <w:tc>
          <w:tcPr>
            <w:tcW w:w="6721" w:type="dxa"/>
          </w:tcPr>
          <w:p w:rsidR="00A43AE4" w:rsidRPr="00E31A05" w:rsidRDefault="00E31A05" w:rsidP="00931B1F">
            <w:pPr>
              <w:pStyle w:val="00Vorgabetext"/>
            </w:pPr>
            <w:r w:rsidRPr="00E31A05">
              <w:t>452</w:t>
            </w:r>
          </w:p>
        </w:tc>
      </w:tr>
    </w:tbl>
    <w:p w:rsidR="00616641" w:rsidRPr="00E31A05" w:rsidRDefault="00616641" w:rsidP="0077655B">
      <w:pPr>
        <w:pStyle w:val="00Vorgabetext"/>
        <w:spacing w:before="0" w:after="60"/>
      </w:pPr>
    </w:p>
    <w:p w:rsidR="00E31A05" w:rsidRPr="00E31A05" w:rsidRDefault="00E31A05" w:rsidP="00E31A05">
      <w:pPr>
        <w:tabs>
          <w:tab w:val="left" w:pos="529"/>
        </w:tabs>
        <w:spacing w:before="60"/>
        <w:rPr>
          <w:rFonts w:cs="Arial"/>
        </w:rPr>
      </w:pPr>
      <w:bookmarkStart w:id="0" w:name="ContentText"/>
      <w:bookmarkEnd w:id="0"/>
      <w:r w:rsidRPr="00E31A05">
        <w:t>[</w:t>
      </w:r>
      <w:r w:rsidRPr="00E31A05">
        <w:rPr>
          <w:i/>
        </w:rPr>
        <w:t>p. 452</w:t>
      </w:r>
      <w:r w:rsidRPr="00E31A05">
        <w:t xml:space="preserve">] </w:t>
      </w:r>
      <w:r w:rsidRPr="00E31A05">
        <w:rPr>
          <w:rFonts w:cs="Arial"/>
        </w:rPr>
        <w:t>A. Der seit 1989 im Parterre der Fiskalliegenschaft Stampfenbachstrasse 63 genutzte PC-Schulungsraum, eingerichtet mit 22 Kursarbeitsplätzen und einem Kursleiterplatz, ist heute zu 95% ausgelastet. 1993 waren 210 Kurstage belegt. Die notwendige Reservezeit für Wartungs-, Unterhalts- und Reparaturarbeiten sowie für kurzfristige, bedürfnisangepasste Dispositionen ist nicht mehr gegeben. Der Informatik-Schulungsbedarf wird in den kommenden Jahren jedoch noch steigen. Die Verlagerung von Individual- auf Standard-Software erfordert vermehrt Vertiefungskurse mit intensiver individueller Betreuung durch die Kursleiter. Mit der ausschliesslichen Durchführung von Grundkursen im dafür geeigneten bestehenden Schulungsraum kann dessen Auslastung wieder auf optimale 90% (198 Kurstage) reduziert werden. Die Vertiefungskurse sollen in einen zweiten, bedürfnisgerecht kleineren PC-Schulungsraum mit nur 11 Kursarbeitsplätzen und einem Kursleiterplatz verlegt werden. Gemäss Prognose des Amtes für Informatikdienste (AID) wird auch für diesen Raum ab 1998 bereits eine wirtschaftlich gute Auslastung von 80% (177 Kurstage) erreicht werden.</w:t>
      </w:r>
    </w:p>
    <w:p w:rsidR="00E31A05" w:rsidRPr="00E31A05" w:rsidRDefault="00E31A05" w:rsidP="00E31A05">
      <w:pPr>
        <w:spacing w:before="60"/>
        <w:rPr>
          <w:rFonts w:cs="Arial"/>
        </w:rPr>
      </w:pPr>
      <w:r w:rsidRPr="00E31A05">
        <w:rPr>
          <w:rFonts w:cs="Arial"/>
        </w:rPr>
        <w:t>Die pädagogischen Vorteile der internen, vom AID in Zusammenarbeit mit der Abteilung Aus- und Weiterbildung durchgeführten Informatikschulung sind offensichtlich; sie bieten Arbeitsplatznähe, spezifisch verwaltungsbezogene Anwenderorientierung und beratende Begleitung durch die Kursleiter über den Kursbesuch hinaus (spezielle Hotline). Aber auch die Wirtschaftlichkeitsrechnung des bestehenden PC-Schulungsraums, wie sie in RRB Nr. 3507/1990 festgehalten wurde, hat sich bestätigt. 1992 konnten im Vergleich zwischen angenommenen externen und tatsächlichen internen Schulungskosten Fr. 758 980 eingespart werden. Kumuliert von 1989 bis 1992 entspricht dies einer Summe von rund 2 Millionen Franken.</w:t>
      </w:r>
    </w:p>
    <w:p w:rsidR="00E31A05" w:rsidRPr="00E31A05" w:rsidRDefault="00E31A05" w:rsidP="00E31A05">
      <w:pPr>
        <w:tabs>
          <w:tab w:val="left" w:pos="538"/>
        </w:tabs>
        <w:spacing w:before="60"/>
        <w:rPr>
          <w:rFonts w:cs="Arial"/>
        </w:rPr>
      </w:pPr>
      <w:r w:rsidRPr="00E31A05">
        <w:rPr>
          <w:rFonts w:cs="Arial"/>
        </w:rPr>
        <w:t>B. Mit Beschluss Nr. 78/1994 genehmigte der Regierungsrat auf Antrag der Direktionen der Finanzen und des Erziehungswesens neue Verwendungszwecke für die Fiskalliegenschaft Stampfenbachstrasse 63, u. a. im 1. Obergeschoss, wo der bisher von einer Abteilung des Instituts für Sozial- und Präventivmedizin belegte Raum neu nun ab 1. Juni 1994 für Informatikschulung der Abteilung Aus- und Weiterbildung der Finanzdirektion zur Verfügung steht. Dieser Standort für einen zweiten PC-Schulungsraum ist ideal, befindet er sich doch im gleichen Haus direkt über dem bestehenden Schulungsraum. Es lassen sich so verschiedene Vorteile und Synergien nutzen hinsichtlich Vernetzung, Wartung und Infrastruktur. Mit den anfallenden Umbauarbeiten im 1. Obergeschoss können auch dringend notwendige Sanierungsvorhaben für den Schulungsraum im Parterre verbunden werden (WC-Anlagen, Klimatisierung).</w:t>
      </w:r>
    </w:p>
    <w:p w:rsidR="00E31A05" w:rsidRPr="00E31A05" w:rsidRDefault="00E31A05" w:rsidP="00E31A05">
      <w:pPr>
        <w:tabs>
          <w:tab w:val="left" w:pos="529"/>
        </w:tabs>
        <w:spacing w:before="60"/>
        <w:rPr>
          <w:rFonts w:cs="Arial"/>
        </w:rPr>
      </w:pPr>
      <w:r w:rsidRPr="00E31A05">
        <w:rPr>
          <w:rFonts w:cs="Arial"/>
        </w:rPr>
        <w:t>C. Das im Auftrag des Hochbauamtes vom Architekturbüro Merkli Architekten ETH/SIA, Zürich, in Zusammenarbeit mit der Oerlikon-Bührle Immobilien AG, Zürich, ausgearbeitete Raumprojekt für den Grund- und den mieterseitigen Ausbau des neuen sowie die Sanierung des bestehenden PC-Schulungsraums (Parterre und 1. Obergeschoss Stampfenbachstrasse 63) sieht Aufwendungen von insgesamt Fr. 1 620 000 vor, die sich folgendermassen aufteilen: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85"/>
        <w:gridCol w:w="1158"/>
        <w:gridCol w:w="1038"/>
        <w:gridCol w:w="1354"/>
        <w:gridCol w:w="994"/>
        <w:gridCol w:w="1353"/>
      </w:tblGrid>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BKP Arbeitsgattung</w:t>
            </w:r>
          </w:p>
        </w:tc>
        <w:tc>
          <w:tcPr>
            <w:tcW w:w="0" w:type="auto"/>
            <w:shd w:val="clear" w:color="auto" w:fill="FFFFFF"/>
          </w:tcPr>
          <w:p w:rsidR="00E31A05" w:rsidRPr="00E31A05" w:rsidRDefault="00E31A05" w:rsidP="000A2F95">
            <w:pPr>
              <w:spacing w:before="60"/>
              <w:rPr>
                <w:rFonts w:cs="Arial"/>
              </w:rPr>
            </w:pPr>
            <w:r w:rsidRPr="00E31A05">
              <w:rPr>
                <w:rFonts w:cs="Arial"/>
              </w:rPr>
              <w:t>Gesamthaft</w:t>
            </w:r>
          </w:p>
        </w:tc>
        <w:tc>
          <w:tcPr>
            <w:tcW w:w="1038" w:type="dxa"/>
            <w:shd w:val="clear" w:color="auto" w:fill="FFFFFF"/>
          </w:tcPr>
          <w:p w:rsidR="00E31A05" w:rsidRPr="00E31A05" w:rsidRDefault="00E31A05" w:rsidP="000A2F95">
            <w:pPr>
              <w:spacing w:before="60"/>
              <w:rPr>
                <w:rFonts w:cs="Arial"/>
                <w:szCs w:val="10"/>
              </w:rPr>
            </w:pPr>
          </w:p>
        </w:tc>
        <w:tc>
          <w:tcPr>
            <w:tcW w:w="1354" w:type="dxa"/>
            <w:shd w:val="clear" w:color="auto" w:fill="FFFFFF"/>
          </w:tcPr>
          <w:p w:rsidR="00E31A05" w:rsidRPr="00E31A05" w:rsidRDefault="00E31A05" w:rsidP="000A2F95">
            <w:pPr>
              <w:spacing w:before="60"/>
              <w:rPr>
                <w:rFonts w:cs="Arial"/>
              </w:rPr>
            </w:pPr>
            <w:r w:rsidRPr="00E31A05">
              <w:rPr>
                <w:rFonts w:cs="Arial"/>
              </w:rPr>
              <w:t>davon</w:t>
            </w:r>
          </w:p>
        </w:tc>
        <w:tc>
          <w:tcPr>
            <w:tcW w:w="994" w:type="dxa"/>
            <w:shd w:val="clear" w:color="auto" w:fill="FFFFFF"/>
          </w:tcPr>
          <w:p w:rsidR="00E31A05" w:rsidRPr="00E31A05" w:rsidRDefault="00E31A05" w:rsidP="000A2F95">
            <w:pPr>
              <w:spacing w:before="60"/>
              <w:rPr>
                <w:rFonts w:cs="Arial"/>
                <w:szCs w:val="10"/>
              </w:rPr>
            </w:pPr>
          </w:p>
        </w:tc>
        <w:tc>
          <w:tcPr>
            <w:tcW w:w="1353" w:type="dxa"/>
            <w:shd w:val="clear" w:color="auto" w:fill="FFFFFF"/>
          </w:tcPr>
          <w:p w:rsidR="00E31A05" w:rsidRPr="00E31A05" w:rsidRDefault="00E31A05" w:rsidP="000A2F95">
            <w:pPr>
              <w:spacing w:before="60"/>
              <w:rPr>
                <w:rFonts w:cs="Arial"/>
                <w:szCs w:val="10"/>
              </w:rPr>
            </w:pP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szCs w:val="10"/>
              </w:rPr>
            </w:pPr>
          </w:p>
        </w:tc>
        <w:tc>
          <w:tcPr>
            <w:tcW w:w="0" w:type="auto"/>
            <w:shd w:val="clear" w:color="auto" w:fill="FFFFFF"/>
          </w:tcPr>
          <w:p w:rsidR="00E31A05" w:rsidRPr="00E31A05" w:rsidRDefault="00E31A05" w:rsidP="000A2F95">
            <w:pPr>
              <w:spacing w:before="60"/>
              <w:rPr>
                <w:rFonts w:cs="Arial"/>
                <w:szCs w:val="10"/>
              </w:rPr>
            </w:pPr>
          </w:p>
        </w:tc>
        <w:tc>
          <w:tcPr>
            <w:tcW w:w="1038" w:type="dxa"/>
            <w:shd w:val="clear" w:color="auto" w:fill="FFFFFF"/>
          </w:tcPr>
          <w:p w:rsidR="00E31A05" w:rsidRPr="00E31A05" w:rsidRDefault="00E31A05" w:rsidP="000A2F95">
            <w:pPr>
              <w:spacing w:before="60"/>
              <w:rPr>
                <w:rFonts w:cs="Arial"/>
                <w:szCs w:val="10"/>
              </w:rPr>
            </w:pPr>
          </w:p>
        </w:tc>
        <w:tc>
          <w:tcPr>
            <w:tcW w:w="1354" w:type="dxa"/>
            <w:shd w:val="clear" w:color="auto" w:fill="FFFFFF"/>
          </w:tcPr>
          <w:p w:rsidR="00E31A05" w:rsidRPr="00E31A05" w:rsidRDefault="00E31A05" w:rsidP="000A2F95">
            <w:pPr>
              <w:spacing w:before="60"/>
              <w:rPr>
                <w:rFonts w:cs="Arial"/>
              </w:rPr>
            </w:pPr>
            <w:r w:rsidRPr="00E31A05">
              <w:rPr>
                <w:rFonts w:cs="Arial"/>
              </w:rPr>
              <w:t>Grundausbau</w:t>
            </w:r>
          </w:p>
        </w:tc>
        <w:tc>
          <w:tcPr>
            <w:tcW w:w="994" w:type="dxa"/>
            <w:shd w:val="clear" w:color="auto" w:fill="FFFFFF"/>
          </w:tcPr>
          <w:p w:rsidR="00E31A05" w:rsidRPr="00E31A05" w:rsidRDefault="00E31A05" w:rsidP="000A2F95">
            <w:pPr>
              <w:spacing w:before="60"/>
              <w:rPr>
                <w:rFonts w:cs="Arial"/>
                <w:szCs w:val="10"/>
              </w:rPr>
            </w:pPr>
          </w:p>
        </w:tc>
        <w:tc>
          <w:tcPr>
            <w:tcW w:w="1353" w:type="dxa"/>
            <w:shd w:val="clear" w:color="auto" w:fill="FFFFFF"/>
          </w:tcPr>
          <w:p w:rsidR="00E31A05" w:rsidRPr="00E31A05" w:rsidRDefault="00E31A05" w:rsidP="000A2F95">
            <w:pPr>
              <w:spacing w:before="60"/>
              <w:rPr>
                <w:rFonts w:cs="Arial"/>
              </w:rPr>
            </w:pPr>
            <w:r w:rsidRPr="00E31A05">
              <w:rPr>
                <w:rFonts w:cs="Arial"/>
              </w:rPr>
              <w:t>Mieterausbau</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szCs w:val="10"/>
              </w:rPr>
            </w:pPr>
          </w:p>
        </w:tc>
        <w:tc>
          <w:tcPr>
            <w:tcW w:w="0" w:type="auto"/>
            <w:shd w:val="clear" w:color="auto" w:fill="FFFFFF"/>
          </w:tcPr>
          <w:p w:rsidR="00E31A05" w:rsidRPr="00E31A05" w:rsidRDefault="00E31A05" w:rsidP="000A2F95">
            <w:pPr>
              <w:spacing w:before="60"/>
              <w:jc w:val="right"/>
              <w:rPr>
                <w:rFonts w:cs="Arial"/>
                <w:szCs w:val="10"/>
              </w:rPr>
            </w:pPr>
          </w:p>
        </w:tc>
        <w:tc>
          <w:tcPr>
            <w:tcW w:w="1038" w:type="dxa"/>
            <w:shd w:val="clear" w:color="auto" w:fill="FFFFFF"/>
          </w:tcPr>
          <w:p w:rsidR="00E31A05" w:rsidRPr="00E31A05" w:rsidRDefault="00E31A05" w:rsidP="000A2F95">
            <w:pPr>
              <w:spacing w:before="60"/>
              <w:jc w:val="right"/>
              <w:rPr>
                <w:rFonts w:cs="Arial"/>
              </w:rPr>
            </w:pPr>
            <w:r w:rsidRPr="00E31A05">
              <w:rPr>
                <w:rFonts w:cs="Arial"/>
              </w:rPr>
              <w:t>EG</w:t>
            </w:r>
          </w:p>
        </w:tc>
        <w:tc>
          <w:tcPr>
            <w:tcW w:w="1354" w:type="dxa"/>
            <w:shd w:val="clear" w:color="auto" w:fill="FFFFFF"/>
          </w:tcPr>
          <w:p w:rsidR="00E31A05" w:rsidRPr="00E31A05" w:rsidRDefault="00E31A05" w:rsidP="000A2F95">
            <w:pPr>
              <w:spacing w:before="60"/>
              <w:jc w:val="right"/>
              <w:rPr>
                <w:rFonts w:cs="Arial"/>
              </w:rPr>
            </w:pPr>
            <w:r w:rsidRPr="00E31A05">
              <w:rPr>
                <w:rFonts w:cs="Arial"/>
              </w:rPr>
              <w:t>1. OG</w:t>
            </w:r>
          </w:p>
        </w:tc>
        <w:tc>
          <w:tcPr>
            <w:tcW w:w="994" w:type="dxa"/>
            <w:shd w:val="clear" w:color="auto" w:fill="FFFFFF"/>
          </w:tcPr>
          <w:p w:rsidR="00E31A05" w:rsidRPr="00E31A05" w:rsidRDefault="00E31A05" w:rsidP="000A2F95">
            <w:pPr>
              <w:spacing w:before="60"/>
              <w:jc w:val="right"/>
              <w:rPr>
                <w:rFonts w:cs="Arial"/>
              </w:rPr>
            </w:pPr>
            <w:r w:rsidRPr="00E31A05">
              <w:rPr>
                <w:rFonts w:cs="Arial"/>
              </w:rPr>
              <w:t>EG</w:t>
            </w:r>
          </w:p>
        </w:tc>
        <w:tc>
          <w:tcPr>
            <w:tcW w:w="1353" w:type="dxa"/>
            <w:shd w:val="clear" w:color="auto" w:fill="FFFFFF"/>
          </w:tcPr>
          <w:p w:rsidR="00E31A05" w:rsidRPr="00E31A05" w:rsidRDefault="00E31A05" w:rsidP="000A2F95">
            <w:pPr>
              <w:spacing w:before="60"/>
              <w:jc w:val="right"/>
              <w:rPr>
                <w:rFonts w:cs="Arial"/>
              </w:rPr>
            </w:pPr>
            <w:r w:rsidRPr="00E31A05">
              <w:rPr>
                <w:rFonts w:cs="Arial"/>
              </w:rPr>
              <w:t>1. OG</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1 Vorbereitungs-</w:t>
            </w:r>
          </w:p>
        </w:tc>
        <w:tc>
          <w:tcPr>
            <w:tcW w:w="0" w:type="auto"/>
            <w:shd w:val="clear" w:color="auto" w:fill="FFFFFF"/>
          </w:tcPr>
          <w:p w:rsidR="00E31A05" w:rsidRPr="00E31A05" w:rsidRDefault="00E31A05" w:rsidP="000A2F95">
            <w:pPr>
              <w:spacing w:before="60"/>
              <w:jc w:val="right"/>
              <w:rPr>
                <w:rFonts w:cs="Arial"/>
              </w:rPr>
            </w:pPr>
            <w:r w:rsidRPr="00E31A05">
              <w:rPr>
                <w:rFonts w:cs="Arial"/>
              </w:rPr>
              <w:t>Fr.</w:t>
            </w:r>
          </w:p>
        </w:tc>
        <w:tc>
          <w:tcPr>
            <w:tcW w:w="1038" w:type="dxa"/>
            <w:shd w:val="clear" w:color="auto" w:fill="FFFFFF"/>
          </w:tcPr>
          <w:p w:rsidR="00E31A05" w:rsidRPr="00E31A05" w:rsidRDefault="00E31A05" w:rsidP="000A2F95">
            <w:pPr>
              <w:spacing w:before="60"/>
              <w:jc w:val="right"/>
              <w:rPr>
                <w:rFonts w:cs="Arial"/>
              </w:rPr>
            </w:pPr>
            <w:r w:rsidRPr="00E31A05">
              <w:rPr>
                <w:rFonts w:cs="Arial"/>
              </w:rPr>
              <w:t>Fr.</w:t>
            </w:r>
          </w:p>
        </w:tc>
        <w:tc>
          <w:tcPr>
            <w:tcW w:w="1354" w:type="dxa"/>
            <w:shd w:val="clear" w:color="auto" w:fill="FFFFFF"/>
          </w:tcPr>
          <w:p w:rsidR="00E31A05" w:rsidRPr="00E31A05" w:rsidRDefault="00E31A05" w:rsidP="000A2F95">
            <w:pPr>
              <w:spacing w:before="60"/>
              <w:jc w:val="right"/>
              <w:rPr>
                <w:rFonts w:cs="Arial"/>
              </w:rPr>
            </w:pPr>
            <w:r w:rsidRPr="00E31A05">
              <w:rPr>
                <w:rFonts w:cs="Arial"/>
              </w:rPr>
              <w:t>Fr.</w:t>
            </w:r>
          </w:p>
        </w:tc>
        <w:tc>
          <w:tcPr>
            <w:tcW w:w="994" w:type="dxa"/>
            <w:shd w:val="clear" w:color="auto" w:fill="FFFFFF"/>
          </w:tcPr>
          <w:p w:rsidR="00E31A05" w:rsidRPr="00E31A05" w:rsidRDefault="00E31A05" w:rsidP="000A2F95">
            <w:pPr>
              <w:spacing w:before="60"/>
              <w:jc w:val="right"/>
              <w:rPr>
                <w:rFonts w:cs="Arial"/>
              </w:rPr>
            </w:pPr>
            <w:r w:rsidRPr="00E31A05">
              <w:rPr>
                <w:rFonts w:cs="Arial"/>
              </w:rPr>
              <w:t>Fr.</w:t>
            </w:r>
          </w:p>
        </w:tc>
        <w:tc>
          <w:tcPr>
            <w:tcW w:w="1353" w:type="dxa"/>
            <w:shd w:val="clear" w:color="auto" w:fill="FFFFFF"/>
          </w:tcPr>
          <w:p w:rsidR="00E31A05" w:rsidRPr="00E31A05" w:rsidRDefault="00E31A05" w:rsidP="000A2F95">
            <w:pPr>
              <w:spacing w:before="60"/>
              <w:jc w:val="right"/>
              <w:rPr>
                <w:rFonts w:cs="Arial"/>
              </w:rPr>
            </w:pPr>
            <w:r w:rsidRPr="00E31A05">
              <w:rPr>
                <w:rFonts w:cs="Arial"/>
              </w:rPr>
              <w:t>Fr.</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arbeiten</w:t>
            </w:r>
          </w:p>
        </w:tc>
        <w:tc>
          <w:tcPr>
            <w:tcW w:w="0" w:type="auto"/>
            <w:shd w:val="clear" w:color="auto" w:fill="FFFFFF"/>
          </w:tcPr>
          <w:p w:rsidR="00E31A05" w:rsidRPr="00E31A05" w:rsidRDefault="00E31A05" w:rsidP="000A2F95">
            <w:pPr>
              <w:spacing w:before="60"/>
              <w:jc w:val="right"/>
              <w:rPr>
                <w:rFonts w:cs="Arial"/>
              </w:rPr>
            </w:pPr>
            <w:r w:rsidRPr="00E31A05">
              <w:rPr>
                <w:rFonts w:cs="Arial"/>
              </w:rPr>
              <w:t>85 000</w:t>
            </w:r>
          </w:p>
        </w:tc>
        <w:tc>
          <w:tcPr>
            <w:tcW w:w="1038" w:type="dxa"/>
            <w:shd w:val="clear" w:color="auto" w:fill="FFFFFF"/>
          </w:tcPr>
          <w:p w:rsidR="00E31A05" w:rsidRPr="00E31A05" w:rsidRDefault="00E31A05" w:rsidP="000A2F95">
            <w:pPr>
              <w:spacing w:before="60"/>
              <w:jc w:val="right"/>
              <w:rPr>
                <w:rFonts w:cs="Arial"/>
              </w:rPr>
            </w:pPr>
            <w:r w:rsidRPr="00E31A05">
              <w:rPr>
                <w:rFonts w:cs="Arial"/>
              </w:rPr>
              <w:t>30 000</w:t>
            </w:r>
          </w:p>
        </w:tc>
        <w:tc>
          <w:tcPr>
            <w:tcW w:w="1354" w:type="dxa"/>
            <w:shd w:val="clear" w:color="auto" w:fill="FFFFFF"/>
          </w:tcPr>
          <w:p w:rsidR="00E31A05" w:rsidRPr="00E31A05" w:rsidRDefault="00E31A05" w:rsidP="000A2F95">
            <w:pPr>
              <w:spacing w:before="60"/>
              <w:jc w:val="right"/>
              <w:rPr>
                <w:rFonts w:cs="Arial"/>
              </w:rPr>
            </w:pPr>
            <w:r w:rsidRPr="00E31A05">
              <w:rPr>
                <w:rFonts w:cs="Arial"/>
              </w:rPr>
              <w:t>55 000</w:t>
            </w:r>
          </w:p>
        </w:tc>
        <w:tc>
          <w:tcPr>
            <w:tcW w:w="994" w:type="dxa"/>
            <w:shd w:val="clear" w:color="auto" w:fill="FFFFFF"/>
          </w:tcPr>
          <w:p w:rsidR="00E31A05" w:rsidRPr="00E31A05" w:rsidRDefault="00E31A05" w:rsidP="000A2F95">
            <w:pPr>
              <w:spacing w:before="60"/>
              <w:jc w:val="right"/>
              <w:rPr>
                <w:rFonts w:cs="Arial"/>
              </w:rPr>
            </w:pPr>
            <w:r w:rsidRPr="00E31A05">
              <w:rPr>
                <w:rFonts w:cs="Arial"/>
              </w:rPr>
              <w:t>-</w:t>
            </w:r>
          </w:p>
        </w:tc>
        <w:tc>
          <w:tcPr>
            <w:tcW w:w="1353" w:type="dxa"/>
            <w:shd w:val="clear" w:color="auto" w:fill="FFFFFF"/>
          </w:tcPr>
          <w:p w:rsidR="00E31A05" w:rsidRPr="00E31A05" w:rsidRDefault="00E31A05" w:rsidP="000A2F95">
            <w:pPr>
              <w:spacing w:before="60"/>
              <w:jc w:val="right"/>
              <w:rPr>
                <w:rFonts w:cs="Arial"/>
              </w:rPr>
            </w:pPr>
            <w:r w:rsidRPr="00E31A05">
              <w:rPr>
                <w:rFonts w:cs="Arial"/>
              </w:rPr>
              <w:t>-</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2 Gebäude</w:t>
            </w:r>
          </w:p>
        </w:tc>
        <w:tc>
          <w:tcPr>
            <w:tcW w:w="0" w:type="auto"/>
            <w:shd w:val="clear" w:color="auto" w:fill="FFFFFF"/>
          </w:tcPr>
          <w:p w:rsidR="00E31A05" w:rsidRPr="00E31A05" w:rsidRDefault="00E31A05" w:rsidP="000A2F95">
            <w:pPr>
              <w:spacing w:before="60"/>
              <w:jc w:val="right"/>
              <w:rPr>
                <w:rFonts w:cs="Arial"/>
              </w:rPr>
            </w:pPr>
            <w:r w:rsidRPr="00E31A05">
              <w:rPr>
                <w:rFonts w:cs="Arial"/>
              </w:rPr>
              <w:t>1 168 000</w:t>
            </w:r>
          </w:p>
        </w:tc>
        <w:tc>
          <w:tcPr>
            <w:tcW w:w="1038" w:type="dxa"/>
            <w:shd w:val="clear" w:color="auto" w:fill="FFFFFF"/>
          </w:tcPr>
          <w:p w:rsidR="00E31A05" w:rsidRPr="00E31A05" w:rsidRDefault="00E31A05" w:rsidP="000A2F95">
            <w:pPr>
              <w:spacing w:before="60"/>
              <w:jc w:val="right"/>
              <w:rPr>
                <w:rFonts w:cs="Arial"/>
              </w:rPr>
            </w:pPr>
            <w:r w:rsidRPr="00E31A05">
              <w:rPr>
                <w:rFonts w:cs="Arial"/>
              </w:rPr>
              <w:t>393 000</w:t>
            </w:r>
          </w:p>
        </w:tc>
        <w:tc>
          <w:tcPr>
            <w:tcW w:w="1354" w:type="dxa"/>
            <w:shd w:val="clear" w:color="auto" w:fill="FFFFFF"/>
          </w:tcPr>
          <w:p w:rsidR="00E31A05" w:rsidRPr="00E31A05" w:rsidRDefault="00E31A05" w:rsidP="000A2F95">
            <w:pPr>
              <w:spacing w:before="60"/>
              <w:jc w:val="right"/>
              <w:rPr>
                <w:rFonts w:cs="Arial"/>
              </w:rPr>
            </w:pPr>
            <w:r w:rsidRPr="00E31A05">
              <w:rPr>
                <w:rFonts w:cs="Arial"/>
              </w:rPr>
              <w:t>568 000</w:t>
            </w:r>
          </w:p>
        </w:tc>
        <w:tc>
          <w:tcPr>
            <w:tcW w:w="994" w:type="dxa"/>
            <w:shd w:val="clear" w:color="auto" w:fill="FFFFFF"/>
          </w:tcPr>
          <w:p w:rsidR="00E31A05" w:rsidRPr="00E31A05" w:rsidRDefault="00E31A05" w:rsidP="000A2F95">
            <w:pPr>
              <w:spacing w:before="60"/>
              <w:jc w:val="right"/>
              <w:rPr>
                <w:rFonts w:cs="Arial"/>
              </w:rPr>
            </w:pPr>
            <w:r w:rsidRPr="00E31A05">
              <w:rPr>
                <w:rFonts w:cs="Arial"/>
              </w:rPr>
              <w:t>69 000</w:t>
            </w:r>
          </w:p>
        </w:tc>
        <w:tc>
          <w:tcPr>
            <w:tcW w:w="1353" w:type="dxa"/>
            <w:shd w:val="clear" w:color="auto" w:fill="FFFFFF"/>
          </w:tcPr>
          <w:p w:rsidR="00E31A05" w:rsidRPr="00E31A05" w:rsidRDefault="00E31A05" w:rsidP="000A2F95">
            <w:pPr>
              <w:spacing w:before="60"/>
              <w:jc w:val="right"/>
              <w:rPr>
                <w:rFonts w:cs="Arial"/>
              </w:rPr>
            </w:pPr>
            <w:r w:rsidRPr="00E31A05">
              <w:rPr>
                <w:rFonts w:cs="Arial"/>
              </w:rPr>
              <w:t>138 000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5 Baunebenkosten</w:t>
            </w:r>
          </w:p>
        </w:tc>
        <w:tc>
          <w:tcPr>
            <w:tcW w:w="0" w:type="auto"/>
            <w:shd w:val="clear" w:color="auto" w:fill="FFFFFF"/>
          </w:tcPr>
          <w:p w:rsidR="00E31A05" w:rsidRPr="00E31A05" w:rsidRDefault="00E31A05" w:rsidP="000A2F95">
            <w:pPr>
              <w:spacing w:before="60"/>
              <w:jc w:val="right"/>
              <w:rPr>
                <w:rFonts w:cs="Arial"/>
              </w:rPr>
            </w:pPr>
            <w:r w:rsidRPr="00E31A05">
              <w:rPr>
                <w:rFonts w:cs="Arial"/>
              </w:rPr>
              <w:t>36 000</w:t>
            </w:r>
          </w:p>
        </w:tc>
        <w:tc>
          <w:tcPr>
            <w:tcW w:w="1038" w:type="dxa"/>
            <w:shd w:val="clear" w:color="auto" w:fill="FFFFFF"/>
          </w:tcPr>
          <w:p w:rsidR="00E31A05" w:rsidRPr="00E31A05" w:rsidRDefault="00E31A05" w:rsidP="000A2F95">
            <w:pPr>
              <w:spacing w:before="60"/>
              <w:jc w:val="right"/>
              <w:rPr>
                <w:rFonts w:cs="Arial"/>
              </w:rPr>
            </w:pPr>
            <w:r w:rsidRPr="00E31A05">
              <w:rPr>
                <w:rFonts w:cs="Arial"/>
              </w:rPr>
              <w:t>17 000</w:t>
            </w:r>
          </w:p>
        </w:tc>
        <w:tc>
          <w:tcPr>
            <w:tcW w:w="1354" w:type="dxa"/>
            <w:shd w:val="clear" w:color="auto" w:fill="FFFFFF"/>
          </w:tcPr>
          <w:p w:rsidR="00E31A05" w:rsidRPr="00E31A05" w:rsidRDefault="00E31A05" w:rsidP="000A2F95">
            <w:pPr>
              <w:spacing w:before="60"/>
              <w:jc w:val="right"/>
              <w:rPr>
                <w:rFonts w:cs="Arial"/>
              </w:rPr>
            </w:pPr>
            <w:r w:rsidRPr="00E31A05">
              <w:rPr>
                <w:rFonts w:cs="Arial"/>
              </w:rPr>
              <w:t>17 000</w:t>
            </w:r>
          </w:p>
        </w:tc>
        <w:tc>
          <w:tcPr>
            <w:tcW w:w="994" w:type="dxa"/>
            <w:shd w:val="clear" w:color="auto" w:fill="FFFFFF"/>
          </w:tcPr>
          <w:p w:rsidR="00E31A05" w:rsidRPr="00E31A05" w:rsidRDefault="00E31A05" w:rsidP="000A2F95">
            <w:pPr>
              <w:spacing w:before="60"/>
              <w:jc w:val="right"/>
              <w:rPr>
                <w:rFonts w:cs="Arial"/>
              </w:rPr>
            </w:pPr>
            <w:r w:rsidRPr="00E31A05">
              <w:rPr>
                <w:rFonts w:cs="Arial"/>
              </w:rPr>
              <w:t>2 000</w:t>
            </w:r>
          </w:p>
        </w:tc>
        <w:tc>
          <w:tcPr>
            <w:tcW w:w="1353" w:type="dxa"/>
            <w:shd w:val="clear" w:color="auto" w:fill="FFFFFF"/>
          </w:tcPr>
          <w:p w:rsidR="00E31A05" w:rsidRPr="00E31A05" w:rsidRDefault="00E31A05" w:rsidP="000A2F95">
            <w:pPr>
              <w:spacing w:before="60"/>
              <w:jc w:val="right"/>
              <w:rPr>
                <w:rFonts w:cs="Arial"/>
              </w:rPr>
            </w:pPr>
            <w:r w:rsidRPr="00E31A05">
              <w:rPr>
                <w:rFonts w:cs="Arial"/>
              </w:rPr>
              <w:t>-</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Baukosten</w:t>
            </w:r>
          </w:p>
        </w:tc>
        <w:tc>
          <w:tcPr>
            <w:tcW w:w="0" w:type="auto"/>
            <w:shd w:val="clear" w:color="auto" w:fill="FFFFFF"/>
          </w:tcPr>
          <w:p w:rsidR="00E31A05" w:rsidRPr="00E31A05" w:rsidRDefault="00E31A05" w:rsidP="000A2F95">
            <w:pPr>
              <w:spacing w:before="60"/>
              <w:jc w:val="right"/>
              <w:rPr>
                <w:rFonts w:cs="Arial"/>
              </w:rPr>
            </w:pPr>
            <w:r w:rsidRPr="00E31A05">
              <w:rPr>
                <w:rFonts w:cs="Arial"/>
              </w:rPr>
              <w:t>1 289 000</w:t>
            </w:r>
          </w:p>
        </w:tc>
        <w:tc>
          <w:tcPr>
            <w:tcW w:w="1038" w:type="dxa"/>
            <w:shd w:val="clear" w:color="auto" w:fill="FFFFFF"/>
          </w:tcPr>
          <w:p w:rsidR="00E31A05" w:rsidRPr="00E31A05" w:rsidRDefault="00E31A05" w:rsidP="000A2F95">
            <w:pPr>
              <w:spacing w:before="60"/>
              <w:jc w:val="right"/>
              <w:rPr>
                <w:rFonts w:cs="Arial"/>
              </w:rPr>
            </w:pPr>
            <w:r w:rsidRPr="00E31A05">
              <w:rPr>
                <w:rFonts w:cs="Arial"/>
              </w:rPr>
              <w:t>440 000</w:t>
            </w:r>
          </w:p>
        </w:tc>
        <w:tc>
          <w:tcPr>
            <w:tcW w:w="1354" w:type="dxa"/>
            <w:shd w:val="clear" w:color="auto" w:fill="FFFFFF"/>
          </w:tcPr>
          <w:p w:rsidR="00E31A05" w:rsidRPr="00E31A05" w:rsidRDefault="00E31A05" w:rsidP="000A2F95">
            <w:pPr>
              <w:spacing w:before="60"/>
              <w:jc w:val="right"/>
              <w:rPr>
                <w:rFonts w:cs="Arial"/>
              </w:rPr>
            </w:pPr>
            <w:r w:rsidRPr="00E31A05">
              <w:rPr>
                <w:rFonts w:cs="Arial"/>
              </w:rPr>
              <w:t>640 000</w:t>
            </w:r>
          </w:p>
        </w:tc>
        <w:tc>
          <w:tcPr>
            <w:tcW w:w="994" w:type="dxa"/>
            <w:shd w:val="clear" w:color="auto" w:fill="FFFFFF"/>
          </w:tcPr>
          <w:p w:rsidR="00E31A05" w:rsidRPr="00E31A05" w:rsidRDefault="00E31A05" w:rsidP="000A2F95">
            <w:pPr>
              <w:spacing w:before="60"/>
              <w:jc w:val="right"/>
              <w:rPr>
                <w:rFonts w:cs="Arial"/>
              </w:rPr>
            </w:pPr>
            <w:r w:rsidRPr="00E31A05">
              <w:rPr>
                <w:rFonts w:cs="Arial"/>
              </w:rPr>
              <w:t>71 000</w:t>
            </w:r>
          </w:p>
        </w:tc>
        <w:tc>
          <w:tcPr>
            <w:tcW w:w="1353" w:type="dxa"/>
            <w:shd w:val="clear" w:color="auto" w:fill="FFFFFF"/>
          </w:tcPr>
          <w:p w:rsidR="00E31A05" w:rsidRPr="00E31A05" w:rsidRDefault="00E31A05" w:rsidP="000A2F95">
            <w:pPr>
              <w:spacing w:before="60"/>
              <w:jc w:val="right"/>
              <w:rPr>
                <w:rFonts w:cs="Arial"/>
              </w:rPr>
            </w:pPr>
            <w:r w:rsidRPr="00E31A05">
              <w:rPr>
                <w:rFonts w:cs="Arial"/>
              </w:rPr>
              <w:t>138 000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9 Betriebseinrich-</w:t>
            </w:r>
          </w:p>
        </w:tc>
        <w:tc>
          <w:tcPr>
            <w:tcW w:w="0" w:type="auto"/>
            <w:shd w:val="clear" w:color="auto" w:fill="FFFFFF"/>
          </w:tcPr>
          <w:p w:rsidR="00E31A05" w:rsidRPr="00E31A05" w:rsidRDefault="00E31A05" w:rsidP="000A2F95">
            <w:pPr>
              <w:spacing w:before="60"/>
              <w:rPr>
                <w:rFonts w:cs="Arial"/>
                <w:szCs w:val="10"/>
              </w:rPr>
            </w:pPr>
          </w:p>
        </w:tc>
        <w:tc>
          <w:tcPr>
            <w:tcW w:w="1038" w:type="dxa"/>
            <w:shd w:val="clear" w:color="auto" w:fill="FFFFFF"/>
          </w:tcPr>
          <w:p w:rsidR="00E31A05" w:rsidRPr="00E31A05" w:rsidRDefault="00E31A05" w:rsidP="000A2F95">
            <w:pPr>
              <w:spacing w:before="60"/>
              <w:rPr>
                <w:rFonts w:cs="Arial"/>
                <w:szCs w:val="10"/>
              </w:rPr>
            </w:pPr>
          </w:p>
        </w:tc>
        <w:tc>
          <w:tcPr>
            <w:tcW w:w="1354" w:type="dxa"/>
            <w:shd w:val="clear" w:color="auto" w:fill="FFFFFF"/>
          </w:tcPr>
          <w:p w:rsidR="00E31A05" w:rsidRPr="00E31A05" w:rsidRDefault="00E31A05" w:rsidP="000A2F95">
            <w:pPr>
              <w:spacing w:before="60"/>
              <w:rPr>
                <w:rFonts w:cs="Arial"/>
                <w:szCs w:val="10"/>
              </w:rPr>
            </w:pPr>
          </w:p>
        </w:tc>
        <w:tc>
          <w:tcPr>
            <w:tcW w:w="994" w:type="dxa"/>
            <w:shd w:val="clear" w:color="auto" w:fill="FFFFFF"/>
          </w:tcPr>
          <w:p w:rsidR="00E31A05" w:rsidRPr="00E31A05" w:rsidRDefault="00E31A05" w:rsidP="000A2F95">
            <w:pPr>
              <w:spacing w:before="60"/>
              <w:rPr>
                <w:rFonts w:cs="Arial"/>
                <w:szCs w:val="10"/>
              </w:rPr>
            </w:pPr>
          </w:p>
        </w:tc>
        <w:tc>
          <w:tcPr>
            <w:tcW w:w="1353" w:type="dxa"/>
            <w:shd w:val="clear" w:color="auto" w:fill="FFFFFF"/>
          </w:tcPr>
          <w:p w:rsidR="00E31A05" w:rsidRPr="00E31A05" w:rsidRDefault="00E31A05" w:rsidP="000A2F95">
            <w:pPr>
              <w:spacing w:before="60"/>
              <w:rPr>
                <w:rFonts w:cs="Arial"/>
                <w:szCs w:val="10"/>
              </w:rPr>
            </w:pP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tungen, Möbel</w:t>
            </w:r>
          </w:p>
        </w:tc>
        <w:tc>
          <w:tcPr>
            <w:tcW w:w="0" w:type="auto"/>
            <w:shd w:val="clear" w:color="auto" w:fill="FFFFFF"/>
          </w:tcPr>
          <w:p w:rsidR="00E31A05" w:rsidRPr="00E31A05" w:rsidRDefault="00E31A05" w:rsidP="000A2F95">
            <w:pPr>
              <w:spacing w:before="60"/>
              <w:rPr>
                <w:rFonts w:cs="Arial"/>
              </w:rPr>
            </w:pPr>
            <w:r w:rsidRPr="00E31A05">
              <w:rPr>
                <w:rFonts w:cs="Arial"/>
              </w:rPr>
              <w:t>220 000</w:t>
            </w:r>
          </w:p>
        </w:tc>
        <w:tc>
          <w:tcPr>
            <w:tcW w:w="1038" w:type="dxa"/>
            <w:shd w:val="clear" w:color="auto" w:fill="FFFFFF"/>
          </w:tcPr>
          <w:p w:rsidR="00E31A05" w:rsidRPr="00E31A05" w:rsidRDefault="00E31A05" w:rsidP="000A2F95">
            <w:pPr>
              <w:spacing w:before="60"/>
              <w:rPr>
                <w:rFonts w:cs="Arial"/>
              </w:rPr>
            </w:pPr>
            <w:r w:rsidRPr="00E31A05">
              <w:rPr>
                <w:rFonts w:cs="Arial"/>
              </w:rPr>
              <w:t>-</w:t>
            </w:r>
          </w:p>
        </w:tc>
        <w:tc>
          <w:tcPr>
            <w:tcW w:w="1354" w:type="dxa"/>
            <w:shd w:val="clear" w:color="auto" w:fill="FFFFFF"/>
          </w:tcPr>
          <w:p w:rsidR="00E31A05" w:rsidRPr="00E31A05" w:rsidRDefault="00E31A05" w:rsidP="000A2F95">
            <w:pPr>
              <w:spacing w:before="60"/>
              <w:rPr>
                <w:rFonts w:cs="Arial"/>
              </w:rPr>
            </w:pPr>
            <w:r w:rsidRPr="00E31A05">
              <w:rPr>
                <w:rFonts w:cs="Arial"/>
              </w:rPr>
              <w:t>-</w:t>
            </w:r>
          </w:p>
        </w:tc>
        <w:tc>
          <w:tcPr>
            <w:tcW w:w="994" w:type="dxa"/>
            <w:shd w:val="clear" w:color="auto" w:fill="FFFFFF"/>
          </w:tcPr>
          <w:p w:rsidR="00E31A05" w:rsidRPr="00E31A05" w:rsidRDefault="00E31A05" w:rsidP="000A2F95">
            <w:pPr>
              <w:spacing w:before="60"/>
              <w:rPr>
                <w:rFonts w:cs="Arial"/>
              </w:rPr>
            </w:pPr>
            <w:r w:rsidRPr="00E31A05">
              <w:rPr>
                <w:rFonts w:cs="Arial"/>
              </w:rPr>
              <w:t>-</w:t>
            </w:r>
          </w:p>
        </w:tc>
        <w:tc>
          <w:tcPr>
            <w:tcW w:w="1353" w:type="dxa"/>
            <w:shd w:val="clear" w:color="auto" w:fill="FFFFFF"/>
          </w:tcPr>
          <w:p w:rsidR="00E31A05" w:rsidRPr="00E31A05" w:rsidRDefault="00E31A05" w:rsidP="000A2F95">
            <w:pPr>
              <w:spacing w:before="60"/>
              <w:rPr>
                <w:rFonts w:cs="Arial"/>
              </w:rPr>
            </w:pPr>
            <w:r w:rsidRPr="00E31A05">
              <w:rPr>
                <w:rFonts w:cs="Arial"/>
              </w:rPr>
              <w:t>220 000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Umzug</w:t>
            </w:r>
          </w:p>
        </w:tc>
        <w:tc>
          <w:tcPr>
            <w:tcW w:w="0" w:type="auto"/>
            <w:shd w:val="clear" w:color="auto" w:fill="FFFFFF"/>
          </w:tcPr>
          <w:p w:rsidR="00E31A05" w:rsidRPr="00E31A05" w:rsidRDefault="00E31A05" w:rsidP="000A2F95">
            <w:pPr>
              <w:spacing w:before="60"/>
              <w:rPr>
                <w:rFonts w:cs="Arial"/>
              </w:rPr>
            </w:pPr>
            <w:r w:rsidRPr="00E31A05">
              <w:rPr>
                <w:rFonts w:cs="Arial"/>
              </w:rPr>
              <w:t>31 000</w:t>
            </w:r>
          </w:p>
        </w:tc>
        <w:tc>
          <w:tcPr>
            <w:tcW w:w="1038" w:type="dxa"/>
            <w:shd w:val="clear" w:color="auto" w:fill="FFFFFF"/>
          </w:tcPr>
          <w:p w:rsidR="00E31A05" w:rsidRPr="00E31A05" w:rsidRDefault="00E31A05" w:rsidP="000A2F95">
            <w:pPr>
              <w:spacing w:before="60"/>
              <w:rPr>
                <w:rFonts w:cs="Arial"/>
              </w:rPr>
            </w:pPr>
            <w:r w:rsidRPr="00E31A05">
              <w:rPr>
                <w:rFonts w:cs="Arial"/>
              </w:rPr>
              <w:t>-</w:t>
            </w:r>
          </w:p>
        </w:tc>
        <w:tc>
          <w:tcPr>
            <w:tcW w:w="1354" w:type="dxa"/>
            <w:shd w:val="clear" w:color="auto" w:fill="FFFFFF"/>
          </w:tcPr>
          <w:p w:rsidR="00E31A05" w:rsidRPr="00E31A05" w:rsidRDefault="00E31A05" w:rsidP="000A2F95">
            <w:pPr>
              <w:spacing w:before="60"/>
              <w:rPr>
                <w:rFonts w:cs="Arial"/>
              </w:rPr>
            </w:pPr>
            <w:r w:rsidRPr="00E31A05">
              <w:rPr>
                <w:rFonts w:cs="Arial"/>
              </w:rPr>
              <w:t>-</w:t>
            </w:r>
          </w:p>
        </w:tc>
        <w:tc>
          <w:tcPr>
            <w:tcW w:w="994" w:type="dxa"/>
            <w:shd w:val="clear" w:color="auto" w:fill="FFFFFF"/>
          </w:tcPr>
          <w:p w:rsidR="00E31A05" w:rsidRPr="00E31A05" w:rsidRDefault="00E31A05" w:rsidP="000A2F95">
            <w:pPr>
              <w:spacing w:before="60"/>
              <w:rPr>
                <w:rFonts w:cs="Arial"/>
              </w:rPr>
            </w:pPr>
            <w:r w:rsidRPr="00E31A05">
              <w:rPr>
                <w:rFonts w:cs="Arial"/>
              </w:rPr>
              <w:t>19 000</w:t>
            </w:r>
          </w:p>
        </w:tc>
        <w:tc>
          <w:tcPr>
            <w:tcW w:w="1353" w:type="dxa"/>
            <w:shd w:val="clear" w:color="auto" w:fill="FFFFFF"/>
          </w:tcPr>
          <w:p w:rsidR="00E31A05" w:rsidRPr="00E31A05" w:rsidRDefault="00E31A05" w:rsidP="000A2F95">
            <w:pPr>
              <w:spacing w:before="60"/>
              <w:rPr>
                <w:rFonts w:cs="Arial"/>
              </w:rPr>
            </w:pPr>
            <w:r w:rsidRPr="00E31A05">
              <w:rPr>
                <w:rFonts w:cs="Arial"/>
              </w:rPr>
              <w:t>12 000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Vergabekosten</w:t>
            </w:r>
          </w:p>
        </w:tc>
        <w:tc>
          <w:tcPr>
            <w:tcW w:w="0" w:type="auto"/>
            <w:shd w:val="clear" w:color="auto" w:fill="FFFFFF"/>
          </w:tcPr>
          <w:p w:rsidR="00E31A05" w:rsidRPr="00E31A05" w:rsidRDefault="00E31A05" w:rsidP="000A2F95">
            <w:pPr>
              <w:spacing w:before="60"/>
              <w:rPr>
                <w:rFonts w:cs="Arial"/>
              </w:rPr>
            </w:pPr>
            <w:r w:rsidRPr="00E31A05">
              <w:rPr>
                <w:rFonts w:cs="Arial"/>
              </w:rPr>
              <w:t>1 540 000</w:t>
            </w:r>
          </w:p>
        </w:tc>
        <w:tc>
          <w:tcPr>
            <w:tcW w:w="1038" w:type="dxa"/>
            <w:shd w:val="clear" w:color="auto" w:fill="FFFFFF"/>
          </w:tcPr>
          <w:p w:rsidR="00E31A05" w:rsidRPr="00E31A05" w:rsidRDefault="00E31A05" w:rsidP="000A2F95">
            <w:pPr>
              <w:spacing w:before="60"/>
              <w:rPr>
                <w:rFonts w:cs="Arial"/>
              </w:rPr>
            </w:pPr>
            <w:r w:rsidRPr="00E31A05">
              <w:rPr>
                <w:rFonts w:cs="Arial"/>
              </w:rPr>
              <w:t>440 000</w:t>
            </w:r>
          </w:p>
        </w:tc>
        <w:tc>
          <w:tcPr>
            <w:tcW w:w="1354" w:type="dxa"/>
            <w:shd w:val="clear" w:color="auto" w:fill="FFFFFF"/>
          </w:tcPr>
          <w:p w:rsidR="00E31A05" w:rsidRPr="00E31A05" w:rsidRDefault="00E31A05" w:rsidP="000A2F95">
            <w:pPr>
              <w:spacing w:before="60"/>
              <w:rPr>
                <w:rFonts w:cs="Arial"/>
              </w:rPr>
            </w:pPr>
            <w:r w:rsidRPr="00E31A05">
              <w:rPr>
                <w:rFonts w:cs="Arial"/>
              </w:rPr>
              <w:t>640 000</w:t>
            </w:r>
          </w:p>
        </w:tc>
        <w:tc>
          <w:tcPr>
            <w:tcW w:w="994" w:type="dxa"/>
            <w:shd w:val="clear" w:color="auto" w:fill="FFFFFF"/>
          </w:tcPr>
          <w:p w:rsidR="00E31A05" w:rsidRPr="00E31A05" w:rsidRDefault="00E31A05" w:rsidP="000A2F95">
            <w:pPr>
              <w:spacing w:before="60"/>
              <w:rPr>
                <w:rFonts w:cs="Arial"/>
              </w:rPr>
            </w:pPr>
            <w:r w:rsidRPr="00E31A05">
              <w:rPr>
                <w:rFonts w:cs="Arial"/>
              </w:rPr>
              <w:t>90 000</w:t>
            </w:r>
          </w:p>
        </w:tc>
        <w:tc>
          <w:tcPr>
            <w:tcW w:w="1353" w:type="dxa"/>
            <w:shd w:val="clear" w:color="auto" w:fill="FFFFFF"/>
          </w:tcPr>
          <w:p w:rsidR="00E31A05" w:rsidRPr="00E31A05" w:rsidRDefault="00E31A05" w:rsidP="000A2F95">
            <w:pPr>
              <w:spacing w:before="60"/>
              <w:rPr>
                <w:rFonts w:cs="Arial"/>
              </w:rPr>
            </w:pPr>
            <w:r w:rsidRPr="00E31A05">
              <w:rPr>
                <w:rFonts w:cs="Arial"/>
              </w:rPr>
              <w:t>370 000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6 Unvorhergesehenes</w:t>
            </w:r>
          </w:p>
        </w:tc>
        <w:tc>
          <w:tcPr>
            <w:tcW w:w="0" w:type="auto"/>
            <w:shd w:val="clear" w:color="auto" w:fill="FFFFFF"/>
          </w:tcPr>
          <w:p w:rsidR="00E31A05" w:rsidRPr="00E31A05" w:rsidRDefault="00E31A05" w:rsidP="000A2F95">
            <w:pPr>
              <w:spacing w:before="60"/>
              <w:rPr>
                <w:rFonts w:cs="Arial"/>
              </w:rPr>
            </w:pPr>
            <w:r w:rsidRPr="00E31A05">
              <w:rPr>
                <w:rFonts w:cs="Arial"/>
              </w:rPr>
              <w:t>80 000</w:t>
            </w:r>
          </w:p>
        </w:tc>
        <w:tc>
          <w:tcPr>
            <w:tcW w:w="1038" w:type="dxa"/>
            <w:shd w:val="clear" w:color="auto" w:fill="FFFFFF"/>
          </w:tcPr>
          <w:p w:rsidR="00E31A05" w:rsidRPr="00E31A05" w:rsidRDefault="00E31A05" w:rsidP="000A2F95">
            <w:pPr>
              <w:spacing w:before="60"/>
              <w:rPr>
                <w:rFonts w:cs="Arial"/>
              </w:rPr>
            </w:pPr>
            <w:r w:rsidRPr="00E31A05">
              <w:rPr>
                <w:rFonts w:cs="Arial"/>
              </w:rPr>
              <w:t>20 000</w:t>
            </w:r>
          </w:p>
        </w:tc>
        <w:tc>
          <w:tcPr>
            <w:tcW w:w="1354" w:type="dxa"/>
            <w:shd w:val="clear" w:color="auto" w:fill="FFFFFF"/>
          </w:tcPr>
          <w:p w:rsidR="00E31A05" w:rsidRPr="00E31A05" w:rsidRDefault="00E31A05" w:rsidP="000A2F95">
            <w:pPr>
              <w:spacing w:before="60"/>
              <w:rPr>
                <w:rFonts w:cs="Arial"/>
              </w:rPr>
            </w:pPr>
            <w:r w:rsidRPr="00E31A05">
              <w:rPr>
                <w:rFonts w:cs="Arial"/>
              </w:rPr>
              <w:t>40 000</w:t>
            </w:r>
          </w:p>
        </w:tc>
        <w:tc>
          <w:tcPr>
            <w:tcW w:w="994" w:type="dxa"/>
            <w:shd w:val="clear" w:color="auto" w:fill="FFFFFF"/>
          </w:tcPr>
          <w:p w:rsidR="00E31A05" w:rsidRPr="00E31A05" w:rsidRDefault="00E31A05" w:rsidP="000A2F95">
            <w:pPr>
              <w:spacing w:before="60"/>
              <w:rPr>
                <w:rFonts w:cs="Arial"/>
              </w:rPr>
            </w:pPr>
            <w:r w:rsidRPr="00E31A05">
              <w:rPr>
                <w:rFonts w:cs="Arial"/>
              </w:rPr>
              <w:t>5 000</w:t>
            </w:r>
          </w:p>
        </w:tc>
        <w:tc>
          <w:tcPr>
            <w:tcW w:w="1353" w:type="dxa"/>
            <w:shd w:val="clear" w:color="auto" w:fill="FFFFFF"/>
          </w:tcPr>
          <w:p w:rsidR="00E31A05" w:rsidRPr="00E31A05" w:rsidRDefault="00E31A05" w:rsidP="000A2F95">
            <w:pPr>
              <w:spacing w:before="60"/>
              <w:rPr>
                <w:rFonts w:cs="Arial"/>
              </w:rPr>
            </w:pPr>
            <w:r w:rsidRPr="00E31A05">
              <w:rPr>
                <w:rFonts w:cs="Arial"/>
              </w:rPr>
              <w:t>15 000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rPr>
            </w:pPr>
            <w:r w:rsidRPr="00E31A05">
              <w:rPr>
                <w:rFonts w:cs="Arial"/>
              </w:rPr>
              <w:t>Objektkredit</w:t>
            </w:r>
          </w:p>
        </w:tc>
        <w:tc>
          <w:tcPr>
            <w:tcW w:w="0" w:type="auto"/>
            <w:shd w:val="clear" w:color="auto" w:fill="FFFFFF"/>
          </w:tcPr>
          <w:p w:rsidR="00E31A05" w:rsidRPr="00E31A05" w:rsidRDefault="00E31A05" w:rsidP="000A2F95">
            <w:pPr>
              <w:spacing w:before="60"/>
              <w:rPr>
                <w:rFonts w:cs="Arial"/>
              </w:rPr>
            </w:pPr>
            <w:r w:rsidRPr="00E31A05">
              <w:rPr>
                <w:rFonts w:cs="Arial"/>
              </w:rPr>
              <w:t>1 620 000</w:t>
            </w:r>
          </w:p>
        </w:tc>
        <w:tc>
          <w:tcPr>
            <w:tcW w:w="1038" w:type="dxa"/>
            <w:shd w:val="clear" w:color="auto" w:fill="FFFFFF"/>
          </w:tcPr>
          <w:p w:rsidR="00E31A05" w:rsidRPr="00E31A05" w:rsidRDefault="00E31A05" w:rsidP="000A2F95">
            <w:pPr>
              <w:spacing w:before="60"/>
              <w:rPr>
                <w:rFonts w:cs="Arial"/>
              </w:rPr>
            </w:pPr>
            <w:r w:rsidRPr="00E31A05">
              <w:rPr>
                <w:rFonts w:cs="Arial"/>
              </w:rPr>
              <w:t>460 000</w:t>
            </w:r>
          </w:p>
        </w:tc>
        <w:tc>
          <w:tcPr>
            <w:tcW w:w="1354" w:type="dxa"/>
            <w:shd w:val="clear" w:color="auto" w:fill="FFFFFF"/>
          </w:tcPr>
          <w:p w:rsidR="00E31A05" w:rsidRPr="00E31A05" w:rsidRDefault="00E31A05" w:rsidP="000A2F95">
            <w:pPr>
              <w:spacing w:before="60"/>
              <w:rPr>
                <w:rFonts w:cs="Arial"/>
              </w:rPr>
            </w:pPr>
            <w:r w:rsidRPr="00E31A05">
              <w:rPr>
                <w:rFonts w:cs="Arial"/>
              </w:rPr>
              <w:t>680 000</w:t>
            </w:r>
          </w:p>
        </w:tc>
        <w:tc>
          <w:tcPr>
            <w:tcW w:w="994" w:type="dxa"/>
            <w:shd w:val="clear" w:color="auto" w:fill="FFFFFF"/>
          </w:tcPr>
          <w:p w:rsidR="00E31A05" w:rsidRPr="00E31A05" w:rsidRDefault="00E31A05" w:rsidP="000A2F95">
            <w:pPr>
              <w:spacing w:before="60"/>
              <w:rPr>
                <w:rFonts w:cs="Arial"/>
              </w:rPr>
            </w:pPr>
            <w:r w:rsidRPr="00E31A05">
              <w:rPr>
                <w:rFonts w:cs="Arial"/>
              </w:rPr>
              <w:t>95 000</w:t>
            </w:r>
          </w:p>
        </w:tc>
        <w:tc>
          <w:tcPr>
            <w:tcW w:w="1353" w:type="dxa"/>
            <w:shd w:val="clear" w:color="auto" w:fill="FFFFFF"/>
          </w:tcPr>
          <w:p w:rsidR="00E31A05" w:rsidRPr="00E31A05" w:rsidRDefault="00E31A05" w:rsidP="000A2F95">
            <w:pPr>
              <w:spacing w:before="60"/>
              <w:rPr>
                <w:rFonts w:cs="Arial"/>
              </w:rPr>
            </w:pPr>
            <w:r w:rsidRPr="00E31A05">
              <w:rPr>
                <w:rFonts w:cs="Arial"/>
              </w:rPr>
              <w:t>385 000</w:t>
            </w:r>
          </w:p>
        </w:tc>
      </w:tr>
      <w:tr w:rsidR="00E31A05" w:rsidRPr="00E31A05" w:rsidTr="000A2F95">
        <w:trPr>
          <w:trHeight w:val="283"/>
        </w:trPr>
        <w:tc>
          <w:tcPr>
            <w:tcW w:w="0" w:type="auto"/>
            <w:shd w:val="clear" w:color="auto" w:fill="FFFFFF"/>
          </w:tcPr>
          <w:p w:rsidR="00E31A05" w:rsidRPr="00E31A05" w:rsidRDefault="00E31A05" w:rsidP="000A2F95">
            <w:pPr>
              <w:spacing w:before="60"/>
              <w:rPr>
                <w:rFonts w:cs="Arial"/>
                <w:szCs w:val="10"/>
              </w:rPr>
            </w:pPr>
          </w:p>
        </w:tc>
        <w:tc>
          <w:tcPr>
            <w:tcW w:w="0" w:type="auto"/>
            <w:shd w:val="clear" w:color="auto" w:fill="FFFFFF"/>
          </w:tcPr>
          <w:p w:rsidR="00E31A05" w:rsidRPr="00E31A05" w:rsidRDefault="00E31A05" w:rsidP="000A2F95">
            <w:pPr>
              <w:spacing w:before="60"/>
              <w:rPr>
                <w:rFonts w:cs="Arial"/>
                <w:szCs w:val="10"/>
              </w:rPr>
            </w:pPr>
          </w:p>
        </w:tc>
        <w:tc>
          <w:tcPr>
            <w:tcW w:w="1038" w:type="dxa"/>
            <w:shd w:val="clear" w:color="auto" w:fill="FFFFFF"/>
          </w:tcPr>
          <w:p w:rsidR="00E31A05" w:rsidRPr="00E31A05" w:rsidRDefault="00E31A05" w:rsidP="000A2F95">
            <w:pPr>
              <w:spacing w:before="60"/>
              <w:rPr>
                <w:rFonts w:cs="Arial"/>
                <w:szCs w:val="10"/>
              </w:rPr>
            </w:pPr>
          </w:p>
        </w:tc>
        <w:tc>
          <w:tcPr>
            <w:tcW w:w="1354" w:type="dxa"/>
            <w:shd w:val="clear" w:color="auto" w:fill="FFFFFF"/>
          </w:tcPr>
          <w:p w:rsidR="00E31A05" w:rsidRPr="00E31A05" w:rsidRDefault="00E31A05" w:rsidP="000A2F95">
            <w:pPr>
              <w:spacing w:before="60"/>
              <w:rPr>
                <w:rFonts w:cs="Arial"/>
                <w:szCs w:val="10"/>
              </w:rPr>
            </w:pPr>
          </w:p>
        </w:tc>
        <w:tc>
          <w:tcPr>
            <w:tcW w:w="2347" w:type="dxa"/>
            <w:gridSpan w:val="2"/>
            <w:shd w:val="clear" w:color="auto" w:fill="FFFFFF"/>
          </w:tcPr>
          <w:p w:rsidR="00E31A05" w:rsidRPr="00E31A05" w:rsidRDefault="00E31A05" w:rsidP="000A2F95">
            <w:pPr>
              <w:spacing w:before="60"/>
              <w:rPr>
                <w:rFonts w:cs="Arial"/>
              </w:rPr>
            </w:pPr>
            <w:r w:rsidRPr="00E31A05">
              <w:rPr>
                <w:rFonts w:cs="Arial"/>
              </w:rPr>
              <w:t>480 000</w:t>
            </w:r>
          </w:p>
        </w:tc>
      </w:tr>
    </w:tbl>
    <w:p w:rsidR="00E31A05" w:rsidRPr="00E31A05" w:rsidRDefault="00E31A05" w:rsidP="00E31A05">
      <w:pPr>
        <w:spacing w:before="60"/>
        <w:rPr>
          <w:rFonts w:cs="Arial"/>
        </w:rPr>
      </w:pPr>
      <w:r w:rsidRPr="00E31A05">
        <w:rPr>
          <w:rFonts w:cs="Arial"/>
        </w:rPr>
        <w:t xml:space="preserve">In diesen Kosten sind unter den Betriebseinrichtungen auch die Hard- und Software, die audiovisuelle Infrastruktur (gemäss Offerten der Fürrer Informatik, Zürich, und der </w:t>
      </w:r>
      <w:r w:rsidRPr="00E31A05">
        <w:rPr>
          <w:rFonts w:cs="Arial"/>
          <w:lang w:eastAsia="fr-FR" w:bidi="fr-FR"/>
        </w:rPr>
        <w:t xml:space="preserve">ETES </w:t>
      </w:r>
      <w:r w:rsidRPr="00E31A05">
        <w:rPr>
          <w:rFonts w:cs="Arial"/>
        </w:rPr>
        <w:t>AG, Adliswil) sowie die PCgerechte Möblierung enthalten. Von den Gesamtaufwendungen von Fr. 1 620 000 werden Fr. 620 000 dem Konto B 1023.101, Liegenschaften des Finanzvermögens, und Fr. 520 000 dem Konto 2513.3142, Unterhalt der Liegenschaften des Finanzvermögens, belastet; die restlichen Fr. 480 000 für den mieterseitigen Ausbau gehen zu Lasten der Investitionsrechnung der Finanzdirektion, Personalamt/Abteilung Aus- und Weiterbildung, Konto 2550.02.5064. Alle Aufwendungen sind im Staatsvoranschlag 1994 enthalten.</w:t>
      </w:r>
    </w:p>
    <w:p w:rsidR="00E31A05" w:rsidRPr="00E31A05" w:rsidRDefault="00E31A05" w:rsidP="00E31A05">
      <w:pPr>
        <w:tabs>
          <w:tab w:val="left" w:pos="529"/>
        </w:tabs>
        <w:spacing w:before="60"/>
        <w:rPr>
          <w:rFonts w:cs="Arial"/>
        </w:rPr>
      </w:pPr>
      <w:r w:rsidRPr="00E31A05">
        <w:rPr>
          <w:rFonts w:cs="Arial"/>
        </w:rPr>
        <w:t>D. Das Mietangebot der Liegenschaftenverwaltung für die beiden PC-Schulungsräume ab 1. Januar 1995 präsentiert sich wie folgt: Jährliche Nettomiete für den Parterreraum: (bisher Fr. 77 220) neu Fr. 92 620, und für den neuen Raum 1. Obergeschoss, 84 m</w:t>
      </w:r>
      <w:r w:rsidRPr="00E31A05">
        <w:rPr>
          <w:rFonts w:cs="Arial"/>
          <w:vertAlign w:val="superscript"/>
        </w:rPr>
        <w:t>2</w:t>
      </w:r>
      <w:r w:rsidRPr="00E31A05">
        <w:rPr>
          <w:rFonts w:cs="Arial"/>
        </w:rPr>
        <w:t>: neuer Mietvertrag, Fr. 54 880.</w:t>
      </w:r>
    </w:p>
    <w:p w:rsidR="00E31A05" w:rsidRPr="00E31A05" w:rsidRDefault="00E31A05" w:rsidP="00E31A05">
      <w:pPr>
        <w:spacing w:before="60"/>
        <w:rPr>
          <w:rFonts w:cs="Arial"/>
        </w:rPr>
      </w:pPr>
      <w:r w:rsidRPr="00E31A05">
        <w:rPr>
          <w:rFonts w:cs="Arial"/>
        </w:rPr>
        <w:t>Der Mehraufwand von insgesamt Fr. 70 280 für Miete in kantonalen Liegenschaften, Konto 2550.3921, ist in den Staatsvoranschlag 1995 aufzunehmen.</w:t>
      </w:r>
    </w:p>
    <w:p w:rsidR="00E31A05" w:rsidRPr="00E31A05" w:rsidRDefault="00E31A05" w:rsidP="00E31A05">
      <w:pPr>
        <w:tabs>
          <w:tab w:val="left" w:pos="524"/>
        </w:tabs>
        <w:spacing w:before="60"/>
        <w:rPr>
          <w:rFonts w:cs="Arial"/>
        </w:rPr>
      </w:pPr>
      <w:r w:rsidRPr="00E31A05">
        <w:rPr>
          <w:rFonts w:cs="Arial"/>
        </w:rPr>
        <w:t>E. Nachdem der Regierungsrat mit Beschluss Nr. 78/1994 die Umbauarbeiten im Gebäude Stampfenbachstrasse 63 für die Universität (2. UG, 4./5./6. OG) bereits an die Oerlikon-Bührle Immobilien AG, Zürich, vergeben hat, ist es sinnvoll, die vorgesehenen Sanierungs- und Ausbauarbeiten im Erdgeschoss und im 1. Obergeschoss der gleichen Generalunternehmung zu übergeben. Die Baudirektion beantragt die Vergebung der Arbeiten an die Oerlikon-Bührle Immobilien AG, Zürich, aufgrund der Offerte (Kostendach mit offener Abrechnung) vom 15. Februar 1994 im Betrag von Fr. 1 540 000. Die Vergabesumme erhöht sich für Unvorhergesehenes um rund 5% auf Fr. 1 620 000.</w:t>
      </w:r>
    </w:p>
    <w:p w:rsidR="00E31A05" w:rsidRPr="00E31A05" w:rsidRDefault="00E31A05" w:rsidP="00E31A05">
      <w:pPr>
        <w:spacing w:before="60"/>
        <w:rPr>
          <w:rFonts w:cs="Arial"/>
        </w:rPr>
      </w:pPr>
      <w:r w:rsidRPr="00E31A05">
        <w:rPr>
          <w:rFonts w:cs="Arial"/>
        </w:rPr>
        <w:t>Auf Antrag der Direktionen der Finanzen und der öffentlichen Bauten</w:t>
      </w:r>
    </w:p>
    <w:p w:rsidR="00E31A05" w:rsidRPr="00E31A05" w:rsidRDefault="00E31A05" w:rsidP="00E31A05">
      <w:pPr>
        <w:spacing w:before="60"/>
        <w:jc w:val="center"/>
        <w:rPr>
          <w:rFonts w:cs="Arial"/>
        </w:rPr>
      </w:pPr>
      <w:r w:rsidRPr="00E31A05">
        <w:rPr>
          <w:rFonts w:cs="Arial"/>
        </w:rPr>
        <w:t>beschliesst der Regierungsrat:</w:t>
      </w:r>
    </w:p>
    <w:p w:rsidR="00E31A05" w:rsidRPr="00E31A05" w:rsidRDefault="00E31A05" w:rsidP="00E31A05">
      <w:pPr>
        <w:tabs>
          <w:tab w:val="left" w:pos="452"/>
        </w:tabs>
        <w:spacing w:before="60"/>
        <w:rPr>
          <w:rFonts w:cs="Arial"/>
        </w:rPr>
      </w:pPr>
      <w:r w:rsidRPr="00E31A05">
        <w:rPr>
          <w:rFonts w:cs="Arial"/>
        </w:rPr>
        <w:t>I. Für einen neuen PC-Schulungsraum im 1. Obergeschoss in der Fiskalliegenschaft Stampfenbachstrasse 63, Zürich, wird eine Ausnahme vom Neumietenstopp gemäss RRB Nr. 3797/1991 Dispositiv II bewilligt.</w:t>
      </w:r>
    </w:p>
    <w:p w:rsidR="00E31A05" w:rsidRPr="00E31A05" w:rsidRDefault="00E31A05" w:rsidP="00E31A05">
      <w:pPr>
        <w:tabs>
          <w:tab w:val="left" w:pos="529"/>
        </w:tabs>
        <w:spacing w:before="60"/>
        <w:rPr>
          <w:rFonts w:cs="Arial"/>
        </w:rPr>
      </w:pPr>
      <w:r w:rsidRPr="00E31A05">
        <w:rPr>
          <w:rFonts w:cs="Arial"/>
        </w:rPr>
        <w:t>II. Die Finanzdirektion wird ermächtigt, einen Mietvertrag über den PC-Schulungsraum mit einer Jahresmiete von Fr. 54 880 zuzüglich Nebenkosten abzuschliessen.</w:t>
      </w:r>
    </w:p>
    <w:p w:rsidR="00E31A05" w:rsidRPr="00E31A05" w:rsidRDefault="00E31A05" w:rsidP="00E31A05">
      <w:pPr>
        <w:tabs>
          <w:tab w:val="left" w:pos="601"/>
        </w:tabs>
        <w:spacing w:before="60"/>
        <w:rPr>
          <w:rFonts w:cs="Arial"/>
        </w:rPr>
      </w:pPr>
      <w:r w:rsidRPr="00E31A05">
        <w:rPr>
          <w:rFonts w:cs="Arial"/>
        </w:rPr>
        <w:t>III. Für den Grund- und den mieterseitigen Ausbau sowie die Sanierung der PC-Schulungsräume Parterre und 1. Obergeschoss Stampfenbachstrasse 63, Zürich, wird ein Objektkredit von Fr. 1 620 000 bewilligt.</w:t>
      </w:r>
    </w:p>
    <w:p w:rsidR="00E31A05" w:rsidRPr="00E31A05" w:rsidRDefault="00E31A05" w:rsidP="00E31A05">
      <w:pPr>
        <w:spacing w:before="60"/>
        <w:rPr>
          <w:rFonts w:cs="Arial"/>
        </w:rPr>
      </w:pPr>
      <w:r w:rsidRPr="00E31A05">
        <w:rPr>
          <w:rFonts w:cs="Arial"/>
        </w:rPr>
        <w:t>Davon gehen Fr. 620 000 zu Lasten des Kontos B 1023.101, Liegenschaften des Finanzvermögens, Fr. 520 000 zu Lasten des Kontos 2513. 3142, Unterhalt der Liegenschaften des Finanzvermögens, und Fr. 480 000 zu Lasten des Kontos 2550.02.5064. Investitionsrechnung Personalamt/Abteilung Aus- und Weiterbildung.</w:t>
      </w:r>
    </w:p>
    <w:p w:rsidR="00E31A05" w:rsidRPr="00E31A05" w:rsidRDefault="00E31A05" w:rsidP="00E31A05">
      <w:pPr>
        <w:keepNext/>
        <w:keepLines/>
        <w:tabs>
          <w:tab w:val="left" w:pos="601"/>
        </w:tabs>
        <w:spacing w:before="60"/>
        <w:rPr>
          <w:rFonts w:cs="Arial"/>
        </w:rPr>
      </w:pPr>
      <w:r w:rsidRPr="00E31A05">
        <w:rPr>
          <w:rFonts w:cs="Arial"/>
        </w:rPr>
        <w:t>IV. Für den Grund- und den mieterseitigen Ausbau sowie die Sanierung gemäss Dispositiv III wird die Ausführung an die Oerlikon-Bührle Immobilien AG, Zürich, vergeben.</w:t>
      </w:r>
    </w:p>
    <w:p w:rsidR="00E31A05" w:rsidRPr="00E31A05" w:rsidRDefault="00E31A05" w:rsidP="00E31A05">
      <w:pPr>
        <w:pStyle w:val="00Vorgabetext"/>
        <w:keepNext/>
        <w:keepLines/>
        <w:rPr>
          <w:rFonts w:cs="Arial"/>
        </w:rPr>
      </w:pPr>
      <w:r w:rsidRPr="00E31A05">
        <w:rPr>
          <w:rFonts w:cs="Arial"/>
        </w:rPr>
        <w:t>V. Mitteilung an die Direktionen der Finanzen und der öffentlichen Bauten.</w:t>
      </w:r>
    </w:p>
    <w:p w:rsidR="00E31A05" w:rsidRPr="00E31A05" w:rsidRDefault="00E31A05" w:rsidP="00E31A05">
      <w:pPr>
        <w:pStyle w:val="00Vorgabetext"/>
        <w:keepNext/>
        <w:keepLines/>
        <w:rPr>
          <w:rFonts w:cs="Arial"/>
        </w:rPr>
      </w:pPr>
    </w:p>
    <w:p w:rsidR="00E31A05" w:rsidRPr="00E31A05" w:rsidRDefault="00E31A05" w:rsidP="00E31A05">
      <w:pPr>
        <w:pStyle w:val="00Vorgabetext"/>
        <w:keepNext/>
        <w:keepLines/>
        <w:rPr>
          <w:rFonts w:cs="Arial"/>
        </w:rPr>
      </w:pPr>
    </w:p>
    <w:p w:rsidR="00BE768B" w:rsidRPr="00E31A05" w:rsidRDefault="00E31A05" w:rsidP="00E31A05">
      <w:pPr>
        <w:pStyle w:val="00Vorgabetext"/>
        <w:keepNext/>
        <w:keepLines/>
      </w:pPr>
      <w:r w:rsidRPr="00E31A05">
        <w:rPr>
          <w:rFonts w:cs="Arial"/>
        </w:rPr>
        <w:t>[</w:t>
      </w:r>
      <w:r w:rsidRPr="00E31A05">
        <w:rPr>
          <w:rFonts w:cs="Arial"/>
          <w:i/>
        </w:rPr>
        <w:t>Transkript: OCR (Überarbeitung: Team TKR)/14.09.2017</w:t>
      </w:r>
      <w:bookmarkStart w:id="1" w:name="_GoBack"/>
      <w:r w:rsidRPr="00E31A05">
        <w:rPr>
          <w:rFonts w:cs="Arial"/>
        </w:rPr>
        <w:t xml:space="preserve">] </w:t>
      </w:r>
      <w:bookmarkEnd w:id="1"/>
    </w:p>
    <w:sectPr w:rsidR="00BE768B" w:rsidRPr="00E31A0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A05" w:rsidRDefault="00E31A05">
      <w:r>
        <w:separator/>
      </w:r>
    </w:p>
    <w:p w:rsidR="00E31A05" w:rsidRDefault="00E31A05"/>
    <w:p w:rsidR="00E31A05" w:rsidRDefault="00E31A05"/>
  </w:endnote>
  <w:endnote w:type="continuationSeparator" w:id="0">
    <w:p w:rsidR="00E31A05" w:rsidRDefault="00E31A05">
      <w:r>
        <w:continuationSeparator/>
      </w:r>
    </w:p>
    <w:p w:rsidR="00E31A05" w:rsidRDefault="00E31A05"/>
    <w:p w:rsidR="00E31A05" w:rsidRDefault="00E31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A05" w:rsidRDefault="00E31A05">
      <w:r>
        <w:separator/>
      </w:r>
    </w:p>
    <w:p w:rsidR="00E31A05" w:rsidRDefault="00E31A05"/>
    <w:p w:rsidR="00E31A05" w:rsidRDefault="00E31A05"/>
  </w:footnote>
  <w:footnote w:type="continuationSeparator" w:id="0">
    <w:p w:rsidR="00E31A05" w:rsidRDefault="00E31A05">
      <w:r>
        <w:continuationSeparator/>
      </w:r>
    </w:p>
    <w:p w:rsidR="00E31A05" w:rsidRDefault="00E31A05"/>
    <w:p w:rsidR="00E31A05" w:rsidRDefault="00E31A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31A0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31A0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0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1A05"/>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F957EB-1BA8-4520-9AB6-618E3384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31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6CE1F-F7EF-4EFB-831D-DD25B318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854</Words>
  <Characters>6107</Characters>
  <Application>Microsoft Office Word</Application>
  <DocSecurity>0</DocSecurity>
  <PresentationFormat/>
  <Lines>469</Lines>
  <Paragraphs>386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6575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Personalamt, Aus- und Weiterbildung, PC-Schulungsraum (Stampfenbachstrasse 63, Zürich)</dc:subject>
  <dc:creator>Staatsarchiv des Kantons Zürich</dc:creator>
  <cp:lastModifiedBy>Mirjam Stadler</cp:lastModifiedBy>
  <cp:revision>1</cp:revision>
  <cp:lastPrinted>2012-06-15T14:37:00Z</cp:lastPrinted>
  <dcterms:created xsi:type="dcterms:W3CDTF">2017-09-14T06:37:00Z</dcterms:created>
  <dcterms:modified xsi:type="dcterms:W3CDTF">2017-09-14T06:37:00Z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