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D83D80" w:rsidTr="00C80ABA">
        <w:trPr>
          <w:trHeight w:val="454"/>
        </w:trPr>
        <w:tc>
          <w:tcPr>
            <w:tcW w:w="1668" w:type="dxa"/>
          </w:tcPr>
          <w:p w:rsidR="00A43AE4" w:rsidRPr="00D83D8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83D80">
              <w:t>Signatur</w:t>
            </w:r>
          </w:p>
        </w:tc>
        <w:tc>
          <w:tcPr>
            <w:tcW w:w="6721" w:type="dxa"/>
          </w:tcPr>
          <w:p w:rsidR="00A43AE4" w:rsidRPr="00D83D80" w:rsidRDefault="00D83D80" w:rsidP="00931B1F">
            <w:pPr>
              <w:pStyle w:val="70SignaturX"/>
            </w:pPr>
            <w:proofErr w:type="spellStart"/>
            <w:r w:rsidRPr="00D83D80">
              <w:t>StAZH</w:t>
            </w:r>
            <w:proofErr w:type="spellEnd"/>
            <w:r w:rsidRPr="00D83D80">
              <w:t xml:space="preserve"> MM 3.203 RRB 1994/0943</w:t>
            </w:r>
          </w:p>
        </w:tc>
      </w:tr>
      <w:tr w:rsidR="00A43AE4" w:rsidRPr="00D83D80" w:rsidTr="00C80ABA">
        <w:trPr>
          <w:trHeight w:val="454"/>
        </w:trPr>
        <w:tc>
          <w:tcPr>
            <w:tcW w:w="1668" w:type="dxa"/>
          </w:tcPr>
          <w:p w:rsidR="00A43AE4" w:rsidRPr="00D83D80"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83D80">
              <w:t>Titel</w:t>
            </w:r>
          </w:p>
        </w:tc>
        <w:tc>
          <w:tcPr>
            <w:tcW w:w="6721" w:type="dxa"/>
          </w:tcPr>
          <w:p w:rsidR="006C59EA" w:rsidRPr="00D83D80" w:rsidRDefault="00D83D8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D83D80">
              <w:rPr>
                <w:rFonts w:ascii="Arial Black" w:hAnsi="Arial Black"/>
              </w:rPr>
              <w:t>Informatikstrategie, Finanzierung der Umsetzungsprojekte</w:t>
            </w:r>
          </w:p>
        </w:tc>
      </w:tr>
      <w:tr w:rsidR="00BC0931" w:rsidRPr="00D83D80" w:rsidTr="00C80ABA">
        <w:trPr>
          <w:trHeight w:val="454"/>
        </w:trPr>
        <w:tc>
          <w:tcPr>
            <w:tcW w:w="1668" w:type="dxa"/>
          </w:tcPr>
          <w:p w:rsidR="00BC0931" w:rsidRPr="00D83D80"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83D80">
              <w:t>Datum</w:t>
            </w:r>
          </w:p>
        </w:tc>
        <w:tc>
          <w:tcPr>
            <w:tcW w:w="6721" w:type="dxa"/>
          </w:tcPr>
          <w:p w:rsidR="00BC0931" w:rsidRPr="00D83D80" w:rsidRDefault="00D83D80" w:rsidP="00931B1F">
            <w:pPr>
              <w:pStyle w:val="71DatumX"/>
            </w:pPr>
            <w:r w:rsidRPr="00D83D80">
              <w:t>06.04.1994</w:t>
            </w:r>
          </w:p>
        </w:tc>
      </w:tr>
      <w:tr w:rsidR="00A43AE4" w:rsidRPr="00D83D80" w:rsidTr="00C80ABA">
        <w:trPr>
          <w:trHeight w:val="454"/>
        </w:trPr>
        <w:tc>
          <w:tcPr>
            <w:tcW w:w="1668" w:type="dxa"/>
          </w:tcPr>
          <w:p w:rsidR="00A43AE4" w:rsidRPr="00D83D80"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83D80">
              <w:t>P.</w:t>
            </w:r>
          </w:p>
        </w:tc>
        <w:tc>
          <w:tcPr>
            <w:tcW w:w="6721" w:type="dxa"/>
          </w:tcPr>
          <w:p w:rsidR="00A43AE4" w:rsidRPr="00D83D80" w:rsidRDefault="00D83D80" w:rsidP="00931B1F">
            <w:pPr>
              <w:pStyle w:val="00Vorgabetext"/>
            </w:pPr>
            <w:r w:rsidRPr="00D83D80">
              <w:t>452–453</w:t>
            </w:r>
          </w:p>
        </w:tc>
      </w:tr>
    </w:tbl>
    <w:p w:rsidR="00616641" w:rsidRPr="00D83D80" w:rsidRDefault="00616641" w:rsidP="0077655B">
      <w:pPr>
        <w:pStyle w:val="00Vorgabetext"/>
        <w:spacing w:before="0" w:after="60"/>
      </w:pPr>
    </w:p>
    <w:p w:rsidR="00D83D80" w:rsidRPr="00D83D80" w:rsidRDefault="00D83D80" w:rsidP="00D83D80">
      <w:pPr>
        <w:spacing w:before="60"/>
        <w:rPr>
          <w:rFonts w:cs="Arial"/>
        </w:rPr>
      </w:pPr>
      <w:bookmarkStart w:id="0" w:name="ContentText"/>
      <w:bookmarkEnd w:id="0"/>
      <w:r w:rsidRPr="00D83D80">
        <w:t>[</w:t>
      </w:r>
      <w:r w:rsidRPr="00D83D80">
        <w:rPr>
          <w:i/>
        </w:rPr>
        <w:t>p. 452</w:t>
      </w:r>
      <w:r w:rsidRPr="00D83D80">
        <w:t xml:space="preserve">] </w:t>
      </w:r>
      <w:r w:rsidRPr="00D83D80">
        <w:rPr>
          <w:rFonts w:cs="Arial"/>
        </w:rPr>
        <w:t>A. Ausgangslage</w:t>
      </w:r>
    </w:p>
    <w:p w:rsidR="00D83D80" w:rsidRPr="00D83D80" w:rsidRDefault="00D83D80" w:rsidP="00D83D80">
      <w:pPr>
        <w:spacing w:before="60"/>
        <w:rPr>
          <w:rFonts w:cs="Arial"/>
        </w:rPr>
      </w:pPr>
      <w:r w:rsidRPr="00D83D80">
        <w:rPr>
          <w:rFonts w:cs="Arial"/>
        </w:rPr>
        <w:t>Mit Beschluss Nr. 3275/1993 genehmigte der Regierungsrat die direktionsübergreifende Informatikstrategie. Beruhend auf dem Informatikleitbild sowie den organisatorischen und technischen Leitlinien legt die Realisierungsplanung die zur Umsetzung der Informatikstrategie erforderlichen Projekte fest. Die Finanzdirektion wurde im Rahmen der Arbeitsgruppe für die Steuerung der Informatik und Kommunikation (AGIK) beauftragt, die erforderlichen Führungs- und Steuerungsverfahren sowie die damit verbundenen Richtlinien und Weisungen zu konkretisieren und dem Regierungsrat zur Genehmigung vorzulegen.</w:t>
      </w:r>
    </w:p>
    <w:p w:rsidR="00D83D80" w:rsidRPr="00D83D80" w:rsidRDefault="00D83D80" w:rsidP="00D83D80">
      <w:pPr>
        <w:pStyle w:val="00Vorgabetext"/>
        <w:rPr>
          <w:rFonts w:cs="Arial"/>
        </w:rPr>
      </w:pPr>
      <w:r w:rsidRPr="00D83D80">
        <w:rPr>
          <w:rFonts w:cs="Arial"/>
        </w:rPr>
        <w:t>Seit der Zustimmung zur Informatikstrategie verfeinerte die Abteilung für Informatikplanung die Projektplanung laufend und stimmte sie mit der AGIK ab. Mit einzelnen Projekten, wie dem methodischen Überbau des Informatik-Controlling und der Optimierung des Beschaffungswesens für Informatikmittel, wurde wegen ihrer Dringlichkeit bereits begonnen. // [</w:t>
      </w:r>
      <w:r w:rsidRPr="00D83D80">
        <w:rPr>
          <w:rFonts w:cs="Arial"/>
          <w:i/>
        </w:rPr>
        <w:t>p. 453</w:t>
      </w:r>
      <w:r w:rsidRPr="00D83D80">
        <w:rPr>
          <w:rFonts w:cs="Arial"/>
        </w:rPr>
        <w:t>]</w:t>
      </w:r>
    </w:p>
    <w:p w:rsidR="00D83D80" w:rsidRPr="00D83D80" w:rsidRDefault="00D83D80" w:rsidP="00D83D80">
      <w:pPr>
        <w:spacing w:before="60"/>
        <w:rPr>
          <w:rFonts w:cs="Arial"/>
        </w:rPr>
      </w:pPr>
      <w:r w:rsidRPr="00D83D80">
        <w:rPr>
          <w:rFonts w:cs="Arial"/>
        </w:rPr>
        <w:t>Zur Ausführung der mit der Informatikstrategie beschlossenen Projekte ergibt sich für den Zeitraum Juli 1994 bis März 1995 für Dienstleistungen Dritter ein entsprechender Finanzbedarf. Dieser konnte während der Entwicklung der Informatikstrategie aus sachlichen und zeitlichen Gründen nicht mehr in den Voranschlag 1994 eingestellt werden.</w:t>
      </w:r>
    </w:p>
    <w:p w:rsidR="00D83D80" w:rsidRPr="00D83D80" w:rsidRDefault="00D83D80" w:rsidP="00D83D80">
      <w:pPr>
        <w:spacing w:before="60"/>
        <w:rPr>
          <w:rFonts w:cs="Arial"/>
        </w:rPr>
      </w:pPr>
      <w:r w:rsidRPr="00D83D80">
        <w:rPr>
          <w:rFonts w:cs="Arial"/>
        </w:rPr>
        <w:t>Für die auf 1994 entfallenden Ausgaben von Fr. 250 000 ist deshalb ein Nachtragskredit der I. Serie zu beantragen. Der Restbetrag von Fr. 320 000 wird für den Voranschlag 1995 vorgemerkt.</w:t>
      </w:r>
    </w:p>
    <w:p w:rsidR="00D83D80" w:rsidRPr="00D83D80" w:rsidRDefault="00D83D80" w:rsidP="00D83D80">
      <w:pPr>
        <w:spacing w:before="60"/>
        <w:rPr>
          <w:rFonts w:cs="Arial"/>
        </w:rPr>
      </w:pPr>
      <w:r w:rsidRPr="00D83D80">
        <w:rPr>
          <w:rFonts w:cs="Arial"/>
        </w:rPr>
        <w:t>B. Projektbeschreibungen und Finanzmittelbedarf</w:t>
      </w:r>
    </w:p>
    <w:p w:rsidR="00D83D80" w:rsidRPr="00D83D80" w:rsidRDefault="00D83D80" w:rsidP="00D83D80">
      <w:pPr>
        <w:spacing w:before="60"/>
        <w:rPr>
          <w:rFonts w:cs="Arial"/>
        </w:rPr>
      </w:pPr>
      <w:r w:rsidRPr="00D83D80">
        <w:rPr>
          <w:rFonts w:cs="Arial"/>
        </w:rPr>
        <w:t>Zur Umsetzung der Informatikstrategie sind für nachstehende Projekte Kredite für Dienstleistungen Dritter erforderlich:</w:t>
      </w:r>
    </w:p>
    <w:tbl>
      <w:tblPr>
        <w:tblOverlap w:val="never"/>
        <w:tblW w:w="5000" w:type="pct"/>
        <w:shd w:val="clear" w:color="auto" w:fill="FFFFFF"/>
        <w:tblCellMar>
          <w:left w:w="10" w:type="dxa"/>
          <w:right w:w="10" w:type="dxa"/>
        </w:tblCellMar>
        <w:tblLook w:val="04A0" w:firstRow="1" w:lastRow="0" w:firstColumn="1" w:lastColumn="0" w:noHBand="0" w:noVBand="1"/>
      </w:tblPr>
      <w:tblGrid>
        <w:gridCol w:w="1934"/>
        <w:gridCol w:w="2946"/>
        <w:gridCol w:w="1085"/>
        <w:gridCol w:w="703"/>
        <w:gridCol w:w="703"/>
        <w:gridCol w:w="1162"/>
      </w:tblGrid>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Projekt-</w:t>
            </w:r>
          </w:p>
          <w:p w:rsidR="00D83D80" w:rsidRPr="00B429DA" w:rsidRDefault="00D83D80" w:rsidP="000A2F95">
            <w:pPr>
              <w:spacing w:before="60"/>
              <w:rPr>
                <w:rFonts w:cs="Arial"/>
                <w:sz w:val="18"/>
                <w:szCs w:val="18"/>
              </w:rPr>
            </w:pPr>
            <w:r w:rsidRPr="00B429DA">
              <w:rPr>
                <w:rFonts w:cs="Arial"/>
                <w:sz w:val="18"/>
                <w:szCs w:val="18"/>
              </w:rPr>
              <w:t>Nr.</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Projektbeschreibung</w:t>
            </w:r>
          </w:p>
        </w:tc>
        <w:tc>
          <w:tcPr>
            <w:tcW w:w="63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Geschätzter</w:t>
            </w:r>
          </w:p>
          <w:p w:rsidR="00D83D80" w:rsidRPr="00B429DA" w:rsidRDefault="00D83D80" w:rsidP="000A2F95">
            <w:pPr>
              <w:spacing w:before="60"/>
              <w:rPr>
                <w:rFonts w:cs="Arial"/>
                <w:sz w:val="18"/>
                <w:szCs w:val="18"/>
              </w:rPr>
            </w:pPr>
            <w:r w:rsidRPr="00B429DA">
              <w:rPr>
                <w:rFonts w:cs="Arial"/>
                <w:sz w:val="18"/>
                <w:szCs w:val="18"/>
              </w:rPr>
              <w:t>Aufwand</w:t>
            </w:r>
          </w:p>
        </w:tc>
        <w:tc>
          <w:tcPr>
            <w:tcW w:w="824" w:type="pct"/>
            <w:gridSpan w:val="2"/>
            <w:shd w:val="clear" w:color="auto" w:fill="FFFFFF"/>
          </w:tcPr>
          <w:p w:rsidR="00D83D80" w:rsidRPr="00B429DA" w:rsidRDefault="00D83D80" w:rsidP="000A2F95">
            <w:pPr>
              <w:spacing w:before="60"/>
              <w:rPr>
                <w:rFonts w:cs="Arial"/>
                <w:sz w:val="18"/>
                <w:szCs w:val="18"/>
              </w:rPr>
            </w:pPr>
            <w:r w:rsidRPr="00B429DA">
              <w:rPr>
                <w:rFonts w:cs="Arial"/>
                <w:sz w:val="18"/>
                <w:szCs w:val="18"/>
              </w:rPr>
              <w:t>Finanzierung über Nachtragskredit 1994</w:t>
            </w:r>
          </w:p>
        </w:tc>
        <w:tc>
          <w:tcPr>
            <w:tcW w:w="681" w:type="pct"/>
            <w:shd w:val="clear" w:color="auto" w:fill="FFFFFF"/>
          </w:tcPr>
          <w:p w:rsidR="00D83D80" w:rsidRPr="00B429DA" w:rsidRDefault="00D83D80" w:rsidP="000A2F95">
            <w:pPr>
              <w:spacing w:before="60"/>
              <w:rPr>
                <w:rFonts w:cs="Arial"/>
                <w:sz w:val="18"/>
                <w:szCs w:val="18"/>
              </w:rPr>
            </w:pPr>
            <w:r w:rsidRPr="00B429DA">
              <w:rPr>
                <w:rFonts w:cs="Arial"/>
                <w:sz w:val="18"/>
                <w:szCs w:val="18"/>
              </w:rPr>
              <w:t>Finanzierung über Voranschlag 1995</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1.</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Informatik-Controlling: Entwickeln des</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Fr.</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Fr.</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Fr.</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Instrumentariums (Controlling-Bausteine)</w:t>
            </w:r>
          </w:p>
          <w:p w:rsidR="00D83D80" w:rsidRPr="00B429DA" w:rsidRDefault="00D83D80" w:rsidP="000A2F95">
            <w:pPr>
              <w:tabs>
                <w:tab w:val="left" w:pos="173"/>
              </w:tabs>
              <w:spacing w:before="60"/>
              <w:rPr>
                <w:rFonts w:cs="Arial"/>
                <w:sz w:val="18"/>
                <w:szCs w:val="18"/>
              </w:rPr>
            </w:pPr>
            <w:r w:rsidRPr="00B429DA">
              <w:rPr>
                <w:rFonts w:cs="Arial"/>
                <w:sz w:val="18"/>
                <w:szCs w:val="18"/>
              </w:rPr>
              <w:t>- Entwickeln der Instrumente für die einzelnen Controlling-Bausteine (gemäss Anforderungen des Detailkonzepts)</w:t>
            </w:r>
          </w:p>
          <w:p w:rsidR="00D83D80" w:rsidRPr="00B429DA" w:rsidRDefault="00D83D80" w:rsidP="000A2F95">
            <w:pPr>
              <w:tabs>
                <w:tab w:val="left" w:pos="173"/>
              </w:tabs>
              <w:spacing w:before="60"/>
              <w:rPr>
                <w:rFonts w:cs="Arial"/>
                <w:sz w:val="18"/>
                <w:szCs w:val="18"/>
              </w:rPr>
            </w:pPr>
            <w:r w:rsidRPr="00B429DA">
              <w:rPr>
                <w:rFonts w:cs="Arial"/>
                <w:sz w:val="18"/>
                <w:szCs w:val="18"/>
              </w:rPr>
              <w:lastRenderedPageBreak/>
              <w:t>- Erstellen des Controlling-Handbuchs</w:t>
            </w:r>
          </w:p>
          <w:p w:rsidR="00D83D80" w:rsidRPr="00B429DA" w:rsidRDefault="00D83D80" w:rsidP="000A2F95">
            <w:pPr>
              <w:tabs>
                <w:tab w:val="left" w:pos="173"/>
              </w:tabs>
              <w:spacing w:before="60"/>
              <w:rPr>
                <w:rFonts w:cs="Arial"/>
                <w:sz w:val="18"/>
                <w:szCs w:val="18"/>
              </w:rPr>
            </w:pPr>
            <w:r w:rsidRPr="00B429DA">
              <w:rPr>
                <w:rFonts w:cs="Arial"/>
                <w:sz w:val="18"/>
                <w:szCs w:val="18"/>
              </w:rPr>
              <w:t>- Implementationsunterstützung für die Bereiche</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lastRenderedPageBreak/>
              <w:t>12</w:t>
            </w:r>
            <w:bookmarkStart w:id="1" w:name="_GoBack"/>
            <w:bookmarkEnd w:id="1"/>
            <w:r w:rsidRPr="00B429DA">
              <w:rPr>
                <w:rFonts w:cs="Arial"/>
                <w:sz w:val="18"/>
                <w:szCs w:val="18"/>
              </w:rPr>
              <w:t>0 000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60 000</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60 000</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2.</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Informatik-Controlling: Erweitern der FIVA-Applikation (Anwendung für Finanzplanungs- und Voranschlagswesen)</w:t>
            </w:r>
          </w:p>
          <w:p w:rsidR="00D83D80" w:rsidRPr="00B429DA" w:rsidRDefault="00D83D80" w:rsidP="000A2F95">
            <w:pPr>
              <w:tabs>
                <w:tab w:val="left" w:pos="168"/>
              </w:tabs>
              <w:spacing w:before="60"/>
              <w:rPr>
                <w:rFonts w:cs="Arial"/>
                <w:sz w:val="18"/>
                <w:szCs w:val="18"/>
              </w:rPr>
            </w:pPr>
            <w:r w:rsidRPr="00B429DA">
              <w:rPr>
                <w:rFonts w:cs="Arial"/>
                <w:sz w:val="18"/>
                <w:szCs w:val="18"/>
              </w:rPr>
              <w:t>- Spezifizieren der funktionalen Anforderungen</w:t>
            </w:r>
          </w:p>
          <w:p w:rsidR="00D83D80" w:rsidRPr="00B429DA" w:rsidRDefault="00D83D80" w:rsidP="000A2F95">
            <w:pPr>
              <w:tabs>
                <w:tab w:val="left" w:pos="168"/>
              </w:tabs>
              <w:spacing w:before="60"/>
              <w:rPr>
                <w:rFonts w:cs="Arial"/>
                <w:sz w:val="18"/>
                <w:szCs w:val="18"/>
              </w:rPr>
            </w:pPr>
            <w:r w:rsidRPr="00B429DA">
              <w:rPr>
                <w:rFonts w:cs="Arial"/>
                <w:sz w:val="18"/>
                <w:szCs w:val="18"/>
              </w:rPr>
              <w:t>- Erweitern der FIVA-Datenbank zur Aufnahme der für das Informatik-Controlling erforderlichen Datenelemente</w:t>
            </w:r>
          </w:p>
          <w:p w:rsidR="00D83D80" w:rsidRPr="00B429DA" w:rsidRDefault="00D83D80" w:rsidP="000A2F95">
            <w:pPr>
              <w:tabs>
                <w:tab w:val="left" w:pos="173"/>
              </w:tabs>
              <w:spacing w:before="60"/>
              <w:rPr>
                <w:rFonts w:cs="Arial"/>
                <w:sz w:val="18"/>
                <w:szCs w:val="18"/>
              </w:rPr>
            </w:pPr>
            <w:r w:rsidRPr="00B429DA">
              <w:rPr>
                <w:rFonts w:cs="Arial"/>
                <w:sz w:val="18"/>
                <w:szCs w:val="18"/>
              </w:rPr>
              <w:t>- Entwickeln der Funktionen zur Pflege der Informationen auf der FIVA-Datenbank</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65 000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25 000</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40 000</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3.</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Informatik-Controlling: Anpassen der Infrastruktur der Abteilung für Informatikplanung</w:t>
            </w:r>
          </w:p>
          <w:p w:rsidR="00D83D80" w:rsidRPr="00B429DA" w:rsidRDefault="00D83D80" w:rsidP="000A2F95">
            <w:pPr>
              <w:tabs>
                <w:tab w:val="left" w:pos="168"/>
              </w:tabs>
              <w:spacing w:before="60"/>
              <w:rPr>
                <w:rFonts w:cs="Arial"/>
                <w:sz w:val="18"/>
                <w:szCs w:val="18"/>
              </w:rPr>
            </w:pPr>
            <w:r w:rsidRPr="00B429DA">
              <w:rPr>
                <w:rFonts w:cs="Arial"/>
                <w:sz w:val="18"/>
                <w:szCs w:val="18"/>
              </w:rPr>
              <w:t>- Spezifizieren der funktionalen Anforderungen</w:t>
            </w:r>
          </w:p>
          <w:p w:rsidR="00D83D80" w:rsidRPr="00B429DA" w:rsidRDefault="00D83D80" w:rsidP="000A2F95">
            <w:pPr>
              <w:tabs>
                <w:tab w:val="left" w:pos="168"/>
              </w:tabs>
              <w:spacing w:before="60"/>
              <w:rPr>
                <w:rFonts w:cs="Arial"/>
                <w:sz w:val="18"/>
                <w:szCs w:val="18"/>
              </w:rPr>
            </w:pPr>
            <w:r w:rsidRPr="00B429DA">
              <w:rPr>
                <w:rFonts w:cs="Arial"/>
                <w:sz w:val="18"/>
                <w:szCs w:val="18"/>
              </w:rPr>
              <w:t xml:space="preserve">- Entwickeln der Funktionen zur </w:t>
            </w:r>
            <w:proofErr w:type="spellStart"/>
            <w:r w:rsidRPr="00B429DA">
              <w:rPr>
                <w:rFonts w:cs="Arial"/>
                <w:sz w:val="18"/>
                <w:szCs w:val="18"/>
              </w:rPr>
              <w:t>Abdekkung</w:t>
            </w:r>
            <w:proofErr w:type="spellEnd"/>
            <w:r w:rsidRPr="00B429DA">
              <w:rPr>
                <w:rFonts w:cs="Arial"/>
                <w:sz w:val="18"/>
                <w:szCs w:val="18"/>
              </w:rPr>
              <w:t xml:space="preserve"> der Informatik-Controlling-Bedürfnisse (gemäss Anforderungen des Detailkonzepts)</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30 000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30 000</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4.</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Büroautomation und Bürokommunikation: Entwickeln von Anwendungsrichtlinien</w:t>
            </w:r>
          </w:p>
          <w:p w:rsidR="00D83D80" w:rsidRPr="00B429DA" w:rsidRDefault="00D83D80" w:rsidP="000A2F95">
            <w:pPr>
              <w:tabs>
                <w:tab w:val="left" w:pos="168"/>
              </w:tabs>
              <w:spacing w:before="60"/>
              <w:rPr>
                <w:rFonts w:cs="Arial"/>
                <w:sz w:val="18"/>
                <w:szCs w:val="18"/>
              </w:rPr>
            </w:pPr>
            <w:r w:rsidRPr="00B429DA">
              <w:rPr>
                <w:rFonts w:cs="Arial"/>
                <w:sz w:val="18"/>
                <w:szCs w:val="18"/>
              </w:rPr>
              <w:t>- Entwickeln Anforderungskatalog für die Evaluation der Bürokommunikationsstandards</w:t>
            </w:r>
          </w:p>
          <w:p w:rsidR="00D83D80" w:rsidRPr="00B429DA" w:rsidRDefault="00D83D80" w:rsidP="000A2F95">
            <w:pPr>
              <w:tabs>
                <w:tab w:val="left" w:pos="168"/>
              </w:tabs>
              <w:spacing w:before="60"/>
              <w:rPr>
                <w:rFonts w:cs="Arial"/>
                <w:sz w:val="18"/>
                <w:szCs w:val="18"/>
              </w:rPr>
            </w:pPr>
            <w:r w:rsidRPr="00B429DA">
              <w:rPr>
                <w:rFonts w:cs="Arial"/>
                <w:sz w:val="18"/>
                <w:szCs w:val="18"/>
              </w:rPr>
              <w:t>- Entwickeln der Anwendungsrichtlinien</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75 000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20 000</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55 000</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5.</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Informatik-Ausrüstungskatalog: Evaluieren der strategischen Betriebssysteme in gemischten Netzen</w:t>
            </w:r>
          </w:p>
          <w:p w:rsidR="00D83D80" w:rsidRPr="00B429DA" w:rsidRDefault="00D83D80" w:rsidP="000A2F95">
            <w:pPr>
              <w:tabs>
                <w:tab w:val="left" w:pos="173"/>
              </w:tabs>
              <w:spacing w:before="60"/>
              <w:rPr>
                <w:rFonts w:cs="Arial"/>
                <w:sz w:val="18"/>
                <w:szCs w:val="18"/>
              </w:rPr>
            </w:pPr>
            <w:r w:rsidRPr="00B429DA">
              <w:rPr>
                <w:rFonts w:cs="Arial"/>
                <w:sz w:val="18"/>
                <w:szCs w:val="18"/>
              </w:rPr>
              <w:t>- Entwickeln Anforderungskatalog</w:t>
            </w:r>
          </w:p>
          <w:p w:rsidR="00D83D80" w:rsidRPr="00B429DA" w:rsidRDefault="00D83D80" w:rsidP="000A2F95">
            <w:pPr>
              <w:tabs>
                <w:tab w:val="left" w:pos="178"/>
              </w:tabs>
              <w:spacing w:before="60"/>
              <w:rPr>
                <w:rFonts w:cs="Arial"/>
                <w:sz w:val="18"/>
                <w:szCs w:val="18"/>
              </w:rPr>
            </w:pPr>
            <w:r w:rsidRPr="00B429DA">
              <w:rPr>
                <w:rFonts w:cs="Arial"/>
                <w:sz w:val="18"/>
                <w:szCs w:val="18"/>
              </w:rPr>
              <w:t>- Durchführen der Evaluation</w:t>
            </w:r>
          </w:p>
          <w:p w:rsidR="00D83D80" w:rsidRPr="00B429DA" w:rsidRDefault="00D83D80" w:rsidP="000A2F95">
            <w:pPr>
              <w:tabs>
                <w:tab w:val="left" w:pos="173"/>
              </w:tabs>
              <w:spacing w:before="60"/>
              <w:rPr>
                <w:rFonts w:cs="Arial"/>
                <w:sz w:val="18"/>
                <w:szCs w:val="18"/>
              </w:rPr>
            </w:pPr>
            <w:r w:rsidRPr="00B429DA">
              <w:rPr>
                <w:rFonts w:cs="Arial"/>
                <w:sz w:val="18"/>
                <w:szCs w:val="18"/>
              </w:rPr>
              <w:t>- Durchführen von Praxistests</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15 000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15 000</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6.</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Informatik-Ausrüstungskatalog: Evaluieren der strategischen Netzwerk-Management-Produkte</w:t>
            </w:r>
          </w:p>
          <w:p w:rsidR="00D83D80" w:rsidRPr="00B429DA" w:rsidRDefault="00D83D80" w:rsidP="000A2F95">
            <w:pPr>
              <w:tabs>
                <w:tab w:val="left" w:pos="173"/>
              </w:tabs>
              <w:spacing w:before="60"/>
              <w:rPr>
                <w:rFonts w:cs="Arial"/>
                <w:sz w:val="18"/>
                <w:szCs w:val="18"/>
              </w:rPr>
            </w:pPr>
            <w:r w:rsidRPr="00B429DA">
              <w:rPr>
                <w:rFonts w:cs="Arial"/>
                <w:sz w:val="18"/>
                <w:szCs w:val="18"/>
              </w:rPr>
              <w:t>- Entwickeln Anforderungskatalog</w:t>
            </w:r>
          </w:p>
          <w:p w:rsidR="00D83D80" w:rsidRPr="00B429DA" w:rsidRDefault="00D83D80" w:rsidP="000A2F95">
            <w:pPr>
              <w:tabs>
                <w:tab w:val="left" w:pos="178"/>
              </w:tabs>
              <w:spacing w:before="60"/>
              <w:rPr>
                <w:rFonts w:cs="Arial"/>
                <w:sz w:val="18"/>
                <w:szCs w:val="18"/>
              </w:rPr>
            </w:pPr>
            <w:r w:rsidRPr="00B429DA">
              <w:rPr>
                <w:rFonts w:cs="Arial"/>
                <w:sz w:val="18"/>
                <w:szCs w:val="18"/>
              </w:rPr>
              <w:t>- Durchführen der Evaluation</w:t>
            </w:r>
          </w:p>
          <w:p w:rsidR="00D83D80" w:rsidRPr="00B429DA" w:rsidRDefault="00D83D80" w:rsidP="000A2F95">
            <w:pPr>
              <w:tabs>
                <w:tab w:val="left" w:pos="168"/>
              </w:tabs>
              <w:spacing w:before="60"/>
              <w:rPr>
                <w:rFonts w:cs="Arial"/>
                <w:sz w:val="18"/>
                <w:szCs w:val="18"/>
              </w:rPr>
            </w:pPr>
            <w:r w:rsidRPr="00B429DA">
              <w:rPr>
                <w:rFonts w:cs="Arial"/>
                <w:sz w:val="18"/>
                <w:szCs w:val="18"/>
              </w:rPr>
              <w:t>- Entwickeln der Anwendungsrichtlinien</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25 000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25 000</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7.</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Informatik-Ausrüstungskatalog: Evaluieren der strategischen Groupware-Produkte</w:t>
            </w:r>
          </w:p>
          <w:p w:rsidR="00D83D80" w:rsidRPr="00B429DA" w:rsidRDefault="00D83D80" w:rsidP="000A2F95">
            <w:pPr>
              <w:tabs>
                <w:tab w:val="left" w:pos="173"/>
              </w:tabs>
              <w:spacing w:before="60"/>
              <w:rPr>
                <w:rFonts w:cs="Arial"/>
                <w:sz w:val="18"/>
                <w:szCs w:val="18"/>
              </w:rPr>
            </w:pPr>
            <w:r w:rsidRPr="00B429DA">
              <w:rPr>
                <w:rFonts w:cs="Arial"/>
                <w:sz w:val="18"/>
                <w:szCs w:val="18"/>
              </w:rPr>
              <w:lastRenderedPageBreak/>
              <w:t>- Entwickeln Anforderungskatalog</w:t>
            </w:r>
          </w:p>
          <w:p w:rsidR="00D83D80" w:rsidRPr="00B429DA" w:rsidRDefault="00D83D80" w:rsidP="000A2F95">
            <w:pPr>
              <w:tabs>
                <w:tab w:val="left" w:pos="173"/>
              </w:tabs>
              <w:spacing w:before="60"/>
              <w:rPr>
                <w:rFonts w:cs="Arial"/>
                <w:sz w:val="18"/>
                <w:szCs w:val="18"/>
              </w:rPr>
            </w:pPr>
            <w:r w:rsidRPr="00B429DA">
              <w:rPr>
                <w:rFonts w:cs="Arial"/>
                <w:sz w:val="18"/>
                <w:szCs w:val="18"/>
              </w:rPr>
              <w:t>- Durchführen der Evaluation</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lastRenderedPageBreak/>
              <w:t>15 000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15 000</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8.</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Informatik-Ausrüstungskatalog: Evaluieren der strategischen Systementwicklungswerkzeuge</w:t>
            </w:r>
          </w:p>
          <w:p w:rsidR="00D83D80" w:rsidRPr="00B429DA" w:rsidRDefault="00D83D80" w:rsidP="000A2F95">
            <w:pPr>
              <w:tabs>
                <w:tab w:val="left" w:pos="168"/>
              </w:tabs>
              <w:spacing w:before="60"/>
              <w:rPr>
                <w:rFonts w:cs="Arial"/>
                <w:sz w:val="18"/>
                <w:szCs w:val="18"/>
              </w:rPr>
            </w:pPr>
            <w:r w:rsidRPr="00B429DA">
              <w:rPr>
                <w:rFonts w:cs="Arial"/>
                <w:sz w:val="18"/>
                <w:szCs w:val="18"/>
              </w:rPr>
              <w:t>- Entwickeln Anforderungskatalog an strategische Werkzeuge für die Systementwicklung</w:t>
            </w:r>
          </w:p>
          <w:p w:rsidR="00D83D80" w:rsidRPr="00B429DA" w:rsidRDefault="00D83D80" w:rsidP="000A2F95">
            <w:pPr>
              <w:tabs>
                <w:tab w:val="left" w:pos="173"/>
              </w:tabs>
              <w:spacing w:before="60"/>
              <w:rPr>
                <w:rFonts w:cs="Arial"/>
                <w:sz w:val="18"/>
                <w:szCs w:val="18"/>
              </w:rPr>
            </w:pPr>
            <w:r w:rsidRPr="00B429DA">
              <w:rPr>
                <w:rFonts w:cs="Arial"/>
                <w:sz w:val="18"/>
                <w:szCs w:val="18"/>
              </w:rPr>
              <w:t>- Durchführen der Evaluation</w:t>
            </w:r>
          </w:p>
          <w:p w:rsidR="00D83D80" w:rsidRPr="00B429DA" w:rsidRDefault="00D83D80" w:rsidP="000A2F95">
            <w:pPr>
              <w:tabs>
                <w:tab w:val="left" w:pos="173"/>
              </w:tabs>
              <w:spacing w:before="60"/>
              <w:rPr>
                <w:rFonts w:cs="Arial"/>
                <w:sz w:val="18"/>
                <w:szCs w:val="18"/>
              </w:rPr>
            </w:pPr>
            <w:r w:rsidRPr="00B429DA">
              <w:rPr>
                <w:rFonts w:cs="Arial"/>
                <w:sz w:val="18"/>
                <w:szCs w:val="18"/>
              </w:rPr>
              <w:t>- Entwickeln der Anwendungsrichtlinien</w:t>
            </w:r>
          </w:p>
          <w:p w:rsidR="00D83D80" w:rsidRPr="00B429DA" w:rsidRDefault="00D83D80" w:rsidP="000A2F95">
            <w:pPr>
              <w:tabs>
                <w:tab w:val="left" w:pos="178"/>
              </w:tabs>
              <w:spacing w:before="60"/>
              <w:rPr>
                <w:rFonts w:cs="Arial"/>
                <w:sz w:val="18"/>
                <w:szCs w:val="18"/>
              </w:rPr>
            </w:pPr>
            <w:r w:rsidRPr="00B429DA">
              <w:rPr>
                <w:rFonts w:cs="Arial"/>
                <w:sz w:val="18"/>
                <w:szCs w:val="18"/>
              </w:rPr>
              <w:t>- Durchführen der Vertragsverhandlungen mit den evaluierten Werkzeugherstellern</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75 000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30 000</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45 000</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9.</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Qualitätssicherung in der Software-Entwicklung: Entwickeln von Anwendungsrichtlinien</w:t>
            </w:r>
          </w:p>
          <w:p w:rsidR="00D83D80" w:rsidRPr="00B429DA" w:rsidRDefault="00D83D80" w:rsidP="000A2F95">
            <w:pPr>
              <w:tabs>
                <w:tab w:val="left" w:pos="173"/>
              </w:tabs>
              <w:spacing w:before="60"/>
              <w:rPr>
                <w:rFonts w:cs="Arial"/>
                <w:sz w:val="18"/>
                <w:szCs w:val="18"/>
              </w:rPr>
            </w:pPr>
            <w:r w:rsidRPr="00B429DA">
              <w:rPr>
                <w:rFonts w:cs="Arial"/>
                <w:sz w:val="18"/>
                <w:szCs w:val="18"/>
              </w:rPr>
              <w:t>- Entwickeln Anforderungskatalog an Qualitätssicherungsmassnahmen in der Software-Entwicklung</w:t>
            </w:r>
          </w:p>
          <w:p w:rsidR="00D83D80" w:rsidRPr="00B429DA" w:rsidRDefault="00D83D80" w:rsidP="000A2F95">
            <w:pPr>
              <w:tabs>
                <w:tab w:val="left" w:pos="178"/>
              </w:tabs>
              <w:spacing w:before="60"/>
              <w:rPr>
                <w:rFonts w:cs="Arial"/>
                <w:sz w:val="18"/>
                <w:szCs w:val="18"/>
              </w:rPr>
            </w:pPr>
            <w:r w:rsidRPr="00B429DA">
              <w:rPr>
                <w:rFonts w:cs="Arial"/>
                <w:sz w:val="18"/>
                <w:szCs w:val="18"/>
              </w:rPr>
              <w:t>- Durchführen der Evaluation</w:t>
            </w:r>
          </w:p>
          <w:p w:rsidR="00D83D80" w:rsidRPr="00B429DA" w:rsidRDefault="00D83D80" w:rsidP="000A2F95">
            <w:pPr>
              <w:tabs>
                <w:tab w:val="left" w:pos="168"/>
              </w:tabs>
              <w:spacing w:before="60"/>
              <w:rPr>
                <w:rFonts w:cs="Arial"/>
                <w:sz w:val="18"/>
                <w:szCs w:val="18"/>
              </w:rPr>
            </w:pPr>
            <w:r w:rsidRPr="00B429DA">
              <w:rPr>
                <w:rFonts w:cs="Arial"/>
                <w:sz w:val="18"/>
                <w:szCs w:val="18"/>
              </w:rPr>
              <w:t>- Entwickeln der Anwendungsrichtlinien</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90 000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90 000</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10.</w:t>
            </w:r>
          </w:p>
        </w:tc>
        <w:tc>
          <w:tcPr>
            <w:tcW w:w="1726"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Informatikstrategie: Durchführen der Kommunikationsmassnahmen zur internen und externen Bekanntmachung der Strategie</w:t>
            </w:r>
          </w:p>
          <w:p w:rsidR="00D83D80" w:rsidRPr="00B429DA" w:rsidRDefault="00D83D80" w:rsidP="000A2F95">
            <w:pPr>
              <w:tabs>
                <w:tab w:val="left" w:pos="173"/>
              </w:tabs>
              <w:spacing w:before="60"/>
              <w:rPr>
                <w:rFonts w:cs="Arial"/>
                <w:sz w:val="18"/>
                <w:szCs w:val="18"/>
              </w:rPr>
            </w:pPr>
            <w:r w:rsidRPr="00B429DA">
              <w:rPr>
                <w:rFonts w:cs="Arial"/>
                <w:sz w:val="18"/>
                <w:szCs w:val="18"/>
              </w:rPr>
              <w:t>- Projektleitung</w:t>
            </w:r>
          </w:p>
          <w:p w:rsidR="00D83D80" w:rsidRPr="00B429DA" w:rsidRDefault="00D83D80" w:rsidP="000A2F95">
            <w:pPr>
              <w:tabs>
                <w:tab w:val="left" w:pos="173"/>
              </w:tabs>
              <w:spacing w:before="60"/>
              <w:rPr>
                <w:rFonts w:cs="Arial"/>
                <w:sz w:val="18"/>
                <w:szCs w:val="18"/>
              </w:rPr>
            </w:pPr>
            <w:r w:rsidRPr="00B429DA">
              <w:rPr>
                <w:rFonts w:cs="Arial"/>
                <w:sz w:val="18"/>
                <w:szCs w:val="18"/>
              </w:rPr>
              <w:t>- Entwickeln Kommunikationskonzept</w:t>
            </w:r>
          </w:p>
          <w:p w:rsidR="00D83D80" w:rsidRPr="00B429DA" w:rsidRDefault="00D83D80" w:rsidP="000A2F95">
            <w:pPr>
              <w:tabs>
                <w:tab w:val="left" w:pos="173"/>
              </w:tabs>
              <w:spacing w:before="60"/>
              <w:rPr>
                <w:rFonts w:cs="Arial"/>
                <w:sz w:val="18"/>
                <w:szCs w:val="18"/>
              </w:rPr>
            </w:pPr>
            <w:r w:rsidRPr="00B429DA">
              <w:rPr>
                <w:rFonts w:cs="Arial"/>
                <w:sz w:val="18"/>
                <w:szCs w:val="18"/>
              </w:rPr>
              <w:t>- Entwickeln Detailbroschüre «Informatikstrategie» (einmalig)</w:t>
            </w:r>
          </w:p>
        </w:tc>
        <w:tc>
          <w:tcPr>
            <w:tcW w:w="63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60 000</w:t>
            </w:r>
          </w:p>
        </w:tc>
        <w:tc>
          <w:tcPr>
            <w:tcW w:w="824"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60 000</w:t>
            </w:r>
          </w:p>
        </w:tc>
        <w:tc>
          <w:tcPr>
            <w:tcW w:w="681"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Projekt- Projektbeschreibung Nr.</w:t>
            </w:r>
          </w:p>
        </w:tc>
        <w:tc>
          <w:tcPr>
            <w:tcW w:w="172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Geschätzter</w:t>
            </w:r>
          </w:p>
          <w:p w:rsidR="00D83D80" w:rsidRPr="00B429DA" w:rsidRDefault="00D83D80" w:rsidP="000A2F95">
            <w:pPr>
              <w:spacing w:before="60"/>
              <w:jc w:val="right"/>
              <w:rPr>
                <w:rFonts w:cs="Arial"/>
                <w:sz w:val="18"/>
                <w:szCs w:val="18"/>
              </w:rPr>
            </w:pPr>
            <w:r w:rsidRPr="00B429DA">
              <w:rPr>
                <w:rFonts w:cs="Arial"/>
                <w:sz w:val="18"/>
                <w:szCs w:val="18"/>
              </w:rPr>
              <w:t>Aufwand</w:t>
            </w:r>
          </w:p>
        </w:tc>
        <w:tc>
          <w:tcPr>
            <w:tcW w:w="1048"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Finanzierung über Nachtragskredit 1994</w:t>
            </w:r>
          </w:p>
        </w:tc>
        <w:tc>
          <w:tcPr>
            <w:tcW w:w="1093"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Finanzierung über Voranschlag 1995</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 Entwickeln Newsletter (periodische</w:t>
            </w:r>
          </w:p>
        </w:tc>
        <w:tc>
          <w:tcPr>
            <w:tcW w:w="172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Fr.</w:t>
            </w:r>
          </w:p>
        </w:tc>
        <w:tc>
          <w:tcPr>
            <w:tcW w:w="1048"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Fr.</w:t>
            </w:r>
          </w:p>
        </w:tc>
        <w:tc>
          <w:tcPr>
            <w:tcW w:w="1093"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Fr.</w:t>
            </w: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Informatik über Strategieänderungen)</w:t>
            </w:r>
          </w:p>
        </w:tc>
        <w:tc>
          <w:tcPr>
            <w:tcW w:w="1726" w:type="pct"/>
            <w:shd w:val="clear" w:color="auto" w:fill="FFFFFF"/>
          </w:tcPr>
          <w:p w:rsidR="00D83D80" w:rsidRPr="00B429DA" w:rsidRDefault="00D83D80" w:rsidP="000A2F95">
            <w:pPr>
              <w:spacing w:before="60"/>
              <w:jc w:val="right"/>
              <w:rPr>
                <w:rFonts w:cs="Arial"/>
                <w:sz w:val="18"/>
                <w:szCs w:val="18"/>
              </w:rPr>
            </w:pPr>
          </w:p>
        </w:tc>
        <w:tc>
          <w:tcPr>
            <w:tcW w:w="1048" w:type="pct"/>
            <w:gridSpan w:val="2"/>
            <w:shd w:val="clear" w:color="auto" w:fill="FFFFFF"/>
          </w:tcPr>
          <w:p w:rsidR="00D83D80" w:rsidRPr="00B429DA" w:rsidRDefault="00D83D80" w:rsidP="000A2F95">
            <w:pPr>
              <w:spacing w:before="60"/>
              <w:jc w:val="right"/>
              <w:rPr>
                <w:rFonts w:cs="Arial"/>
                <w:sz w:val="18"/>
                <w:szCs w:val="18"/>
              </w:rPr>
            </w:pPr>
          </w:p>
        </w:tc>
        <w:tc>
          <w:tcPr>
            <w:tcW w:w="1093" w:type="pct"/>
            <w:gridSpan w:val="2"/>
            <w:shd w:val="clear" w:color="auto" w:fill="FFFFFF"/>
          </w:tcPr>
          <w:p w:rsidR="00D83D80" w:rsidRPr="00B429DA" w:rsidRDefault="00D83D80" w:rsidP="000A2F95">
            <w:pPr>
              <w:spacing w:before="60"/>
              <w:jc w:val="right"/>
              <w:rPr>
                <w:rFonts w:cs="Arial"/>
                <w:sz w:val="18"/>
                <w:szCs w:val="18"/>
              </w:rPr>
            </w:pPr>
          </w:p>
        </w:tc>
      </w:tr>
      <w:tr w:rsidR="00D83D80" w:rsidRPr="00D83D80" w:rsidTr="00B429DA">
        <w:trPr>
          <w:trHeight w:val="283"/>
        </w:trPr>
        <w:tc>
          <w:tcPr>
            <w:tcW w:w="1133" w:type="pct"/>
            <w:shd w:val="clear" w:color="auto" w:fill="FFFFFF"/>
          </w:tcPr>
          <w:p w:rsidR="00D83D80" w:rsidRPr="00B429DA" w:rsidRDefault="00D83D80" w:rsidP="000A2F95">
            <w:pPr>
              <w:spacing w:before="60"/>
              <w:rPr>
                <w:rFonts w:cs="Arial"/>
                <w:sz w:val="18"/>
                <w:szCs w:val="18"/>
              </w:rPr>
            </w:pPr>
            <w:r w:rsidRPr="00B429DA">
              <w:rPr>
                <w:rFonts w:cs="Arial"/>
                <w:sz w:val="18"/>
                <w:szCs w:val="18"/>
              </w:rPr>
              <w:t>Total</w:t>
            </w:r>
          </w:p>
        </w:tc>
        <w:tc>
          <w:tcPr>
            <w:tcW w:w="1726" w:type="pct"/>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570 000</w:t>
            </w:r>
          </w:p>
        </w:tc>
        <w:tc>
          <w:tcPr>
            <w:tcW w:w="1048"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250 000</w:t>
            </w:r>
          </w:p>
        </w:tc>
        <w:tc>
          <w:tcPr>
            <w:tcW w:w="1093" w:type="pct"/>
            <w:gridSpan w:val="2"/>
            <w:shd w:val="clear" w:color="auto" w:fill="FFFFFF"/>
          </w:tcPr>
          <w:p w:rsidR="00D83D80" w:rsidRPr="00B429DA" w:rsidRDefault="00D83D80" w:rsidP="000A2F95">
            <w:pPr>
              <w:spacing w:before="60"/>
              <w:jc w:val="right"/>
              <w:rPr>
                <w:rFonts w:cs="Arial"/>
                <w:sz w:val="18"/>
                <w:szCs w:val="18"/>
              </w:rPr>
            </w:pPr>
            <w:r w:rsidRPr="00B429DA">
              <w:rPr>
                <w:rFonts w:cs="Arial"/>
                <w:sz w:val="18"/>
                <w:szCs w:val="18"/>
              </w:rPr>
              <w:t>320 000</w:t>
            </w:r>
          </w:p>
        </w:tc>
      </w:tr>
    </w:tbl>
    <w:p w:rsidR="00D83D80" w:rsidRPr="00D83D80" w:rsidRDefault="00D83D80" w:rsidP="00D83D80">
      <w:pPr>
        <w:spacing w:before="60"/>
        <w:rPr>
          <w:rFonts w:cs="Arial"/>
        </w:rPr>
      </w:pPr>
      <w:r w:rsidRPr="00D83D80">
        <w:rPr>
          <w:rFonts w:cs="Arial"/>
        </w:rPr>
        <w:t>Auf Antrag der Direktion der Finanzen</w:t>
      </w:r>
    </w:p>
    <w:p w:rsidR="00D83D80" w:rsidRPr="00D83D80" w:rsidRDefault="00D83D80" w:rsidP="00D83D80">
      <w:pPr>
        <w:spacing w:before="60"/>
        <w:jc w:val="center"/>
        <w:rPr>
          <w:rFonts w:cs="Arial"/>
        </w:rPr>
      </w:pPr>
      <w:r w:rsidRPr="00D83D80">
        <w:rPr>
          <w:rFonts w:cs="Arial"/>
        </w:rPr>
        <w:t>beschliesst der Regierungsrat:</w:t>
      </w:r>
    </w:p>
    <w:p w:rsidR="00D83D80" w:rsidRPr="00D83D80" w:rsidRDefault="00D83D80" w:rsidP="00D83D80">
      <w:pPr>
        <w:tabs>
          <w:tab w:val="left" w:pos="514"/>
        </w:tabs>
        <w:spacing w:before="60"/>
        <w:rPr>
          <w:rFonts w:cs="Arial"/>
        </w:rPr>
      </w:pPr>
      <w:r w:rsidRPr="00D83D80">
        <w:rPr>
          <w:rFonts w:cs="Arial"/>
        </w:rPr>
        <w:t>I. Für die Umsetzung des Projektes Informatikstrategie wird ein Objektkredit von Fr. 570 000 bewilligt. Die Kosten gehen zu Lasten des Kontos 2570.3180, Entschädigung für Dienstleistungen Dritter.</w:t>
      </w:r>
    </w:p>
    <w:p w:rsidR="00D83D80" w:rsidRPr="00D83D80" w:rsidRDefault="00D83D80" w:rsidP="00D83D80">
      <w:pPr>
        <w:tabs>
          <w:tab w:val="left" w:pos="531"/>
        </w:tabs>
        <w:spacing w:before="60"/>
        <w:rPr>
          <w:rFonts w:cs="Arial"/>
        </w:rPr>
      </w:pPr>
      <w:r w:rsidRPr="00D83D80">
        <w:rPr>
          <w:rFonts w:cs="Arial"/>
        </w:rPr>
        <w:t xml:space="preserve">II. Die Direktion der Finanzen wird ermächtigt, mit der I. Serie der Nachtragskreditbegehren 1994 zu Lasten des Kontos 2570.3180, Entschädigung für Dienstleistungen Dritter, einen Nachtragskredit von Fr. 250000 anzufordern und nach </w:t>
      </w:r>
      <w:r w:rsidRPr="00D83D80">
        <w:rPr>
          <w:rFonts w:cs="Arial"/>
        </w:rPr>
        <w:lastRenderedPageBreak/>
        <w:t>der Beschlussfassung durch den Kantonsrat darüber zu verfügen. Der Nachtragskredit wird innerhalb der Direktion der Finanzen durch folgende Einsparungen kompensiert:</w:t>
      </w:r>
    </w:p>
    <w:p w:rsidR="00D83D80" w:rsidRPr="00D83D80" w:rsidRDefault="00D83D80" w:rsidP="00D83D80">
      <w:pPr>
        <w:tabs>
          <w:tab w:val="left" w:pos="224"/>
        </w:tabs>
        <w:spacing w:before="60"/>
        <w:rPr>
          <w:rFonts w:cs="Arial"/>
        </w:rPr>
      </w:pPr>
      <w:r w:rsidRPr="00D83D80">
        <w:rPr>
          <w:rFonts w:cs="Arial"/>
        </w:rPr>
        <w:t>- Fr. 62 500 auf Konto 2510.3180,</w:t>
      </w:r>
    </w:p>
    <w:p w:rsidR="00D83D80" w:rsidRPr="00D83D80" w:rsidRDefault="00D83D80" w:rsidP="00D83D80">
      <w:pPr>
        <w:tabs>
          <w:tab w:val="left" w:pos="229"/>
        </w:tabs>
        <w:spacing w:before="60"/>
        <w:rPr>
          <w:rFonts w:cs="Arial"/>
        </w:rPr>
      </w:pPr>
      <w:r w:rsidRPr="00D83D80">
        <w:rPr>
          <w:rFonts w:cs="Arial"/>
        </w:rPr>
        <w:t>- Fr. 27 500 auf Konto 2512.3180,</w:t>
      </w:r>
    </w:p>
    <w:p w:rsidR="00D83D80" w:rsidRPr="00D83D80" w:rsidRDefault="00D83D80" w:rsidP="00D83D80">
      <w:pPr>
        <w:tabs>
          <w:tab w:val="left" w:pos="229"/>
        </w:tabs>
        <w:spacing w:before="60"/>
        <w:rPr>
          <w:rFonts w:cs="Arial"/>
        </w:rPr>
      </w:pPr>
      <w:r w:rsidRPr="00D83D80">
        <w:rPr>
          <w:rFonts w:cs="Arial"/>
        </w:rPr>
        <w:t>- Fr. 25 000 auf Konto 2513.3180,</w:t>
      </w:r>
    </w:p>
    <w:p w:rsidR="00D83D80" w:rsidRPr="00D83D80" w:rsidRDefault="00D83D80" w:rsidP="00D83D80">
      <w:pPr>
        <w:tabs>
          <w:tab w:val="left" w:pos="229"/>
        </w:tabs>
        <w:spacing w:before="60"/>
        <w:rPr>
          <w:rFonts w:cs="Arial"/>
        </w:rPr>
      </w:pPr>
      <w:r w:rsidRPr="00D83D80">
        <w:rPr>
          <w:rFonts w:cs="Arial"/>
        </w:rPr>
        <w:t>- Fr. 22 500 auf Konto 2520.3180,</w:t>
      </w:r>
    </w:p>
    <w:p w:rsidR="00D83D80" w:rsidRPr="00D83D80" w:rsidRDefault="00D83D80" w:rsidP="00D83D80">
      <w:pPr>
        <w:tabs>
          <w:tab w:val="left" w:pos="229"/>
        </w:tabs>
        <w:spacing w:before="60"/>
        <w:rPr>
          <w:rFonts w:cs="Arial"/>
        </w:rPr>
      </w:pPr>
      <w:r w:rsidRPr="00D83D80">
        <w:rPr>
          <w:rFonts w:cs="Arial"/>
        </w:rPr>
        <w:t>- Fr. 112 500 auf Konto 2540.01.3160.</w:t>
      </w:r>
    </w:p>
    <w:p w:rsidR="00D83D80" w:rsidRPr="00D83D80" w:rsidRDefault="00D83D80" w:rsidP="00D83D80">
      <w:pPr>
        <w:keepNext/>
        <w:keepLines/>
        <w:tabs>
          <w:tab w:val="left" w:pos="608"/>
        </w:tabs>
        <w:spacing w:before="60"/>
        <w:rPr>
          <w:rFonts w:cs="Arial"/>
        </w:rPr>
      </w:pPr>
      <w:r w:rsidRPr="00D83D80">
        <w:rPr>
          <w:rFonts w:cs="Arial"/>
        </w:rPr>
        <w:t xml:space="preserve">III. Die Finanzdirektion wird ermächtigt, Aufträge an verschiedene Firmen, unter anderem einen über Fr. 120 000 an </w:t>
      </w:r>
      <w:proofErr w:type="spellStart"/>
      <w:r w:rsidRPr="00D83D80">
        <w:rPr>
          <w:rFonts w:cs="Arial"/>
        </w:rPr>
        <w:t>Revisuisse</w:t>
      </w:r>
      <w:proofErr w:type="spellEnd"/>
      <w:r w:rsidRPr="00D83D80">
        <w:rPr>
          <w:rFonts w:cs="Arial"/>
        </w:rPr>
        <w:t xml:space="preserve"> </w:t>
      </w:r>
      <w:r w:rsidRPr="00D83D80">
        <w:rPr>
          <w:rFonts w:cs="Arial"/>
          <w:lang w:eastAsia="fr-FR" w:bidi="fr-FR"/>
        </w:rPr>
        <w:t xml:space="preserve">Price </w:t>
      </w:r>
      <w:r w:rsidRPr="00D83D80">
        <w:rPr>
          <w:rFonts w:cs="Arial"/>
        </w:rPr>
        <w:t>Waterhouse, Zürich, zu vergeben.</w:t>
      </w:r>
    </w:p>
    <w:p w:rsidR="00D83D80" w:rsidRPr="00D83D80" w:rsidRDefault="00D83D80" w:rsidP="00D83D80">
      <w:pPr>
        <w:pStyle w:val="00Vorgabetext"/>
        <w:keepNext/>
        <w:keepLines/>
        <w:rPr>
          <w:rFonts w:cs="Arial"/>
        </w:rPr>
      </w:pPr>
      <w:r w:rsidRPr="00D83D80">
        <w:rPr>
          <w:rFonts w:cs="Arial"/>
        </w:rPr>
        <w:t>IV. Mitteilung an die Direktion der Finanzen.</w:t>
      </w:r>
    </w:p>
    <w:p w:rsidR="00D83D80" w:rsidRPr="00D83D80" w:rsidRDefault="00D83D80" w:rsidP="00D83D80">
      <w:pPr>
        <w:pStyle w:val="00Vorgabetext"/>
        <w:keepNext/>
        <w:keepLines/>
        <w:rPr>
          <w:rFonts w:cs="Arial"/>
        </w:rPr>
      </w:pPr>
    </w:p>
    <w:p w:rsidR="00D83D80" w:rsidRPr="00D83D80" w:rsidRDefault="00D83D80" w:rsidP="00D83D80">
      <w:pPr>
        <w:pStyle w:val="00Vorgabetext"/>
        <w:keepNext/>
        <w:keepLines/>
        <w:rPr>
          <w:rFonts w:cs="Arial"/>
        </w:rPr>
      </w:pPr>
    </w:p>
    <w:p w:rsidR="00BE768B" w:rsidRPr="00D83D80" w:rsidRDefault="00D83D80" w:rsidP="00D83D80">
      <w:pPr>
        <w:pStyle w:val="00Vorgabetext"/>
        <w:keepNext/>
        <w:keepLines/>
      </w:pPr>
      <w:r w:rsidRPr="00D83D80">
        <w:rPr>
          <w:rFonts w:cs="Arial"/>
        </w:rPr>
        <w:t>[</w:t>
      </w:r>
      <w:r w:rsidRPr="00D83D80">
        <w:rPr>
          <w:rFonts w:cs="Arial"/>
          <w:i/>
        </w:rPr>
        <w:t xml:space="preserve">Transkript: OCR (Überarbeitung: Team </w:t>
      </w:r>
      <w:proofErr w:type="gramStart"/>
      <w:r w:rsidRPr="00D83D80">
        <w:rPr>
          <w:rFonts w:cs="Arial"/>
          <w:i/>
        </w:rPr>
        <w:t>TKR)/</w:t>
      </w:r>
      <w:proofErr w:type="gramEnd"/>
      <w:r w:rsidRPr="00D83D80">
        <w:rPr>
          <w:rFonts w:cs="Arial"/>
          <w:i/>
        </w:rPr>
        <w:t>14.09.2017</w:t>
      </w:r>
      <w:r w:rsidRPr="00D83D80">
        <w:rPr>
          <w:rFonts w:cs="Arial"/>
        </w:rPr>
        <w:t xml:space="preserve">] </w:t>
      </w:r>
    </w:p>
    <w:sectPr w:rsidR="00BE768B" w:rsidRPr="00D83D80"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D80" w:rsidRDefault="00D83D80">
      <w:r>
        <w:separator/>
      </w:r>
    </w:p>
    <w:p w:rsidR="00D83D80" w:rsidRDefault="00D83D80"/>
    <w:p w:rsidR="00D83D80" w:rsidRDefault="00D83D80"/>
  </w:endnote>
  <w:endnote w:type="continuationSeparator" w:id="0">
    <w:p w:rsidR="00D83D80" w:rsidRDefault="00D83D80">
      <w:r>
        <w:continuationSeparator/>
      </w:r>
    </w:p>
    <w:p w:rsidR="00D83D80" w:rsidRDefault="00D83D80"/>
    <w:p w:rsidR="00D83D80" w:rsidRDefault="00D83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D80" w:rsidRDefault="00D83D80">
      <w:r>
        <w:separator/>
      </w:r>
    </w:p>
    <w:p w:rsidR="00D83D80" w:rsidRDefault="00D83D80"/>
    <w:p w:rsidR="00D83D80" w:rsidRDefault="00D83D80"/>
  </w:footnote>
  <w:footnote w:type="continuationSeparator" w:id="0">
    <w:p w:rsidR="00D83D80" w:rsidRDefault="00D83D80">
      <w:r>
        <w:continuationSeparator/>
      </w:r>
    </w:p>
    <w:p w:rsidR="00D83D80" w:rsidRDefault="00D83D80"/>
    <w:p w:rsidR="00D83D80" w:rsidRDefault="00D83D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B429DA">
            <w:rPr>
              <w:rStyle w:val="Seitenzahl"/>
              <w:noProof/>
            </w:rPr>
            <w:t>4</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429DA">
            <w:rPr>
              <w:rStyle w:val="Seitenzahl"/>
              <w:noProof/>
            </w:rPr>
            <w:t>4</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B429DA">
        <w:rPr>
          <w:noProof/>
        </w:rPr>
        <w:t>StAZH MM 3.203 RRB 1994/0943</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B429DA">
        <w:rPr>
          <w:noProof/>
        </w:rPr>
        <w:t>06.04.1994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429D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D8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29DA"/>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3D80"/>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0B70C09C-68B7-4030-B48E-369BA1E8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83D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7B43B-6BBF-4642-B90E-E647BD5A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4</Pages>
  <Words>718</Words>
  <Characters>5211</Characters>
  <Application>Microsoft Office Word</Application>
  <DocSecurity>0</DocSecurity>
  <PresentationFormat/>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5918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Informatikstrategie, Finanzierung der Umsetzungsprojekte</dc:subject>
  <dc:creator>Staatsarchiv des Kantons Zürich</dc:creator>
  <cp:lastModifiedBy>Himmelberger Ilona</cp:lastModifiedBy>
  <cp:revision>2</cp:revision>
  <cp:lastPrinted>2012-06-15T14:37:00Z</cp:lastPrinted>
  <dcterms:created xsi:type="dcterms:W3CDTF">2017-09-14T06:37:00Z</dcterms:created>
  <dcterms:modified xsi:type="dcterms:W3CDTF">2019-02-14T10:06:00Z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