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B2109D" w:rsidTr="00C80ABA">
        <w:trPr>
          <w:trHeight w:val="454"/>
        </w:trPr>
        <w:tc>
          <w:tcPr>
            <w:tcW w:w="1668" w:type="dxa"/>
          </w:tcPr>
          <w:p w:rsidR="00A43AE4" w:rsidRPr="00B2109D"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B2109D">
              <w:t>Signatur</w:t>
            </w:r>
          </w:p>
        </w:tc>
        <w:tc>
          <w:tcPr>
            <w:tcW w:w="6721" w:type="dxa"/>
          </w:tcPr>
          <w:p w:rsidR="00A43AE4" w:rsidRPr="00B2109D" w:rsidRDefault="00B2109D" w:rsidP="00931B1F">
            <w:pPr>
              <w:pStyle w:val="70SignaturX"/>
            </w:pPr>
            <w:r w:rsidRPr="00B2109D">
              <w:t>StAZH MM 3.203 RRB 1994/0945</w:t>
            </w:r>
          </w:p>
        </w:tc>
      </w:tr>
      <w:tr w:rsidR="00A43AE4" w:rsidRPr="00B2109D" w:rsidTr="00C80ABA">
        <w:trPr>
          <w:trHeight w:val="454"/>
        </w:trPr>
        <w:tc>
          <w:tcPr>
            <w:tcW w:w="1668" w:type="dxa"/>
          </w:tcPr>
          <w:p w:rsidR="00A43AE4" w:rsidRPr="00B2109D"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B2109D">
              <w:t>Titel</w:t>
            </w:r>
          </w:p>
        </w:tc>
        <w:tc>
          <w:tcPr>
            <w:tcW w:w="6721" w:type="dxa"/>
          </w:tcPr>
          <w:p w:rsidR="006C59EA" w:rsidRPr="00B2109D" w:rsidRDefault="00B2109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B2109D">
              <w:rPr>
                <w:rFonts w:ascii="Arial Black" w:hAnsi="Arial Black"/>
              </w:rPr>
              <w:t>Flughafen-Immobilien-Gesellschaft (Statutenänderung)</w:t>
            </w:r>
          </w:p>
        </w:tc>
      </w:tr>
      <w:tr w:rsidR="00BC0931" w:rsidRPr="00B2109D" w:rsidTr="00C80ABA">
        <w:trPr>
          <w:trHeight w:val="454"/>
        </w:trPr>
        <w:tc>
          <w:tcPr>
            <w:tcW w:w="1668" w:type="dxa"/>
          </w:tcPr>
          <w:p w:rsidR="00BC0931" w:rsidRPr="00B2109D"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B2109D">
              <w:t>Datum</w:t>
            </w:r>
          </w:p>
        </w:tc>
        <w:tc>
          <w:tcPr>
            <w:tcW w:w="6721" w:type="dxa"/>
          </w:tcPr>
          <w:p w:rsidR="00BC0931" w:rsidRPr="00B2109D" w:rsidRDefault="00B2109D" w:rsidP="00931B1F">
            <w:pPr>
              <w:pStyle w:val="71DatumX"/>
            </w:pPr>
            <w:r w:rsidRPr="00B2109D">
              <w:t>06.04.1994</w:t>
            </w:r>
          </w:p>
        </w:tc>
      </w:tr>
      <w:tr w:rsidR="00A43AE4" w:rsidRPr="00B2109D" w:rsidTr="00C80ABA">
        <w:trPr>
          <w:trHeight w:val="454"/>
        </w:trPr>
        <w:tc>
          <w:tcPr>
            <w:tcW w:w="1668" w:type="dxa"/>
          </w:tcPr>
          <w:p w:rsidR="00A43AE4" w:rsidRPr="00B2109D"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B2109D">
              <w:t>P.</w:t>
            </w:r>
          </w:p>
        </w:tc>
        <w:tc>
          <w:tcPr>
            <w:tcW w:w="6721" w:type="dxa"/>
          </w:tcPr>
          <w:p w:rsidR="00A43AE4" w:rsidRPr="00B2109D" w:rsidRDefault="00B2109D" w:rsidP="00931B1F">
            <w:pPr>
              <w:pStyle w:val="00Vorgabetext"/>
            </w:pPr>
            <w:r w:rsidRPr="00B2109D">
              <w:t>453–454</w:t>
            </w:r>
          </w:p>
        </w:tc>
      </w:tr>
    </w:tbl>
    <w:p w:rsidR="00616641" w:rsidRPr="00B2109D" w:rsidRDefault="00616641" w:rsidP="0077655B">
      <w:pPr>
        <w:pStyle w:val="00Vorgabetext"/>
        <w:spacing w:before="0" w:after="60"/>
      </w:pPr>
    </w:p>
    <w:p w:rsidR="00B2109D" w:rsidRPr="00B2109D" w:rsidRDefault="00B2109D" w:rsidP="00BE768B">
      <w:pPr>
        <w:pStyle w:val="00Vorgabetext"/>
        <w:rPr>
          <w:rFonts w:cs="Arial"/>
        </w:rPr>
      </w:pPr>
      <w:bookmarkStart w:id="0" w:name="ContentText"/>
      <w:bookmarkEnd w:id="0"/>
      <w:r w:rsidRPr="00B2109D">
        <w:t>[</w:t>
      </w:r>
      <w:r w:rsidRPr="00B2109D">
        <w:rPr>
          <w:i/>
        </w:rPr>
        <w:t>p. 453</w:t>
      </w:r>
      <w:r w:rsidRPr="00B2109D">
        <w:t xml:space="preserve">] </w:t>
      </w:r>
      <w:r w:rsidRPr="00B2109D">
        <w:rPr>
          <w:rFonts w:cs="Arial"/>
        </w:rPr>
        <w:t>Aufgrund des seit dem 1. Juli 1992 geltenden neuen Aktienrechts müssen die bestehenden Gesellschaftsstatuten der FIG geändert werden. Der Verwaltungsrat hat an seiner Sitzung vom 9. Dezember 1993 einen Entwurf zur Änderung der Statuten zuhanden der Generalversammlung 1994 verabschiedet, jedoch die Formulierung von § 11 Abs. 1 betreffend die Zusammensetzung des Verwaltungsrates noch offengelassen. Diese Bestimmung soll eine Verkleinerung des Verwaltungsrates ermöglichen, dabei aber die Vertretung der an der FIG beteiligten öffentlichrechtlichen Körperschaften gewährleisten.</w:t>
      </w:r>
      <w:r w:rsidRPr="00B2109D">
        <w:rPr>
          <w:rFonts w:cs="Arial"/>
        </w:rPr>
        <w:t xml:space="preserve"> // [</w:t>
      </w:r>
      <w:r w:rsidRPr="00B2109D">
        <w:rPr>
          <w:rFonts w:cs="Arial"/>
          <w:i/>
        </w:rPr>
        <w:t>p. 454</w:t>
      </w:r>
      <w:r w:rsidRPr="00B2109D">
        <w:rPr>
          <w:rFonts w:cs="Arial"/>
        </w:rPr>
        <w:t>]</w:t>
      </w:r>
    </w:p>
    <w:p w:rsidR="00B2109D" w:rsidRPr="00B2109D" w:rsidRDefault="00B2109D" w:rsidP="00B2109D">
      <w:pPr>
        <w:spacing w:before="60"/>
        <w:rPr>
          <w:rFonts w:cs="Arial"/>
        </w:rPr>
      </w:pPr>
      <w:r w:rsidRPr="00B2109D">
        <w:rPr>
          <w:rFonts w:cs="Arial"/>
        </w:rPr>
        <w:t>Gemäss dem geltenden § 10 besteht der Verwaltungsrat höchstens aus 20 Mitgliedern. Die Verwaltungsratssitze stehen zur Hälfte der öffentlichen Hand zu; davon entfallen mindestens vier auf den Kanton Zürich, drei auf die Stadt Zürich und je einen auf die Zürcher Kantonalbank, die Städte Winterthur und Kloten.</w:t>
      </w:r>
    </w:p>
    <w:p w:rsidR="00B2109D" w:rsidRPr="00B2109D" w:rsidRDefault="00B2109D" w:rsidP="00B2109D">
      <w:pPr>
        <w:spacing w:before="60"/>
        <w:rPr>
          <w:rFonts w:cs="Arial"/>
        </w:rPr>
      </w:pPr>
      <w:r w:rsidRPr="00B2109D">
        <w:rPr>
          <w:rFonts w:cs="Arial"/>
        </w:rPr>
        <w:t>Der Ausschuss des Verwaltungsrates hat an seiner Sitzung vom 17. März 1994 zuhanden der Verwaltungsratssitzung vom 15. April 1994 folgenden § 11 Abs. 1 in Verbindung mit darauf abgestützten Aktionärsvertrag beschlossen:</w:t>
      </w:r>
    </w:p>
    <w:p w:rsidR="00B2109D" w:rsidRPr="00B2109D" w:rsidRDefault="00B2109D" w:rsidP="00B2109D">
      <w:pPr>
        <w:spacing w:before="60"/>
        <w:rPr>
          <w:rFonts w:cs="Arial"/>
        </w:rPr>
      </w:pPr>
      <w:r w:rsidRPr="00B2109D">
        <w:rPr>
          <w:rFonts w:cs="Arial"/>
        </w:rPr>
        <w:t>«Der Verwaltungsrat besteht aus 12 - 20 Mitgliedern. Die Verwaltungsratssitze stehen zu je 50% der Privatwirtschaft und der öffentlichen Hand zu; wobei jede der gemäss § 3 Abs. 2 an der Gesellschaft beteiligte öffentlichrechtliche Körperschaft vertreten sein muss. Die Generalversammlung bestimmt durch die Wahl der Anzahl privatwirtschaftlicher Verwaltungsratsmitglieder zugleich auch über die Anzahl der der öffentlichen Hand insgesamt zustehenden Sitzansprüche. Die konkrete Zuteilung der Sitzansprüche der öffentlichen Hand, welche ihre Vertreter gemäss Art. 762 OR delegiert, wird in einem Aktionärsvertrag geregelt.»</w:t>
      </w:r>
    </w:p>
    <w:p w:rsidR="00B2109D" w:rsidRPr="00B2109D" w:rsidRDefault="00B2109D" w:rsidP="00B2109D">
      <w:pPr>
        <w:spacing w:before="60"/>
        <w:rPr>
          <w:rFonts w:cs="Arial"/>
        </w:rPr>
      </w:pPr>
      <w:r w:rsidRPr="00B2109D">
        <w:rPr>
          <w:rFonts w:cs="Arial"/>
        </w:rPr>
        <w:t>Der Ausschuss hält es für richtig, den betroffenen öffentlichrechtlichen Körperschaften den vorgeschlagenen Aktionärsvertragstext schon jetzt zur internen Beschlussfassung zuzustellen, damit der Vertrag noch vor der Statutenänderung geschlossen werden kann.</w:t>
      </w:r>
    </w:p>
    <w:p w:rsidR="00B2109D" w:rsidRPr="00B2109D" w:rsidRDefault="00B2109D" w:rsidP="00B2109D">
      <w:pPr>
        <w:spacing w:before="60"/>
        <w:rPr>
          <w:rFonts w:cs="Arial"/>
        </w:rPr>
      </w:pPr>
      <w:r w:rsidRPr="00B2109D">
        <w:rPr>
          <w:rFonts w:cs="Arial"/>
        </w:rPr>
        <w:t>Der zwischen dem Kanton Zürich, den Städten Zürich, Winterthur, Kloten und der Zürcher Kantonalbank betreffend die Delegation von Verwaltungsrats-Mitgliedern in den Verwaltungsrat der F1G abzuschliessenden Aktionärsvertrag lautet wie folgt:</w:t>
      </w:r>
    </w:p>
    <w:p w:rsidR="00B2109D" w:rsidRPr="00B2109D" w:rsidRDefault="00B2109D" w:rsidP="00B2109D">
      <w:pPr>
        <w:spacing w:before="60"/>
        <w:rPr>
          <w:rFonts w:cs="Arial"/>
        </w:rPr>
      </w:pPr>
      <w:r w:rsidRPr="00B2109D">
        <w:rPr>
          <w:rFonts w:cs="Arial"/>
        </w:rPr>
        <w:t>«Gestützt auf § 11 Abs. 1 der Statuten der FIG vereinbaren die Vertragsparteien folgendes:</w:t>
      </w:r>
    </w:p>
    <w:p w:rsidR="00B2109D" w:rsidRPr="00B2109D" w:rsidRDefault="00B2109D" w:rsidP="00B2109D">
      <w:pPr>
        <w:tabs>
          <w:tab w:val="left" w:pos="255"/>
        </w:tabs>
        <w:spacing w:before="60"/>
        <w:rPr>
          <w:rFonts w:cs="Arial"/>
        </w:rPr>
      </w:pPr>
      <w:r w:rsidRPr="00B2109D">
        <w:rPr>
          <w:rFonts w:cs="Arial"/>
        </w:rPr>
        <w:t>1. Unabhängig von der Anzahl der von der Generalversammlung bestellten privatwirtschaftlichen Verwaltungsräte steht dem Kanton Zürich das Recht zur Delegation von 2 Vertretern, allen andern Vertragsparteien zur Delegation eines Vertreters in den Verwaltungsrat der FIG zu.</w:t>
      </w:r>
    </w:p>
    <w:p w:rsidR="00B2109D" w:rsidRPr="00B2109D" w:rsidRDefault="00B2109D" w:rsidP="00B2109D">
      <w:pPr>
        <w:tabs>
          <w:tab w:val="left" w:pos="279"/>
        </w:tabs>
        <w:spacing w:before="60"/>
        <w:rPr>
          <w:rFonts w:cs="Arial"/>
        </w:rPr>
      </w:pPr>
      <w:r w:rsidRPr="00B2109D">
        <w:rPr>
          <w:rFonts w:cs="Arial"/>
        </w:rPr>
        <w:t>2. Wählt die Generalversammlung mehr als 6 privatwirtschaftliche Verwaltungsräte, so stehen die dadurch zusätzlich entstehenden Sitzansprüche der öffentlichen Hand der Stadt Zürich und dem Kanton Zürich - abwechselnd und in dieser Reihenfolge - zu.</w:t>
      </w:r>
    </w:p>
    <w:p w:rsidR="00B2109D" w:rsidRPr="00B2109D" w:rsidRDefault="00B2109D" w:rsidP="00B2109D">
      <w:pPr>
        <w:tabs>
          <w:tab w:val="left" w:pos="279"/>
        </w:tabs>
        <w:spacing w:before="60"/>
        <w:rPr>
          <w:rFonts w:cs="Arial"/>
        </w:rPr>
      </w:pPr>
      <w:r w:rsidRPr="00B2109D">
        <w:rPr>
          <w:rFonts w:cs="Arial"/>
        </w:rPr>
        <w:t>3. Damit ergibt sich für die Ausübung des Delegationsrechts im einzelnen folgendes:</w:t>
      </w:r>
    </w:p>
    <w:p w:rsidR="00B2109D" w:rsidRPr="00B2109D" w:rsidRDefault="00B2109D" w:rsidP="00B2109D">
      <w:pPr>
        <w:spacing w:before="60"/>
        <w:rPr>
          <w:rFonts w:cs="Arial"/>
        </w:rPr>
      </w:pPr>
      <w:r w:rsidRPr="00B2109D">
        <w:rPr>
          <w:rFonts w:cs="Arial"/>
        </w:rPr>
        <w:t>durch die Generalversammlung gewählte Anzahl von VR-Mitgliedern von: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3672"/>
        <w:gridCol w:w="567"/>
        <w:gridCol w:w="425"/>
        <w:gridCol w:w="425"/>
        <w:gridCol w:w="426"/>
        <w:gridCol w:w="425"/>
      </w:tblGrid>
      <w:tr w:rsidR="00B2109D" w:rsidRPr="00B2109D" w:rsidTr="000A2F95">
        <w:trPr>
          <w:trHeight w:val="283"/>
        </w:trPr>
        <w:tc>
          <w:tcPr>
            <w:tcW w:w="3672" w:type="dxa"/>
            <w:shd w:val="clear" w:color="auto" w:fill="FFFFFF"/>
          </w:tcPr>
          <w:p w:rsidR="00B2109D" w:rsidRPr="00B2109D" w:rsidRDefault="00B2109D" w:rsidP="000A2F95">
            <w:pPr>
              <w:spacing w:before="60"/>
              <w:rPr>
                <w:rFonts w:cs="Arial"/>
              </w:rPr>
            </w:pPr>
            <w:r w:rsidRPr="00B2109D">
              <w:rPr>
                <w:rFonts w:cs="Arial"/>
              </w:rPr>
              <w:t>gern. § 762 OR delegiert durch</w:t>
            </w:r>
          </w:p>
        </w:tc>
        <w:tc>
          <w:tcPr>
            <w:tcW w:w="567" w:type="dxa"/>
            <w:shd w:val="clear" w:color="auto" w:fill="FFFFFF"/>
          </w:tcPr>
          <w:p w:rsidR="00B2109D" w:rsidRPr="00B2109D" w:rsidRDefault="00B2109D" w:rsidP="000A2F95">
            <w:pPr>
              <w:spacing w:before="60"/>
              <w:rPr>
                <w:rFonts w:cs="Arial"/>
              </w:rPr>
            </w:pPr>
            <w:r w:rsidRPr="00B2109D">
              <w:rPr>
                <w:rFonts w:cs="Arial"/>
              </w:rPr>
              <w:t>6</w:t>
            </w:r>
          </w:p>
          <w:p w:rsidR="00B2109D" w:rsidRPr="00B2109D" w:rsidRDefault="00B2109D" w:rsidP="000A2F95">
            <w:pPr>
              <w:spacing w:before="60"/>
              <w:rPr>
                <w:rFonts w:cs="Arial"/>
              </w:rPr>
            </w:pPr>
          </w:p>
        </w:tc>
        <w:tc>
          <w:tcPr>
            <w:tcW w:w="425" w:type="dxa"/>
            <w:shd w:val="clear" w:color="auto" w:fill="FFFFFF"/>
          </w:tcPr>
          <w:p w:rsidR="00B2109D" w:rsidRPr="00B2109D" w:rsidRDefault="00B2109D" w:rsidP="000A2F95">
            <w:pPr>
              <w:spacing w:before="60"/>
              <w:rPr>
                <w:rFonts w:cs="Arial"/>
              </w:rPr>
            </w:pPr>
            <w:r w:rsidRPr="00B2109D">
              <w:rPr>
                <w:rFonts w:cs="Arial"/>
              </w:rPr>
              <w:t>7</w:t>
            </w:r>
          </w:p>
        </w:tc>
        <w:tc>
          <w:tcPr>
            <w:tcW w:w="425" w:type="dxa"/>
            <w:shd w:val="clear" w:color="auto" w:fill="FFFFFF"/>
          </w:tcPr>
          <w:p w:rsidR="00B2109D" w:rsidRPr="00B2109D" w:rsidRDefault="00B2109D" w:rsidP="000A2F95">
            <w:pPr>
              <w:spacing w:before="60"/>
              <w:rPr>
                <w:rFonts w:cs="Arial"/>
              </w:rPr>
            </w:pPr>
            <w:r w:rsidRPr="00B2109D">
              <w:rPr>
                <w:rFonts w:cs="Arial"/>
              </w:rPr>
              <w:t>8</w:t>
            </w:r>
          </w:p>
        </w:tc>
        <w:tc>
          <w:tcPr>
            <w:tcW w:w="426" w:type="dxa"/>
            <w:shd w:val="clear" w:color="auto" w:fill="FFFFFF"/>
          </w:tcPr>
          <w:p w:rsidR="00B2109D" w:rsidRPr="00B2109D" w:rsidRDefault="00B2109D" w:rsidP="000A2F95">
            <w:pPr>
              <w:spacing w:before="60"/>
              <w:rPr>
                <w:rFonts w:cs="Arial"/>
              </w:rPr>
            </w:pPr>
            <w:r w:rsidRPr="00B2109D">
              <w:rPr>
                <w:rFonts w:cs="Arial"/>
              </w:rPr>
              <w:t>9</w:t>
            </w:r>
          </w:p>
        </w:tc>
        <w:tc>
          <w:tcPr>
            <w:tcW w:w="425" w:type="dxa"/>
            <w:shd w:val="clear" w:color="auto" w:fill="FFFFFF"/>
          </w:tcPr>
          <w:p w:rsidR="00B2109D" w:rsidRPr="00B2109D" w:rsidRDefault="00B2109D" w:rsidP="000A2F95">
            <w:pPr>
              <w:spacing w:before="60"/>
              <w:rPr>
                <w:rFonts w:cs="Arial"/>
              </w:rPr>
            </w:pPr>
            <w:r w:rsidRPr="00B2109D">
              <w:rPr>
                <w:rFonts w:cs="Arial"/>
              </w:rPr>
              <w:t>10</w:t>
            </w:r>
          </w:p>
        </w:tc>
      </w:tr>
      <w:tr w:rsidR="00B2109D" w:rsidRPr="00B2109D" w:rsidTr="000A2F95">
        <w:trPr>
          <w:trHeight w:val="283"/>
        </w:trPr>
        <w:tc>
          <w:tcPr>
            <w:tcW w:w="3672" w:type="dxa"/>
            <w:shd w:val="clear" w:color="auto" w:fill="FFFFFF"/>
          </w:tcPr>
          <w:p w:rsidR="00B2109D" w:rsidRPr="00B2109D" w:rsidRDefault="00B2109D" w:rsidP="000A2F95">
            <w:pPr>
              <w:spacing w:before="60"/>
              <w:rPr>
                <w:rFonts w:cs="Arial"/>
              </w:rPr>
            </w:pPr>
            <w:r w:rsidRPr="00B2109D">
              <w:rPr>
                <w:rFonts w:cs="Arial"/>
              </w:rPr>
              <w:t>- Kanton Zürich</w:t>
            </w:r>
          </w:p>
        </w:tc>
        <w:tc>
          <w:tcPr>
            <w:tcW w:w="567" w:type="dxa"/>
            <w:shd w:val="clear" w:color="auto" w:fill="FFFFFF"/>
          </w:tcPr>
          <w:p w:rsidR="00B2109D" w:rsidRPr="00B2109D" w:rsidRDefault="00B2109D" w:rsidP="000A2F95">
            <w:pPr>
              <w:spacing w:before="60"/>
              <w:rPr>
                <w:rFonts w:cs="Arial"/>
              </w:rPr>
            </w:pPr>
            <w:r w:rsidRPr="00B2109D">
              <w:rPr>
                <w:rFonts w:cs="Arial"/>
              </w:rPr>
              <w:t>2</w:t>
            </w:r>
          </w:p>
        </w:tc>
        <w:tc>
          <w:tcPr>
            <w:tcW w:w="425" w:type="dxa"/>
            <w:shd w:val="clear" w:color="auto" w:fill="FFFFFF"/>
          </w:tcPr>
          <w:p w:rsidR="00B2109D" w:rsidRPr="00B2109D" w:rsidRDefault="00B2109D" w:rsidP="000A2F95">
            <w:pPr>
              <w:spacing w:before="60"/>
              <w:rPr>
                <w:rFonts w:cs="Arial"/>
              </w:rPr>
            </w:pPr>
            <w:r w:rsidRPr="00B2109D">
              <w:rPr>
                <w:rFonts w:cs="Arial"/>
              </w:rPr>
              <w:t>2</w:t>
            </w:r>
          </w:p>
        </w:tc>
        <w:tc>
          <w:tcPr>
            <w:tcW w:w="425" w:type="dxa"/>
            <w:shd w:val="clear" w:color="auto" w:fill="FFFFFF"/>
          </w:tcPr>
          <w:p w:rsidR="00B2109D" w:rsidRPr="00B2109D" w:rsidRDefault="00B2109D" w:rsidP="000A2F95">
            <w:pPr>
              <w:spacing w:before="60"/>
              <w:rPr>
                <w:rFonts w:cs="Arial"/>
              </w:rPr>
            </w:pPr>
            <w:r w:rsidRPr="00B2109D">
              <w:rPr>
                <w:rFonts w:cs="Arial"/>
              </w:rPr>
              <w:t>3</w:t>
            </w:r>
          </w:p>
        </w:tc>
        <w:tc>
          <w:tcPr>
            <w:tcW w:w="426" w:type="dxa"/>
            <w:shd w:val="clear" w:color="auto" w:fill="FFFFFF"/>
          </w:tcPr>
          <w:p w:rsidR="00B2109D" w:rsidRPr="00B2109D" w:rsidRDefault="00B2109D" w:rsidP="000A2F95">
            <w:pPr>
              <w:spacing w:before="60"/>
              <w:rPr>
                <w:rFonts w:cs="Arial"/>
              </w:rPr>
            </w:pPr>
            <w:r w:rsidRPr="00B2109D">
              <w:rPr>
                <w:rFonts w:cs="Arial"/>
              </w:rPr>
              <w:t>3</w:t>
            </w:r>
          </w:p>
        </w:tc>
        <w:tc>
          <w:tcPr>
            <w:tcW w:w="425" w:type="dxa"/>
            <w:shd w:val="clear" w:color="auto" w:fill="FFFFFF"/>
          </w:tcPr>
          <w:p w:rsidR="00B2109D" w:rsidRPr="00B2109D" w:rsidRDefault="00B2109D" w:rsidP="000A2F95">
            <w:pPr>
              <w:spacing w:before="60"/>
              <w:rPr>
                <w:rFonts w:cs="Arial"/>
              </w:rPr>
            </w:pPr>
            <w:r w:rsidRPr="00B2109D">
              <w:rPr>
                <w:rFonts w:cs="Arial"/>
              </w:rPr>
              <w:t>4</w:t>
            </w:r>
          </w:p>
        </w:tc>
      </w:tr>
      <w:tr w:rsidR="00B2109D" w:rsidRPr="00B2109D" w:rsidTr="000A2F95">
        <w:trPr>
          <w:trHeight w:val="283"/>
        </w:trPr>
        <w:tc>
          <w:tcPr>
            <w:tcW w:w="3672" w:type="dxa"/>
            <w:shd w:val="clear" w:color="auto" w:fill="FFFFFF"/>
          </w:tcPr>
          <w:p w:rsidR="00B2109D" w:rsidRPr="00B2109D" w:rsidRDefault="00B2109D" w:rsidP="000A2F95">
            <w:pPr>
              <w:spacing w:before="60"/>
              <w:rPr>
                <w:rFonts w:cs="Arial"/>
              </w:rPr>
            </w:pPr>
            <w:r w:rsidRPr="00B2109D">
              <w:rPr>
                <w:rFonts w:cs="Arial"/>
              </w:rPr>
              <w:t>- Stadt Zürich</w:t>
            </w:r>
          </w:p>
        </w:tc>
        <w:tc>
          <w:tcPr>
            <w:tcW w:w="567" w:type="dxa"/>
            <w:shd w:val="clear" w:color="auto" w:fill="FFFFFF"/>
          </w:tcPr>
          <w:p w:rsidR="00B2109D" w:rsidRPr="00B2109D" w:rsidRDefault="00B2109D" w:rsidP="000A2F95">
            <w:pPr>
              <w:spacing w:before="60"/>
              <w:rPr>
                <w:rFonts w:cs="Arial"/>
              </w:rPr>
            </w:pPr>
            <w:r w:rsidRPr="00B2109D">
              <w:rPr>
                <w:rFonts w:cs="Arial"/>
              </w:rPr>
              <w:t>1</w:t>
            </w:r>
          </w:p>
        </w:tc>
        <w:tc>
          <w:tcPr>
            <w:tcW w:w="425" w:type="dxa"/>
            <w:shd w:val="clear" w:color="auto" w:fill="FFFFFF"/>
          </w:tcPr>
          <w:p w:rsidR="00B2109D" w:rsidRPr="00B2109D" w:rsidRDefault="00B2109D" w:rsidP="000A2F95">
            <w:pPr>
              <w:spacing w:before="60"/>
              <w:rPr>
                <w:rFonts w:cs="Arial"/>
              </w:rPr>
            </w:pPr>
            <w:r w:rsidRPr="00B2109D">
              <w:rPr>
                <w:rFonts w:cs="Arial"/>
              </w:rPr>
              <w:t>2</w:t>
            </w:r>
          </w:p>
        </w:tc>
        <w:tc>
          <w:tcPr>
            <w:tcW w:w="425" w:type="dxa"/>
            <w:shd w:val="clear" w:color="auto" w:fill="FFFFFF"/>
          </w:tcPr>
          <w:p w:rsidR="00B2109D" w:rsidRPr="00B2109D" w:rsidRDefault="00B2109D" w:rsidP="000A2F95">
            <w:pPr>
              <w:spacing w:before="60"/>
              <w:rPr>
                <w:rFonts w:cs="Arial"/>
              </w:rPr>
            </w:pPr>
            <w:r w:rsidRPr="00B2109D">
              <w:rPr>
                <w:rFonts w:cs="Arial"/>
              </w:rPr>
              <w:t>2</w:t>
            </w:r>
          </w:p>
        </w:tc>
        <w:tc>
          <w:tcPr>
            <w:tcW w:w="426" w:type="dxa"/>
            <w:shd w:val="clear" w:color="auto" w:fill="FFFFFF"/>
          </w:tcPr>
          <w:p w:rsidR="00B2109D" w:rsidRPr="00B2109D" w:rsidRDefault="00B2109D" w:rsidP="000A2F95">
            <w:pPr>
              <w:spacing w:before="60"/>
              <w:rPr>
                <w:rFonts w:cs="Arial"/>
              </w:rPr>
            </w:pPr>
            <w:r w:rsidRPr="00B2109D">
              <w:rPr>
                <w:rFonts w:cs="Arial"/>
              </w:rPr>
              <w:t>3</w:t>
            </w:r>
          </w:p>
        </w:tc>
        <w:tc>
          <w:tcPr>
            <w:tcW w:w="425" w:type="dxa"/>
            <w:shd w:val="clear" w:color="auto" w:fill="FFFFFF"/>
          </w:tcPr>
          <w:p w:rsidR="00B2109D" w:rsidRPr="00B2109D" w:rsidRDefault="00B2109D" w:rsidP="000A2F95">
            <w:pPr>
              <w:spacing w:before="60"/>
              <w:rPr>
                <w:rFonts w:cs="Arial"/>
              </w:rPr>
            </w:pPr>
            <w:r w:rsidRPr="00B2109D">
              <w:rPr>
                <w:rFonts w:cs="Arial"/>
              </w:rPr>
              <w:t>3</w:t>
            </w:r>
          </w:p>
        </w:tc>
      </w:tr>
      <w:tr w:rsidR="00B2109D" w:rsidRPr="00B2109D" w:rsidTr="000A2F95">
        <w:trPr>
          <w:trHeight w:val="283"/>
        </w:trPr>
        <w:tc>
          <w:tcPr>
            <w:tcW w:w="3672" w:type="dxa"/>
            <w:shd w:val="clear" w:color="auto" w:fill="FFFFFF"/>
          </w:tcPr>
          <w:p w:rsidR="00B2109D" w:rsidRPr="00B2109D" w:rsidRDefault="00B2109D" w:rsidP="000A2F95">
            <w:pPr>
              <w:spacing w:before="60"/>
              <w:rPr>
                <w:rFonts w:cs="Arial"/>
              </w:rPr>
            </w:pPr>
            <w:r w:rsidRPr="00B2109D">
              <w:rPr>
                <w:rFonts w:cs="Arial"/>
              </w:rPr>
              <w:t>- Stadt Winterthur</w:t>
            </w:r>
          </w:p>
        </w:tc>
        <w:tc>
          <w:tcPr>
            <w:tcW w:w="567" w:type="dxa"/>
            <w:shd w:val="clear" w:color="auto" w:fill="FFFFFF"/>
          </w:tcPr>
          <w:p w:rsidR="00B2109D" w:rsidRPr="00B2109D" w:rsidRDefault="00B2109D" w:rsidP="000A2F95">
            <w:pPr>
              <w:spacing w:before="60"/>
              <w:rPr>
                <w:rFonts w:cs="Arial"/>
              </w:rPr>
            </w:pPr>
            <w:r w:rsidRPr="00B2109D">
              <w:rPr>
                <w:rFonts w:cs="Arial"/>
              </w:rPr>
              <w:t>1</w:t>
            </w:r>
          </w:p>
        </w:tc>
        <w:tc>
          <w:tcPr>
            <w:tcW w:w="425" w:type="dxa"/>
            <w:shd w:val="clear" w:color="auto" w:fill="FFFFFF"/>
          </w:tcPr>
          <w:p w:rsidR="00B2109D" w:rsidRPr="00B2109D" w:rsidRDefault="00B2109D" w:rsidP="000A2F95">
            <w:pPr>
              <w:spacing w:before="60"/>
              <w:rPr>
                <w:rFonts w:cs="Arial"/>
              </w:rPr>
            </w:pPr>
            <w:r w:rsidRPr="00B2109D">
              <w:rPr>
                <w:rFonts w:cs="Arial"/>
              </w:rPr>
              <w:t>1</w:t>
            </w:r>
          </w:p>
        </w:tc>
        <w:tc>
          <w:tcPr>
            <w:tcW w:w="425" w:type="dxa"/>
            <w:shd w:val="clear" w:color="auto" w:fill="FFFFFF"/>
          </w:tcPr>
          <w:p w:rsidR="00B2109D" w:rsidRPr="00B2109D" w:rsidRDefault="00B2109D" w:rsidP="000A2F95">
            <w:pPr>
              <w:spacing w:before="60"/>
              <w:rPr>
                <w:rFonts w:cs="Arial"/>
              </w:rPr>
            </w:pPr>
            <w:r w:rsidRPr="00B2109D">
              <w:rPr>
                <w:rFonts w:cs="Arial"/>
              </w:rPr>
              <w:t>1</w:t>
            </w:r>
          </w:p>
        </w:tc>
        <w:tc>
          <w:tcPr>
            <w:tcW w:w="426" w:type="dxa"/>
            <w:shd w:val="clear" w:color="auto" w:fill="FFFFFF"/>
          </w:tcPr>
          <w:p w:rsidR="00B2109D" w:rsidRPr="00B2109D" w:rsidRDefault="00B2109D" w:rsidP="000A2F95">
            <w:pPr>
              <w:spacing w:before="60"/>
              <w:rPr>
                <w:rFonts w:cs="Arial"/>
              </w:rPr>
            </w:pPr>
            <w:r w:rsidRPr="00B2109D">
              <w:rPr>
                <w:rFonts w:cs="Arial"/>
              </w:rPr>
              <w:t>1</w:t>
            </w:r>
          </w:p>
        </w:tc>
        <w:tc>
          <w:tcPr>
            <w:tcW w:w="425" w:type="dxa"/>
            <w:shd w:val="clear" w:color="auto" w:fill="FFFFFF"/>
          </w:tcPr>
          <w:p w:rsidR="00B2109D" w:rsidRPr="00B2109D" w:rsidRDefault="00B2109D" w:rsidP="000A2F95">
            <w:pPr>
              <w:spacing w:before="60"/>
              <w:rPr>
                <w:rFonts w:cs="Arial"/>
              </w:rPr>
            </w:pPr>
            <w:r w:rsidRPr="00B2109D">
              <w:rPr>
                <w:rFonts w:cs="Arial"/>
              </w:rPr>
              <w:t>1</w:t>
            </w:r>
          </w:p>
        </w:tc>
      </w:tr>
      <w:tr w:rsidR="00B2109D" w:rsidRPr="00B2109D" w:rsidTr="000A2F95">
        <w:trPr>
          <w:trHeight w:val="283"/>
        </w:trPr>
        <w:tc>
          <w:tcPr>
            <w:tcW w:w="3672" w:type="dxa"/>
            <w:shd w:val="clear" w:color="auto" w:fill="FFFFFF"/>
          </w:tcPr>
          <w:p w:rsidR="00B2109D" w:rsidRPr="00B2109D" w:rsidRDefault="00B2109D" w:rsidP="000A2F95">
            <w:pPr>
              <w:spacing w:before="60"/>
              <w:rPr>
                <w:rFonts w:cs="Arial"/>
              </w:rPr>
            </w:pPr>
            <w:r w:rsidRPr="00B2109D">
              <w:rPr>
                <w:rFonts w:cs="Arial"/>
              </w:rPr>
              <w:t>- Stadt Kloten</w:t>
            </w:r>
          </w:p>
        </w:tc>
        <w:tc>
          <w:tcPr>
            <w:tcW w:w="567" w:type="dxa"/>
            <w:shd w:val="clear" w:color="auto" w:fill="FFFFFF"/>
          </w:tcPr>
          <w:p w:rsidR="00B2109D" w:rsidRPr="00B2109D" w:rsidRDefault="00B2109D" w:rsidP="000A2F95">
            <w:pPr>
              <w:spacing w:before="60"/>
              <w:rPr>
                <w:rFonts w:cs="Arial"/>
              </w:rPr>
            </w:pPr>
            <w:r w:rsidRPr="00B2109D">
              <w:rPr>
                <w:rFonts w:cs="Arial"/>
              </w:rPr>
              <w:t>1</w:t>
            </w:r>
          </w:p>
        </w:tc>
        <w:tc>
          <w:tcPr>
            <w:tcW w:w="425" w:type="dxa"/>
            <w:shd w:val="clear" w:color="auto" w:fill="FFFFFF"/>
          </w:tcPr>
          <w:p w:rsidR="00B2109D" w:rsidRPr="00B2109D" w:rsidRDefault="00B2109D" w:rsidP="000A2F95">
            <w:pPr>
              <w:spacing w:before="60"/>
              <w:rPr>
                <w:rFonts w:cs="Arial"/>
              </w:rPr>
            </w:pPr>
            <w:r w:rsidRPr="00B2109D">
              <w:rPr>
                <w:rFonts w:cs="Arial"/>
              </w:rPr>
              <w:t>1</w:t>
            </w:r>
          </w:p>
        </w:tc>
        <w:tc>
          <w:tcPr>
            <w:tcW w:w="425" w:type="dxa"/>
            <w:shd w:val="clear" w:color="auto" w:fill="FFFFFF"/>
          </w:tcPr>
          <w:p w:rsidR="00B2109D" w:rsidRPr="00B2109D" w:rsidRDefault="00B2109D" w:rsidP="000A2F95">
            <w:pPr>
              <w:spacing w:before="60"/>
              <w:rPr>
                <w:rFonts w:cs="Arial"/>
              </w:rPr>
            </w:pPr>
            <w:r w:rsidRPr="00B2109D">
              <w:rPr>
                <w:rFonts w:cs="Arial"/>
              </w:rPr>
              <w:t>1</w:t>
            </w:r>
          </w:p>
        </w:tc>
        <w:tc>
          <w:tcPr>
            <w:tcW w:w="426" w:type="dxa"/>
            <w:shd w:val="clear" w:color="auto" w:fill="FFFFFF"/>
          </w:tcPr>
          <w:p w:rsidR="00B2109D" w:rsidRPr="00B2109D" w:rsidRDefault="00B2109D" w:rsidP="000A2F95">
            <w:pPr>
              <w:spacing w:before="60"/>
              <w:rPr>
                <w:rFonts w:cs="Arial"/>
              </w:rPr>
            </w:pPr>
            <w:r w:rsidRPr="00B2109D">
              <w:rPr>
                <w:rFonts w:cs="Arial"/>
              </w:rPr>
              <w:t>1</w:t>
            </w:r>
          </w:p>
        </w:tc>
        <w:tc>
          <w:tcPr>
            <w:tcW w:w="425" w:type="dxa"/>
            <w:shd w:val="clear" w:color="auto" w:fill="FFFFFF"/>
          </w:tcPr>
          <w:p w:rsidR="00B2109D" w:rsidRPr="00B2109D" w:rsidRDefault="00B2109D" w:rsidP="000A2F95">
            <w:pPr>
              <w:spacing w:before="60"/>
              <w:rPr>
                <w:rFonts w:cs="Arial"/>
              </w:rPr>
            </w:pPr>
            <w:r w:rsidRPr="00B2109D">
              <w:rPr>
                <w:rFonts w:cs="Arial"/>
              </w:rPr>
              <w:t>1</w:t>
            </w:r>
          </w:p>
        </w:tc>
      </w:tr>
      <w:tr w:rsidR="00B2109D" w:rsidRPr="00B2109D" w:rsidTr="000A2F95">
        <w:trPr>
          <w:trHeight w:val="283"/>
        </w:trPr>
        <w:tc>
          <w:tcPr>
            <w:tcW w:w="3672" w:type="dxa"/>
            <w:shd w:val="clear" w:color="auto" w:fill="FFFFFF"/>
          </w:tcPr>
          <w:p w:rsidR="00B2109D" w:rsidRPr="00B2109D" w:rsidRDefault="00B2109D" w:rsidP="000A2F95">
            <w:pPr>
              <w:spacing w:before="60"/>
              <w:rPr>
                <w:rFonts w:cs="Arial"/>
              </w:rPr>
            </w:pPr>
            <w:r w:rsidRPr="00B2109D">
              <w:rPr>
                <w:rFonts w:cs="Arial"/>
              </w:rPr>
              <w:t>- Zürcher Kantonalbank</w:t>
            </w:r>
          </w:p>
        </w:tc>
        <w:tc>
          <w:tcPr>
            <w:tcW w:w="567" w:type="dxa"/>
            <w:shd w:val="clear" w:color="auto" w:fill="FFFFFF"/>
          </w:tcPr>
          <w:p w:rsidR="00B2109D" w:rsidRPr="00B2109D" w:rsidRDefault="00B2109D" w:rsidP="000A2F95">
            <w:pPr>
              <w:spacing w:before="60"/>
              <w:rPr>
                <w:rFonts w:cs="Arial"/>
              </w:rPr>
            </w:pPr>
            <w:r w:rsidRPr="00B2109D">
              <w:rPr>
                <w:rFonts w:cs="Arial"/>
              </w:rPr>
              <w:t>1</w:t>
            </w:r>
          </w:p>
        </w:tc>
        <w:tc>
          <w:tcPr>
            <w:tcW w:w="425" w:type="dxa"/>
            <w:shd w:val="clear" w:color="auto" w:fill="FFFFFF"/>
          </w:tcPr>
          <w:p w:rsidR="00B2109D" w:rsidRPr="00B2109D" w:rsidRDefault="00B2109D" w:rsidP="000A2F95">
            <w:pPr>
              <w:spacing w:before="60"/>
              <w:rPr>
                <w:rFonts w:cs="Arial"/>
              </w:rPr>
            </w:pPr>
            <w:r w:rsidRPr="00B2109D">
              <w:rPr>
                <w:rFonts w:cs="Arial"/>
              </w:rPr>
              <w:t>1</w:t>
            </w:r>
          </w:p>
        </w:tc>
        <w:tc>
          <w:tcPr>
            <w:tcW w:w="425" w:type="dxa"/>
            <w:shd w:val="clear" w:color="auto" w:fill="FFFFFF"/>
          </w:tcPr>
          <w:p w:rsidR="00B2109D" w:rsidRPr="00B2109D" w:rsidRDefault="00B2109D" w:rsidP="000A2F95">
            <w:pPr>
              <w:spacing w:before="60"/>
              <w:rPr>
                <w:rFonts w:cs="Arial"/>
              </w:rPr>
            </w:pPr>
            <w:r w:rsidRPr="00B2109D">
              <w:rPr>
                <w:rFonts w:cs="Arial"/>
              </w:rPr>
              <w:t>1</w:t>
            </w:r>
          </w:p>
        </w:tc>
        <w:tc>
          <w:tcPr>
            <w:tcW w:w="426" w:type="dxa"/>
            <w:shd w:val="clear" w:color="auto" w:fill="FFFFFF"/>
          </w:tcPr>
          <w:p w:rsidR="00B2109D" w:rsidRPr="00B2109D" w:rsidRDefault="00B2109D" w:rsidP="000A2F95">
            <w:pPr>
              <w:spacing w:before="60"/>
              <w:rPr>
                <w:rFonts w:cs="Arial"/>
              </w:rPr>
            </w:pPr>
            <w:r w:rsidRPr="00B2109D">
              <w:rPr>
                <w:rFonts w:cs="Arial"/>
              </w:rPr>
              <w:t>1</w:t>
            </w:r>
          </w:p>
        </w:tc>
        <w:tc>
          <w:tcPr>
            <w:tcW w:w="425" w:type="dxa"/>
            <w:shd w:val="clear" w:color="auto" w:fill="FFFFFF"/>
          </w:tcPr>
          <w:p w:rsidR="00B2109D" w:rsidRPr="00B2109D" w:rsidRDefault="00B2109D" w:rsidP="000A2F95">
            <w:pPr>
              <w:spacing w:before="60"/>
              <w:rPr>
                <w:rFonts w:cs="Arial"/>
              </w:rPr>
            </w:pPr>
            <w:r w:rsidRPr="00B2109D">
              <w:rPr>
                <w:rFonts w:cs="Arial"/>
              </w:rPr>
              <w:t>1</w:t>
            </w:r>
          </w:p>
        </w:tc>
      </w:tr>
      <w:tr w:rsidR="00B2109D" w:rsidRPr="00B2109D" w:rsidTr="000A2F95">
        <w:trPr>
          <w:trHeight w:val="283"/>
        </w:trPr>
        <w:tc>
          <w:tcPr>
            <w:tcW w:w="3672" w:type="dxa"/>
            <w:shd w:val="clear" w:color="auto" w:fill="FFFFFF"/>
          </w:tcPr>
          <w:p w:rsidR="00B2109D" w:rsidRPr="00B2109D" w:rsidRDefault="00B2109D" w:rsidP="000A2F95">
            <w:pPr>
              <w:spacing w:before="60"/>
              <w:rPr>
                <w:rFonts w:cs="Arial"/>
              </w:rPr>
            </w:pPr>
            <w:r w:rsidRPr="00B2109D">
              <w:rPr>
                <w:rFonts w:cs="Arial"/>
              </w:rPr>
              <w:t>Total öffentliche Hand</w:t>
            </w:r>
          </w:p>
        </w:tc>
        <w:tc>
          <w:tcPr>
            <w:tcW w:w="567" w:type="dxa"/>
            <w:shd w:val="clear" w:color="auto" w:fill="FFFFFF"/>
          </w:tcPr>
          <w:p w:rsidR="00B2109D" w:rsidRPr="00B2109D" w:rsidRDefault="00B2109D" w:rsidP="000A2F95">
            <w:pPr>
              <w:spacing w:before="60"/>
              <w:rPr>
                <w:rFonts w:cs="Arial"/>
              </w:rPr>
            </w:pPr>
            <w:r w:rsidRPr="00B2109D">
              <w:rPr>
                <w:rFonts w:cs="Arial"/>
              </w:rPr>
              <w:t>6</w:t>
            </w:r>
          </w:p>
        </w:tc>
        <w:tc>
          <w:tcPr>
            <w:tcW w:w="425" w:type="dxa"/>
            <w:shd w:val="clear" w:color="auto" w:fill="FFFFFF"/>
          </w:tcPr>
          <w:p w:rsidR="00B2109D" w:rsidRPr="00B2109D" w:rsidRDefault="00B2109D" w:rsidP="000A2F95">
            <w:pPr>
              <w:spacing w:before="60"/>
              <w:rPr>
                <w:rFonts w:cs="Arial"/>
              </w:rPr>
            </w:pPr>
            <w:r w:rsidRPr="00B2109D">
              <w:rPr>
                <w:rFonts w:cs="Arial"/>
              </w:rPr>
              <w:t>7</w:t>
            </w:r>
          </w:p>
        </w:tc>
        <w:tc>
          <w:tcPr>
            <w:tcW w:w="425" w:type="dxa"/>
            <w:shd w:val="clear" w:color="auto" w:fill="FFFFFF"/>
          </w:tcPr>
          <w:p w:rsidR="00B2109D" w:rsidRPr="00B2109D" w:rsidRDefault="00B2109D" w:rsidP="000A2F95">
            <w:pPr>
              <w:spacing w:before="60"/>
              <w:rPr>
                <w:rFonts w:cs="Arial"/>
              </w:rPr>
            </w:pPr>
            <w:r w:rsidRPr="00B2109D">
              <w:rPr>
                <w:rFonts w:cs="Arial"/>
              </w:rPr>
              <w:t>8</w:t>
            </w:r>
          </w:p>
        </w:tc>
        <w:tc>
          <w:tcPr>
            <w:tcW w:w="426" w:type="dxa"/>
            <w:shd w:val="clear" w:color="auto" w:fill="FFFFFF"/>
          </w:tcPr>
          <w:p w:rsidR="00B2109D" w:rsidRPr="00B2109D" w:rsidRDefault="00B2109D" w:rsidP="000A2F95">
            <w:pPr>
              <w:spacing w:before="60"/>
              <w:rPr>
                <w:rFonts w:cs="Arial"/>
              </w:rPr>
            </w:pPr>
            <w:r w:rsidRPr="00B2109D">
              <w:rPr>
                <w:rFonts w:cs="Arial"/>
              </w:rPr>
              <w:t>9</w:t>
            </w:r>
          </w:p>
        </w:tc>
        <w:tc>
          <w:tcPr>
            <w:tcW w:w="425" w:type="dxa"/>
            <w:shd w:val="clear" w:color="auto" w:fill="FFFFFF"/>
          </w:tcPr>
          <w:p w:rsidR="00B2109D" w:rsidRPr="00B2109D" w:rsidRDefault="00B2109D" w:rsidP="000A2F95">
            <w:pPr>
              <w:spacing w:before="60"/>
              <w:rPr>
                <w:rFonts w:cs="Arial"/>
              </w:rPr>
            </w:pPr>
            <w:r w:rsidRPr="00B2109D">
              <w:rPr>
                <w:rFonts w:cs="Arial"/>
              </w:rPr>
              <w:t>10»</w:t>
            </w:r>
          </w:p>
        </w:tc>
      </w:tr>
    </w:tbl>
    <w:p w:rsidR="00B2109D" w:rsidRPr="00B2109D" w:rsidRDefault="00B2109D" w:rsidP="00B2109D">
      <w:pPr>
        <w:spacing w:before="60"/>
        <w:rPr>
          <w:rFonts w:cs="Arial"/>
        </w:rPr>
      </w:pPr>
      <w:r w:rsidRPr="00B2109D">
        <w:rPr>
          <w:rFonts w:cs="Arial"/>
        </w:rPr>
        <w:t>Der Sekretär des Verwaltungsrates, Thomas Egli, ersuchte den Finanzdirektor als Mitglied des Verwaltungsrates, beim Regierungsrat die Zustimmung zu obigem Vertragstext einzuholen.</w:t>
      </w:r>
    </w:p>
    <w:p w:rsidR="00B2109D" w:rsidRPr="00B2109D" w:rsidRDefault="00B2109D" w:rsidP="00B2109D">
      <w:pPr>
        <w:spacing w:before="60"/>
        <w:rPr>
          <w:rFonts w:cs="Arial"/>
        </w:rPr>
      </w:pPr>
      <w:r w:rsidRPr="00B2109D">
        <w:rPr>
          <w:rFonts w:cs="Arial"/>
        </w:rPr>
        <w:t>Die mögliche Verkleinerung des Verwaltungsrates ist im Interesse einer effizienteren Geschäftsführung zu begrüssen. Dem vorgeschlagenen Aktionärsvertrag ist demgemäss zuzustimmen.</w:t>
      </w:r>
    </w:p>
    <w:p w:rsidR="00B2109D" w:rsidRPr="00B2109D" w:rsidRDefault="00B2109D" w:rsidP="00B2109D">
      <w:pPr>
        <w:spacing w:before="60"/>
        <w:rPr>
          <w:rFonts w:cs="Arial"/>
        </w:rPr>
      </w:pPr>
      <w:r w:rsidRPr="00B2109D">
        <w:rPr>
          <w:rFonts w:cs="Arial"/>
        </w:rPr>
        <w:t>Auf Antrag der Direktion der Finanzen</w:t>
      </w:r>
    </w:p>
    <w:p w:rsidR="00B2109D" w:rsidRPr="00B2109D" w:rsidRDefault="00B2109D" w:rsidP="00B2109D">
      <w:pPr>
        <w:spacing w:before="60"/>
        <w:jc w:val="center"/>
        <w:rPr>
          <w:rFonts w:cs="Arial"/>
        </w:rPr>
      </w:pPr>
      <w:r w:rsidRPr="00B2109D">
        <w:rPr>
          <w:rFonts w:cs="Arial"/>
        </w:rPr>
        <w:t>beschliesst der Regierungsrat:</w:t>
      </w:r>
    </w:p>
    <w:p w:rsidR="00B2109D" w:rsidRPr="00B2109D" w:rsidRDefault="00B2109D" w:rsidP="00B2109D">
      <w:pPr>
        <w:keepNext/>
        <w:keepLines/>
        <w:tabs>
          <w:tab w:val="left" w:pos="481"/>
        </w:tabs>
        <w:spacing w:before="60"/>
        <w:rPr>
          <w:rFonts w:cs="Arial"/>
        </w:rPr>
      </w:pPr>
      <w:r w:rsidRPr="00B2109D">
        <w:rPr>
          <w:rFonts w:cs="Arial"/>
        </w:rPr>
        <w:t>I. Dem gestützt auf § 11 Abs. 1 der vorgeschlagenen Änderung der Statuten der FIG zwischen dem Kanton Zürich, der Städte Zürich, Winterthur, Kloten und der Zürcher Kantonalbank abzuschliessenden Aktionärsvertrag betreffend die Delegation von Verwaltungsrats-Mitgliedern in den Verwaltungsrat der FIG wird zugestimmt.</w:t>
      </w:r>
    </w:p>
    <w:p w:rsidR="00B2109D" w:rsidRPr="00B2109D" w:rsidRDefault="00B2109D" w:rsidP="00B2109D">
      <w:pPr>
        <w:pStyle w:val="00Vorgabetext"/>
        <w:keepNext/>
        <w:keepLines/>
        <w:rPr>
          <w:rFonts w:cs="Arial"/>
        </w:rPr>
      </w:pPr>
      <w:r w:rsidRPr="00B2109D">
        <w:rPr>
          <w:rFonts w:cs="Arial"/>
        </w:rPr>
        <w:t>II. Mitteilung an den Vorsteher der Direktion der Finanzen.</w:t>
      </w:r>
    </w:p>
    <w:p w:rsidR="00B2109D" w:rsidRPr="00B2109D" w:rsidRDefault="00B2109D" w:rsidP="00B2109D">
      <w:pPr>
        <w:pStyle w:val="00Vorgabetext"/>
        <w:keepNext/>
        <w:keepLines/>
        <w:rPr>
          <w:rFonts w:cs="Arial"/>
        </w:rPr>
      </w:pPr>
    </w:p>
    <w:p w:rsidR="00B2109D" w:rsidRPr="00B2109D" w:rsidRDefault="00B2109D" w:rsidP="00B2109D">
      <w:pPr>
        <w:pStyle w:val="00Vorgabetext"/>
        <w:keepNext/>
        <w:keepLines/>
        <w:rPr>
          <w:rFonts w:cs="Arial"/>
        </w:rPr>
      </w:pPr>
    </w:p>
    <w:p w:rsidR="00BE768B" w:rsidRPr="00B2109D" w:rsidRDefault="00B2109D" w:rsidP="00B2109D">
      <w:pPr>
        <w:pStyle w:val="00Vorgabetext"/>
        <w:keepNext/>
        <w:keepLines/>
      </w:pPr>
      <w:r w:rsidRPr="00B2109D">
        <w:rPr>
          <w:rFonts w:cs="Arial"/>
        </w:rPr>
        <w:t>[</w:t>
      </w:r>
      <w:r w:rsidRPr="00B2109D">
        <w:rPr>
          <w:rFonts w:cs="Arial"/>
          <w:i/>
        </w:rPr>
        <w:t>Transkript: OCR (Überarbeitung: Team TKR)/14.09.2017</w:t>
      </w:r>
      <w:bookmarkStart w:id="1" w:name="_GoBack"/>
      <w:r w:rsidRPr="00B2109D">
        <w:rPr>
          <w:rFonts w:cs="Arial"/>
        </w:rPr>
        <w:t xml:space="preserve">] </w:t>
      </w:r>
      <w:bookmarkEnd w:id="1"/>
    </w:p>
    <w:sectPr w:rsidR="00BE768B" w:rsidRPr="00B2109D"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09D" w:rsidRDefault="00B2109D">
      <w:r>
        <w:separator/>
      </w:r>
    </w:p>
    <w:p w:rsidR="00B2109D" w:rsidRDefault="00B2109D"/>
    <w:p w:rsidR="00B2109D" w:rsidRDefault="00B2109D"/>
  </w:endnote>
  <w:endnote w:type="continuationSeparator" w:id="0">
    <w:p w:rsidR="00B2109D" w:rsidRDefault="00B2109D">
      <w:r>
        <w:continuationSeparator/>
      </w:r>
    </w:p>
    <w:p w:rsidR="00B2109D" w:rsidRDefault="00B2109D"/>
    <w:p w:rsidR="00B2109D" w:rsidRDefault="00B210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09D" w:rsidRDefault="00B2109D">
      <w:r>
        <w:separator/>
      </w:r>
    </w:p>
    <w:p w:rsidR="00B2109D" w:rsidRDefault="00B2109D"/>
    <w:p w:rsidR="00B2109D" w:rsidRDefault="00B2109D"/>
  </w:footnote>
  <w:footnote w:type="continuationSeparator" w:id="0">
    <w:p w:rsidR="00B2109D" w:rsidRDefault="00B2109D">
      <w:r>
        <w:continuationSeparator/>
      </w:r>
    </w:p>
    <w:p w:rsidR="00B2109D" w:rsidRDefault="00B2109D"/>
    <w:p w:rsidR="00B2109D" w:rsidRDefault="00B210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B2109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B2109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09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2109D"/>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CED750F-8305-4CBB-8468-545C93A0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B210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540D4-0EA3-4E64-8349-777735C28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470</Words>
  <Characters>3766</Characters>
  <Application>Microsoft Office Word</Application>
  <DocSecurity>0</DocSecurity>
  <PresentationFormat/>
  <Lines>342</Lines>
  <Paragraphs>282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3954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Flughafen-Immobilien-Gesellschaft (Statutenänderung)</dc:subject>
  <dc:creator>Staatsarchiv des Kantons Zürich</dc:creator>
  <cp:lastModifiedBy>Mirjam Stadler</cp:lastModifiedBy>
  <cp:revision>1</cp:revision>
  <cp:lastPrinted>2012-06-15T14:37:00Z</cp:lastPrinted>
  <dcterms:created xsi:type="dcterms:W3CDTF">2017-09-14T06:37:00Z</dcterms:created>
  <dcterms:modified xsi:type="dcterms:W3CDTF">2017-09-14T06:37:00Z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