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4853D4" w:rsidTr="00C80ABA">
        <w:trPr>
          <w:trHeight w:val="454"/>
        </w:trPr>
        <w:tc>
          <w:tcPr>
            <w:tcW w:w="1668" w:type="dxa"/>
          </w:tcPr>
          <w:p w:rsidR="00A43AE4" w:rsidRPr="004853D4"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4853D4">
              <w:t>Signatur</w:t>
            </w:r>
          </w:p>
        </w:tc>
        <w:tc>
          <w:tcPr>
            <w:tcW w:w="6721" w:type="dxa"/>
          </w:tcPr>
          <w:p w:rsidR="00A43AE4" w:rsidRPr="004853D4" w:rsidRDefault="004853D4" w:rsidP="00931B1F">
            <w:pPr>
              <w:pStyle w:val="70SignaturX"/>
            </w:pPr>
            <w:r w:rsidRPr="004853D4">
              <w:t>StAZH MM 3.203 RRB 1994/1111</w:t>
            </w:r>
          </w:p>
        </w:tc>
      </w:tr>
      <w:tr w:rsidR="00A43AE4" w:rsidRPr="004853D4" w:rsidTr="00C80ABA">
        <w:trPr>
          <w:trHeight w:val="454"/>
        </w:trPr>
        <w:tc>
          <w:tcPr>
            <w:tcW w:w="1668" w:type="dxa"/>
          </w:tcPr>
          <w:p w:rsidR="00A43AE4" w:rsidRPr="004853D4"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4853D4">
              <w:t>Titel</w:t>
            </w:r>
          </w:p>
        </w:tc>
        <w:tc>
          <w:tcPr>
            <w:tcW w:w="6721" w:type="dxa"/>
          </w:tcPr>
          <w:p w:rsidR="006C59EA" w:rsidRPr="004853D4" w:rsidRDefault="004853D4"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4853D4">
              <w:rPr>
                <w:rFonts w:ascii="Arial Black" w:hAnsi="Arial Black"/>
              </w:rPr>
              <w:t>Etzelwerk (Wasserzins)</w:t>
            </w:r>
          </w:p>
        </w:tc>
      </w:tr>
      <w:tr w:rsidR="00BC0931" w:rsidRPr="004853D4" w:rsidTr="00C80ABA">
        <w:trPr>
          <w:trHeight w:val="454"/>
        </w:trPr>
        <w:tc>
          <w:tcPr>
            <w:tcW w:w="1668" w:type="dxa"/>
          </w:tcPr>
          <w:p w:rsidR="00BC0931" w:rsidRPr="004853D4"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4853D4">
              <w:t>Datum</w:t>
            </w:r>
          </w:p>
        </w:tc>
        <w:tc>
          <w:tcPr>
            <w:tcW w:w="6721" w:type="dxa"/>
          </w:tcPr>
          <w:p w:rsidR="00BC0931" w:rsidRPr="004853D4" w:rsidRDefault="004853D4" w:rsidP="00931B1F">
            <w:pPr>
              <w:pStyle w:val="71DatumX"/>
            </w:pPr>
            <w:r w:rsidRPr="004853D4">
              <w:t>20.04.1994</w:t>
            </w:r>
          </w:p>
        </w:tc>
      </w:tr>
      <w:tr w:rsidR="00A43AE4" w:rsidRPr="004853D4" w:rsidTr="00C80ABA">
        <w:trPr>
          <w:trHeight w:val="454"/>
        </w:trPr>
        <w:tc>
          <w:tcPr>
            <w:tcW w:w="1668" w:type="dxa"/>
          </w:tcPr>
          <w:p w:rsidR="00A43AE4" w:rsidRPr="004853D4"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4853D4">
              <w:t>P.</w:t>
            </w:r>
          </w:p>
        </w:tc>
        <w:tc>
          <w:tcPr>
            <w:tcW w:w="6721" w:type="dxa"/>
          </w:tcPr>
          <w:p w:rsidR="00A43AE4" w:rsidRPr="004853D4" w:rsidRDefault="004853D4" w:rsidP="00931B1F">
            <w:pPr>
              <w:pStyle w:val="00Vorgabetext"/>
            </w:pPr>
            <w:r w:rsidRPr="004853D4">
              <w:t>519–520</w:t>
            </w:r>
          </w:p>
        </w:tc>
      </w:tr>
    </w:tbl>
    <w:p w:rsidR="00616641" w:rsidRPr="004853D4" w:rsidRDefault="00616641" w:rsidP="0077655B">
      <w:pPr>
        <w:pStyle w:val="00Vorgabetext"/>
        <w:spacing w:before="0" w:after="60"/>
      </w:pPr>
    </w:p>
    <w:p w:rsidR="004853D4" w:rsidRPr="004853D4" w:rsidRDefault="004853D4" w:rsidP="004853D4">
      <w:pPr>
        <w:spacing w:before="60"/>
        <w:rPr>
          <w:rFonts w:cs="Arial"/>
        </w:rPr>
      </w:pPr>
      <w:bookmarkStart w:id="0" w:name="ContentText"/>
      <w:bookmarkEnd w:id="0"/>
      <w:r w:rsidRPr="004853D4">
        <w:t>[</w:t>
      </w:r>
      <w:r w:rsidRPr="004853D4">
        <w:rPr>
          <w:i/>
        </w:rPr>
        <w:t>p. 519</w:t>
      </w:r>
      <w:r w:rsidRPr="004853D4">
        <w:t xml:space="preserve">] </w:t>
      </w:r>
      <w:r w:rsidRPr="004853D4">
        <w:rPr>
          <w:rFonts w:cs="Arial"/>
        </w:rPr>
        <w:t>Am 10. Dezember 1993 übermittelte die Etzelwerk AG die Wasserzinsrechnung für das 56. Betriebsjahr 1992/93, die folgendes ergibt:</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5650"/>
      </w:tblGrid>
      <w:tr w:rsidR="004853D4" w:rsidRPr="004853D4" w:rsidTr="000A2F95">
        <w:trPr>
          <w:trHeight w:val="283"/>
        </w:trPr>
        <w:tc>
          <w:tcPr>
            <w:tcW w:w="0" w:type="auto"/>
            <w:shd w:val="clear" w:color="auto" w:fill="FFFFFF"/>
          </w:tcPr>
          <w:p w:rsidR="004853D4" w:rsidRPr="004853D4" w:rsidRDefault="004853D4" w:rsidP="000A2F95">
            <w:pPr>
              <w:spacing w:before="60"/>
              <w:rPr>
                <w:rFonts w:cs="Arial"/>
              </w:rPr>
            </w:pPr>
            <w:r w:rsidRPr="004853D4">
              <w:rPr>
                <w:rFonts w:cs="Arial"/>
              </w:rPr>
              <w:t>Wasserzinspflichtige Wassermenge 208 791 600 m</w:t>
            </w:r>
            <w:r w:rsidRPr="004853D4">
              <w:rPr>
                <w:rFonts w:cs="Arial"/>
                <w:vertAlign w:val="superscript"/>
              </w:rPr>
              <w:t>3</w:t>
            </w:r>
          </w:p>
        </w:tc>
      </w:tr>
      <w:tr w:rsidR="004853D4" w:rsidRPr="004853D4" w:rsidTr="000A2F95">
        <w:trPr>
          <w:trHeight w:val="283"/>
        </w:trPr>
        <w:tc>
          <w:tcPr>
            <w:tcW w:w="0" w:type="auto"/>
            <w:shd w:val="clear" w:color="auto" w:fill="FFFFFF"/>
          </w:tcPr>
          <w:p w:rsidR="004853D4" w:rsidRPr="004853D4" w:rsidRDefault="004853D4" w:rsidP="000A2F95">
            <w:pPr>
              <w:spacing w:before="60"/>
              <w:rPr>
                <w:rFonts w:cs="Arial"/>
              </w:rPr>
            </w:pPr>
            <w:r w:rsidRPr="004853D4">
              <w:rPr>
                <w:rFonts w:cs="Arial"/>
              </w:rPr>
              <w:t>(Durchschnitt der Betriebsjahre 1982/92: 199 594 800 m</w:t>
            </w:r>
            <w:r w:rsidRPr="004853D4">
              <w:rPr>
                <w:rFonts w:cs="Arial"/>
                <w:vertAlign w:val="superscript"/>
              </w:rPr>
              <w:t>3</w:t>
            </w:r>
            <w:r w:rsidRPr="004853D4">
              <w:rPr>
                <w:rFonts w:cs="Arial"/>
              </w:rPr>
              <w:t>)</w:t>
            </w:r>
          </w:p>
        </w:tc>
      </w:tr>
      <w:tr w:rsidR="004853D4" w:rsidRPr="004853D4" w:rsidTr="000A2F95">
        <w:trPr>
          <w:trHeight w:val="283"/>
        </w:trPr>
        <w:tc>
          <w:tcPr>
            <w:tcW w:w="0" w:type="auto"/>
            <w:shd w:val="clear" w:color="auto" w:fill="FFFFFF"/>
          </w:tcPr>
          <w:p w:rsidR="004853D4" w:rsidRPr="004853D4" w:rsidRDefault="004853D4" w:rsidP="000A2F95">
            <w:pPr>
              <w:spacing w:before="60"/>
              <w:rPr>
                <w:rFonts w:cs="Arial"/>
              </w:rPr>
            </w:pPr>
            <w:r w:rsidRPr="004853D4">
              <w:rPr>
                <w:rFonts w:cs="Arial"/>
              </w:rPr>
              <w:t>Durchschnittliche Wassermenge 6,6207 mvs</w:t>
            </w:r>
          </w:p>
        </w:tc>
      </w:tr>
      <w:tr w:rsidR="004853D4" w:rsidRPr="004853D4" w:rsidTr="000A2F95">
        <w:trPr>
          <w:trHeight w:val="283"/>
        </w:trPr>
        <w:tc>
          <w:tcPr>
            <w:tcW w:w="0" w:type="auto"/>
            <w:shd w:val="clear" w:color="auto" w:fill="FFFFFF"/>
          </w:tcPr>
          <w:p w:rsidR="004853D4" w:rsidRPr="004853D4" w:rsidRDefault="004853D4" w:rsidP="000A2F95">
            <w:pPr>
              <w:spacing w:before="60"/>
              <w:rPr>
                <w:rFonts w:cs="Arial"/>
              </w:rPr>
            </w:pPr>
            <w:r w:rsidRPr="004853D4">
              <w:rPr>
                <w:rFonts w:cs="Arial"/>
              </w:rPr>
              <w:t>Massgebende Bruttoleistung 31 208 BkW</w:t>
            </w:r>
          </w:p>
        </w:tc>
      </w:tr>
      <w:tr w:rsidR="004853D4" w:rsidRPr="004853D4" w:rsidTr="000A2F95">
        <w:trPr>
          <w:trHeight w:val="283"/>
        </w:trPr>
        <w:tc>
          <w:tcPr>
            <w:tcW w:w="0" w:type="auto"/>
            <w:shd w:val="clear" w:color="auto" w:fill="FFFFFF"/>
          </w:tcPr>
          <w:p w:rsidR="004853D4" w:rsidRPr="004853D4" w:rsidRDefault="004853D4" w:rsidP="000A2F95">
            <w:pPr>
              <w:spacing w:before="60"/>
              <w:rPr>
                <w:rFonts w:cs="Arial"/>
              </w:rPr>
            </w:pPr>
            <w:r w:rsidRPr="004853D4">
              <w:rPr>
                <w:rFonts w:cs="Arial"/>
              </w:rPr>
              <w:t>Wasserzins (Fr. 54/BkW) Fr. 1 685 232</w:t>
            </w:r>
          </w:p>
        </w:tc>
      </w:tr>
      <w:tr w:rsidR="004853D4" w:rsidRPr="004853D4" w:rsidTr="000A2F95">
        <w:trPr>
          <w:trHeight w:val="283"/>
        </w:trPr>
        <w:tc>
          <w:tcPr>
            <w:tcW w:w="0" w:type="auto"/>
            <w:shd w:val="clear" w:color="auto" w:fill="FFFFFF"/>
          </w:tcPr>
          <w:p w:rsidR="004853D4" w:rsidRPr="004853D4" w:rsidRDefault="004853D4" w:rsidP="000A2F95">
            <w:pPr>
              <w:spacing w:before="60"/>
              <w:rPr>
                <w:rFonts w:cs="Arial"/>
              </w:rPr>
            </w:pPr>
            <w:r w:rsidRPr="004853D4">
              <w:rPr>
                <w:rFonts w:cs="Arial"/>
              </w:rPr>
              <w:t>(55. Betriebsjahr 1991/92 [Fr. 1 315 008])</w:t>
            </w:r>
          </w:p>
        </w:tc>
      </w:tr>
    </w:tbl>
    <w:p w:rsidR="004853D4" w:rsidRPr="004853D4" w:rsidRDefault="004853D4" w:rsidP="004853D4">
      <w:pPr>
        <w:spacing w:before="60"/>
        <w:rPr>
          <w:rFonts w:cs="Arial"/>
        </w:rPr>
      </w:pPr>
      <w:r w:rsidRPr="004853D4">
        <w:rPr>
          <w:rFonts w:cs="Arial"/>
        </w:rPr>
        <w:t>Die Überprüfung der Wasserzinsberechnung gibt zu keinen Beanstandungen Anlass. Dem interkantonalen Fonds für das Etzelwerk wurden Fr. 207 gutgeschrieben. Dessen Bestand erhöht sich damit auf Fr. 23 656.40. Der Rest des Wasserzinses im Betrag von Fr. 1 685 025 wird wie folgt verteilt:</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1537"/>
        <w:gridCol w:w="461"/>
        <w:gridCol w:w="289"/>
        <w:gridCol w:w="999"/>
      </w:tblGrid>
      <w:tr w:rsidR="004853D4" w:rsidRPr="004853D4" w:rsidTr="000A2F95">
        <w:trPr>
          <w:trHeight w:val="283"/>
        </w:trPr>
        <w:tc>
          <w:tcPr>
            <w:tcW w:w="0" w:type="auto"/>
            <w:shd w:val="clear" w:color="auto" w:fill="FFFFFF"/>
          </w:tcPr>
          <w:p w:rsidR="004853D4" w:rsidRPr="004853D4" w:rsidRDefault="004853D4" w:rsidP="000A2F95">
            <w:pPr>
              <w:spacing w:before="60"/>
              <w:rPr>
                <w:rFonts w:cs="Arial"/>
              </w:rPr>
            </w:pPr>
            <w:r w:rsidRPr="004853D4">
              <w:rPr>
                <w:rFonts w:cs="Arial"/>
              </w:rPr>
              <w:t>Kanton Schwyz</w:t>
            </w:r>
          </w:p>
        </w:tc>
        <w:tc>
          <w:tcPr>
            <w:tcW w:w="0" w:type="auto"/>
            <w:shd w:val="clear" w:color="auto" w:fill="FFFFFF"/>
          </w:tcPr>
          <w:p w:rsidR="004853D4" w:rsidRPr="004853D4" w:rsidRDefault="004853D4" w:rsidP="000A2F95">
            <w:pPr>
              <w:spacing w:before="60"/>
              <w:rPr>
                <w:rFonts w:cs="Arial"/>
              </w:rPr>
            </w:pPr>
            <w:r w:rsidRPr="004853D4">
              <w:rPr>
                <w:rFonts w:cs="Arial"/>
              </w:rPr>
              <w:t>48%</w:t>
            </w:r>
          </w:p>
        </w:tc>
        <w:tc>
          <w:tcPr>
            <w:tcW w:w="0" w:type="auto"/>
            <w:shd w:val="clear" w:color="auto" w:fill="FFFFFF"/>
          </w:tcPr>
          <w:p w:rsidR="004853D4" w:rsidRPr="004853D4" w:rsidRDefault="004853D4" w:rsidP="000A2F95">
            <w:pPr>
              <w:spacing w:before="60"/>
              <w:rPr>
                <w:rFonts w:cs="Arial"/>
              </w:rPr>
            </w:pPr>
            <w:r w:rsidRPr="004853D4">
              <w:rPr>
                <w:rFonts w:cs="Arial"/>
              </w:rPr>
              <w:t>Fr.</w:t>
            </w:r>
          </w:p>
        </w:tc>
        <w:tc>
          <w:tcPr>
            <w:tcW w:w="0" w:type="auto"/>
            <w:shd w:val="clear" w:color="auto" w:fill="FFFFFF"/>
          </w:tcPr>
          <w:p w:rsidR="004853D4" w:rsidRPr="004853D4" w:rsidRDefault="004853D4" w:rsidP="000A2F95">
            <w:pPr>
              <w:spacing w:before="60"/>
              <w:jc w:val="right"/>
              <w:rPr>
                <w:rFonts w:cs="Arial"/>
              </w:rPr>
            </w:pPr>
            <w:r w:rsidRPr="004853D4">
              <w:rPr>
                <w:rFonts w:cs="Arial"/>
              </w:rPr>
              <w:t>808 812</w:t>
            </w:r>
          </w:p>
        </w:tc>
      </w:tr>
      <w:tr w:rsidR="004853D4" w:rsidRPr="004853D4" w:rsidTr="000A2F95">
        <w:trPr>
          <w:trHeight w:val="283"/>
        </w:trPr>
        <w:tc>
          <w:tcPr>
            <w:tcW w:w="0" w:type="auto"/>
            <w:shd w:val="clear" w:color="auto" w:fill="FFFFFF"/>
          </w:tcPr>
          <w:p w:rsidR="004853D4" w:rsidRPr="004853D4" w:rsidRDefault="004853D4" w:rsidP="000A2F95">
            <w:pPr>
              <w:spacing w:before="60"/>
              <w:rPr>
                <w:rFonts w:cs="Arial"/>
              </w:rPr>
            </w:pPr>
            <w:r w:rsidRPr="004853D4">
              <w:rPr>
                <w:rFonts w:cs="Arial"/>
              </w:rPr>
              <w:t>Kanton Zug</w:t>
            </w:r>
          </w:p>
        </w:tc>
        <w:tc>
          <w:tcPr>
            <w:tcW w:w="0" w:type="auto"/>
            <w:shd w:val="clear" w:color="auto" w:fill="FFFFFF"/>
          </w:tcPr>
          <w:p w:rsidR="004853D4" w:rsidRPr="004853D4" w:rsidRDefault="004853D4" w:rsidP="000A2F95">
            <w:pPr>
              <w:spacing w:before="60"/>
              <w:rPr>
                <w:rFonts w:cs="Arial"/>
              </w:rPr>
            </w:pPr>
            <w:r w:rsidRPr="004853D4">
              <w:rPr>
                <w:rFonts w:cs="Arial"/>
              </w:rPr>
              <w:t>12%</w:t>
            </w:r>
          </w:p>
        </w:tc>
        <w:tc>
          <w:tcPr>
            <w:tcW w:w="0" w:type="auto"/>
            <w:shd w:val="clear" w:color="auto" w:fill="FFFFFF"/>
          </w:tcPr>
          <w:p w:rsidR="004853D4" w:rsidRPr="004853D4" w:rsidRDefault="004853D4" w:rsidP="000A2F95">
            <w:pPr>
              <w:spacing w:before="60"/>
              <w:rPr>
                <w:rFonts w:cs="Arial"/>
              </w:rPr>
            </w:pPr>
            <w:r w:rsidRPr="004853D4">
              <w:rPr>
                <w:rFonts w:cs="Arial"/>
              </w:rPr>
              <w:t>Fr.</w:t>
            </w:r>
          </w:p>
        </w:tc>
        <w:tc>
          <w:tcPr>
            <w:tcW w:w="0" w:type="auto"/>
            <w:shd w:val="clear" w:color="auto" w:fill="FFFFFF"/>
          </w:tcPr>
          <w:p w:rsidR="004853D4" w:rsidRPr="004853D4" w:rsidRDefault="004853D4" w:rsidP="000A2F95">
            <w:pPr>
              <w:spacing w:before="60"/>
              <w:jc w:val="right"/>
              <w:rPr>
                <w:rFonts w:cs="Arial"/>
              </w:rPr>
            </w:pPr>
            <w:r w:rsidRPr="004853D4">
              <w:rPr>
                <w:rFonts w:cs="Arial"/>
              </w:rPr>
              <w:t>202 203</w:t>
            </w:r>
          </w:p>
        </w:tc>
      </w:tr>
      <w:tr w:rsidR="004853D4" w:rsidRPr="004853D4" w:rsidTr="000A2F95">
        <w:trPr>
          <w:trHeight w:val="283"/>
        </w:trPr>
        <w:tc>
          <w:tcPr>
            <w:tcW w:w="0" w:type="auto"/>
            <w:shd w:val="clear" w:color="auto" w:fill="FFFFFF"/>
          </w:tcPr>
          <w:p w:rsidR="004853D4" w:rsidRPr="004853D4" w:rsidRDefault="004853D4" w:rsidP="000A2F95">
            <w:pPr>
              <w:spacing w:before="60"/>
              <w:rPr>
                <w:rFonts w:cs="Arial"/>
              </w:rPr>
            </w:pPr>
            <w:r w:rsidRPr="004853D4">
              <w:rPr>
                <w:rFonts w:cs="Arial"/>
              </w:rPr>
              <w:t>Kanton Zürich</w:t>
            </w:r>
          </w:p>
        </w:tc>
        <w:tc>
          <w:tcPr>
            <w:tcW w:w="0" w:type="auto"/>
            <w:shd w:val="clear" w:color="auto" w:fill="FFFFFF"/>
          </w:tcPr>
          <w:p w:rsidR="004853D4" w:rsidRPr="004853D4" w:rsidRDefault="004853D4" w:rsidP="000A2F95">
            <w:pPr>
              <w:spacing w:before="60"/>
              <w:rPr>
                <w:rFonts w:cs="Arial"/>
              </w:rPr>
            </w:pPr>
            <w:r w:rsidRPr="004853D4">
              <w:rPr>
                <w:rFonts w:cs="Arial"/>
              </w:rPr>
              <w:t>40%</w:t>
            </w:r>
          </w:p>
        </w:tc>
        <w:tc>
          <w:tcPr>
            <w:tcW w:w="0" w:type="auto"/>
            <w:shd w:val="clear" w:color="auto" w:fill="FFFFFF"/>
          </w:tcPr>
          <w:p w:rsidR="004853D4" w:rsidRPr="004853D4" w:rsidRDefault="004853D4" w:rsidP="000A2F95">
            <w:pPr>
              <w:spacing w:before="60"/>
              <w:rPr>
                <w:rFonts w:cs="Arial"/>
              </w:rPr>
            </w:pPr>
            <w:r w:rsidRPr="004853D4">
              <w:rPr>
                <w:rFonts w:cs="Arial"/>
              </w:rPr>
              <w:t>Fr.</w:t>
            </w:r>
          </w:p>
        </w:tc>
        <w:tc>
          <w:tcPr>
            <w:tcW w:w="0" w:type="auto"/>
            <w:shd w:val="clear" w:color="auto" w:fill="FFFFFF"/>
          </w:tcPr>
          <w:p w:rsidR="004853D4" w:rsidRPr="004853D4" w:rsidRDefault="004853D4" w:rsidP="000A2F95">
            <w:pPr>
              <w:spacing w:before="60"/>
              <w:jc w:val="right"/>
              <w:rPr>
                <w:rFonts w:cs="Arial"/>
              </w:rPr>
            </w:pPr>
            <w:r w:rsidRPr="004853D4">
              <w:rPr>
                <w:rFonts w:cs="Arial"/>
              </w:rPr>
              <w:t>674 010</w:t>
            </w:r>
          </w:p>
        </w:tc>
      </w:tr>
      <w:tr w:rsidR="004853D4" w:rsidRPr="004853D4" w:rsidTr="000A2F95">
        <w:trPr>
          <w:trHeight w:val="283"/>
        </w:trPr>
        <w:tc>
          <w:tcPr>
            <w:tcW w:w="0" w:type="auto"/>
            <w:shd w:val="clear" w:color="auto" w:fill="FFFFFF"/>
          </w:tcPr>
          <w:p w:rsidR="004853D4" w:rsidRPr="004853D4" w:rsidRDefault="004853D4" w:rsidP="000A2F95">
            <w:pPr>
              <w:spacing w:before="60"/>
              <w:rPr>
                <w:rFonts w:cs="Arial"/>
              </w:rPr>
            </w:pPr>
            <w:r w:rsidRPr="004853D4">
              <w:rPr>
                <w:rFonts w:cs="Arial"/>
              </w:rPr>
              <w:t>Total</w:t>
            </w:r>
          </w:p>
        </w:tc>
        <w:tc>
          <w:tcPr>
            <w:tcW w:w="0" w:type="auto"/>
            <w:shd w:val="clear" w:color="auto" w:fill="FFFFFF"/>
          </w:tcPr>
          <w:p w:rsidR="004853D4" w:rsidRPr="004853D4" w:rsidRDefault="004853D4" w:rsidP="000A2F95">
            <w:pPr>
              <w:spacing w:before="60"/>
              <w:rPr>
                <w:rFonts w:cs="Arial"/>
                <w:szCs w:val="10"/>
              </w:rPr>
            </w:pPr>
          </w:p>
        </w:tc>
        <w:tc>
          <w:tcPr>
            <w:tcW w:w="0" w:type="auto"/>
            <w:shd w:val="clear" w:color="auto" w:fill="FFFFFF"/>
          </w:tcPr>
          <w:p w:rsidR="004853D4" w:rsidRPr="004853D4" w:rsidRDefault="004853D4" w:rsidP="000A2F95">
            <w:pPr>
              <w:spacing w:before="60"/>
              <w:rPr>
                <w:rFonts w:cs="Arial"/>
              </w:rPr>
            </w:pPr>
            <w:r w:rsidRPr="004853D4">
              <w:rPr>
                <w:rFonts w:cs="Arial"/>
              </w:rPr>
              <w:t>Fr.</w:t>
            </w:r>
          </w:p>
        </w:tc>
        <w:tc>
          <w:tcPr>
            <w:tcW w:w="0" w:type="auto"/>
            <w:shd w:val="clear" w:color="auto" w:fill="FFFFFF"/>
          </w:tcPr>
          <w:p w:rsidR="004853D4" w:rsidRPr="004853D4" w:rsidRDefault="004853D4" w:rsidP="000A2F95">
            <w:pPr>
              <w:spacing w:before="60"/>
              <w:jc w:val="right"/>
              <w:rPr>
                <w:rFonts w:cs="Arial"/>
              </w:rPr>
            </w:pPr>
            <w:r w:rsidRPr="004853D4">
              <w:rPr>
                <w:rFonts w:cs="Arial"/>
              </w:rPr>
              <w:t>1 685 025</w:t>
            </w:r>
          </w:p>
        </w:tc>
      </w:tr>
    </w:tbl>
    <w:p w:rsidR="004853D4" w:rsidRPr="004853D4" w:rsidRDefault="004853D4" w:rsidP="004853D4">
      <w:pPr>
        <w:spacing w:before="60"/>
        <w:rPr>
          <w:rFonts w:cs="Arial"/>
        </w:rPr>
      </w:pPr>
      <w:r w:rsidRPr="004853D4">
        <w:rPr>
          <w:rFonts w:cs="Arial"/>
        </w:rPr>
        <w:t>Die Staatskasse Schwyz hat den zürcherischen Anteil bereits überwiesen.</w:t>
      </w:r>
    </w:p>
    <w:p w:rsidR="004853D4" w:rsidRPr="004853D4" w:rsidRDefault="004853D4" w:rsidP="004853D4">
      <w:pPr>
        <w:spacing w:before="60"/>
        <w:rPr>
          <w:rFonts w:cs="Arial"/>
        </w:rPr>
      </w:pPr>
      <w:r w:rsidRPr="004853D4">
        <w:rPr>
          <w:rFonts w:cs="Arial"/>
        </w:rPr>
        <w:t>Die Wasserzinszahlung kann als endgültig anerkannt werden.</w:t>
      </w:r>
    </w:p>
    <w:p w:rsidR="004853D4" w:rsidRPr="004853D4" w:rsidRDefault="004853D4" w:rsidP="004853D4">
      <w:pPr>
        <w:spacing w:before="60"/>
        <w:rPr>
          <w:rFonts w:cs="Arial"/>
        </w:rPr>
      </w:pPr>
      <w:r w:rsidRPr="004853D4">
        <w:rPr>
          <w:rFonts w:cs="Arial"/>
        </w:rPr>
        <w:t>Auf Antrag der Direktion der öffentlichen Bauten</w:t>
      </w:r>
    </w:p>
    <w:p w:rsidR="004853D4" w:rsidRPr="004853D4" w:rsidRDefault="004853D4" w:rsidP="004853D4">
      <w:pPr>
        <w:spacing w:before="60"/>
        <w:jc w:val="center"/>
        <w:rPr>
          <w:rFonts w:cs="Arial"/>
        </w:rPr>
      </w:pPr>
      <w:r w:rsidRPr="004853D4">
        <w:rPr>
          <w:rFonts w:cs="Arial"/>
        </w:rPr>
        <w:t>beschliesst der Regierungsrat:</w:t>
      </w:r>
    </w:p>
    <w:p w:rsidR="004853D4" w:rsidRPr="004853D4" w:rsidRDefault="004853D4" w:rsidP="004853D4">
      <w:pPr>
        <w:pStyle w:val="00Vorgabetext"/>
        <w:rPr>
          <w:rFonts w:cs="Arial"/>
        </w:rPr>
      </w:pPr>
      <w:r w:rsidRPr="004853D4">
        <w:rPr>
          <w:rFonts w:cs="Arial"/>
        </w:rPr>
        <w:t>I. Die von der Etzelwerk AG als Wasserzins für das Betriebsjahr 1992/93 geleistete Zahlung von Fr. 1 685 232 (Anteil Kanton Zürich Fr. 674010) wird als endgültige Wasserzinsleistung anerkannt.</w:t>
      </w:r>
      <w:r w:rsidRPr="004853D4">
        <w:rPr>
          <w:rFonts w:cs="Arial"/>
        </w:rPr>
        <w:t xml:space="preserve"> // [</w:t>
      </w:r>
      <w:r w:rsidRPr="004853D4">
        <w:rPr>
          <w:rFonts w:cs="Arial"/>
          <w:i/>
        </w:rPr>
        <w:t>p. 520</w:t>
      </w:r>
      <w:r w:rsidRPr="004853D4">
        <w:rPr>
          <w:rFonts w:cs="Arial"/>
        </w:rPr>
        <w:t>]</w:t>
      </w:r>
    </w:p>
    <w:p w:rsidR="004853D4" w:rsidRPr="004853D4" w:rsidRDefault="004853D4" w:rsidP="004853D4">
      <w:pPr>
        <w:pStyle w:val="00Vorgabetext"/>
        <w:keepNext/>
        <w:keepLines/>
        <w:rPr>
          <w:rFonts w:cs="Arial"/>
        </w:rPr>
      </w:pPr>
      <w:r w:rsidRPr="004853D4">
        <w:rPr>
          <w:rFonts w:cs="Arial"/>
        </w:rPr>
        <w:t>II. Mitteilung an die Etzelwerk AG, 8852 Altendorf (im Dispositiv), die Regierungsräte der Kantone Schwyz und Zug sowie an die Direktion der öffentlichen Bauten.</w:t>
      </w:r>
    </w:p>
    <w:p w:rsidR="004853D4" w:rsidRPr="004853D4" w:rsidRDefault="004853D4" w:rsidP="004853D4">
      <w:pPr>
        <w:pStyle w:val="00Vorgabetext"/>
        <w:keepNext/>
        <w:keepLines/>
        <w:rPr>
          <w:rFonts w:cs="Arial"/>
        </w:rPr>
      </w:pPr>
    </w:p>
    <w:p w:rsidR="004853D4" w:rsidRPr="004853D4" w:rsidRDefault="004853D4" w:rsidP="004853D4">
      <w:pPr>
        <w:pStyle w:val="00Vorgabetext"/>
        <w:keepNext/>
        <w:keepLines/>
        <w:rPr>
          <w:rFonts w:cs="Arial"/>
        </w:rPr>
      </w:pPr>
    </w:p>
    <w:p w:rsidR="00BE768B" w:rsidRPr="004853D4" w:rsidRDefault="004853D4" w:rsidP="004853D4">
      <w:pPr>
        <w:pStyle w:val="00Vorgabetext"/>
        <w:keepNext/>
        <w:keepLines/>
      </w:pPr>
      <w:r w:rsidRPr="004853D4">
        <w:rPr>
          <w:rFonts w:cs="Arial"/>
        </w:rPr>
        <w:t>[</w:t>
      </w:r>
      <w:r w:rsidRPr="004853D4">
        <w:rPr>
          <w:rFonts w:cs="Arial"/>
          <w:i/>
        </w:rPr>
        <w:t>Transkript: OCR (Überarbeitung: Team TKR)/14.09.2017</w:t>
      </w:r>
      <w:bookmarkStart w:id="1" w:name="_GoBack"/>
      <w:r w:rsidRPr="004853D4">
        <w:rPr>
          <w:rFonts w:cs="Arial"/>
        </w:rPr>
        <w:t xml:space="preserve">] </w:t>
      </w:r>
      <w:bookmarkEnd w:id="1"/>
    </w:p>
    <w:sectPr w:rsidR="00BE768B" w:rsidRPr="004853D4"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53D4" w:rsidRDefault="004853D4">
      <w:r>
        <w:separator/>
      </w:r>
    </w:p>
    <w:p w:rsidR="004853D4" w:rsidRDefault="004853D4"/>
    <w:p w:rsidR="004853D4" w:rsidRDefault="004853D4"/>
  </w:endnote>
  <w:endnote w:type="continuationSeparator" w:id="0">
    <w:p w:rsidR="004853D4" w:rsidRDefault="004853D4">
      <w:r>
        <w:continuationSeparator/>
      </w:r>
    </w:p>
    <w:p w:rsidR="004853D4" w:rsidRDefault="004853D4"/>
    <w:p w:rsidR="004853D4" w:rsidRDefault="004853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53D4" w:rsidRDefault="004853D4">
      <w:r>
        <w:separator/>
      </w:r>
    </w:p>
    <w:p w:rsidR="004853D4" w:rsidRDefault="004853D4"/>
    <w:p w:rsidR="004853D4" w:rsidRDefault="004853D4"/>
  </w:footnote>
  <w:footnote w:type="continuationSeparator" w:id="0">
    <w:p w:rsidR="004853D4" w:rsidRDefault="004853D4">
      <w:r>
        <w:continuationSeparator/>
      </w:r>
    </w:p>
    <w:p w:rsidR="004853D4" w:rsidRDefault="004853D4"/>
    <w:p w:rsidR="004853D4" w:rsidRDefault="004853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4853D4">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4853D4"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3D4"/>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53D4"/>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F444252-9A7E-4627-8D76-FB4F8317D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4853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86131-E2B9-407E-B69A-A6309DFA1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225</Words>
  <Characters>1318</Characters>
  <Application>Microsoft Office Word</Application>
  <DocSecurity>0</DocSecurity>
  <PresentationFormat/>
  <Lines>146</Lines>
  <Paragraphs>140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1403</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Etzelwerk (Wasserzins)</dc:subject>
  <dc:creator>Staatsarchiv des Kantons Zürich</dc:creator>
  <cp:lastModifiedBy>Mirjam Stadler</cp:lastModifiedBy>
  <cp:revision>1</cp:revision>
  <cp:lastPrinted>2012-06-15T14:37:00Z</cp:lastPrinted>
  <dcterms:created xsi:type="dcterms:W3CDTF">2017-09-14T06:41:00Z</dcterms:created>
  <dcterms:modified xsi:type="dcterms:W3CDTF">2017-09-14T06:41:00Z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