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640E5" w:rsidP="00931B1F">
            <w:pPr>
              <w:pStyle w:val="70SignaturX"/>
            </w:pPr>
            <w:r>
              <w:t>StAZH MM 3.203 RRB 1994/1244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640E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Grundbuchvermessung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640E5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640E5" w:rsidP="00931B1F">
            <w:pPr>
              <w:pStyle w:val="00Vorgabetext"/>
            </w:pPr>
            <w:r>
              <w:t>581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640E5" w:rsidRPr="00E42CB7" w:rsidRDefault="004640E5" w:rsidP="004640E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640E5">
        <w:rPr>
          <w:i/>
        </w:rPr>
        <w:t>p. 581</w:t>
      </w:r>
      <w:r w:rsidRPr="004640E5">
        <w:t>]</w:t>
      </w:r>
      <w:r>
        <w:t xml:space="preserve"> </w:t>
      </w:r>
      <w:r w:rsidRPr="00E42CB7">
        <w:rPr>
          <w:rFonts w:cs="Arial"/>
        </w:rPr>
        <w:t>Die mit RRB Nr. 2151/1980 angeordnete Neuvermessung der Zürcher</w:t>
      </w:r>
      <w:r>
        <w:rPr>
          <w:rFonts w:cs="Arial"/>
        </w:rPr>
        <w:t xml:space="preserve"> </w:t>
      </w:r>
      <w:r w:rsidRPr="00E42CB7">
        <w:rPr>
          <w:rFonts w:cs="Arial"/>
        </w:rPr>
        <w:t>Altstadt wird in zwei Losen ausgeführt. Die Vermessung der Gebiete</w:t>
      </w:r>
      <w:r>
        <w:rPr>
          <w:rFonts w:cs="Arial"/>
        </w:rPr>
        <w:t xml:space="preserve"> </w:t>
      </w:r>
      <w:r w:rsidRPr="00E42CB7">
        <w:rPr>
          <w:rFonts w:cs="Arial"/>
        </w:rPr>
        <w:t>links der Limmat, Zürich</w:t>
      </w:r>
      <w:r>
        <w:rPr>
          <w:rFonts w:cs="Arial"/>
        </w:rPr>
        <w:t>-</w:t>
      </w:r>
      <w:r w:rsidRPr="00E42CB7">
        <w:rPr>
          <w:rFonts w:cs="Arial"/>
        </w:rPr>
        <w:t>Altstadt, Los 2U, ist abgeschlossen. Laut</w:t>
      </w:r>
      <w:r>
        <w:rPr>
          <w:rFonts w:cs="Arial"/>
        </w:rPr>
        <w:t xml:space="preserve"> </w:t>
      </w:r>
      <w:r w:rsidRPr="00E42CB7">
        <w:rPr>
          <w:rFonts w:cs="Arial"/>
        </w:rPr>
        <w:t>Zeugnis der Vermessungskommission der Stadt Zürich vom 7. Oktober</w:t>
      </w:r>
      <w:r>
        <w:rPr>
          <w:rFonts w:cs="Arial"/>
        </w:rPr>
        <w:t xml:space="preserve"> </w:t>
      </w:r>
      <w:r w:rsidRPr="00E42CB7">
        <w:rPr>
          <w:rFonts w:cs="Arial"/>
        </w:rPr>
        <w:t>1993 ist die einzige anlässlich der öffentlichen Auflage des Vermessungswerks eingegangene Einsprache zurückgezogen worden.</w:t>
      </w:r>
    </w:p>
    <w:p w:rsidR="004640E5" w:rsidRPr="00E42CB7" w:rsidRDefault="004640E5" w:rsidP="004640E5">
      <w:pPr>
        <w:spacing w:before="60"/>
        <w:rPr>
          <w:rFonts w:cs="Arial"/>
        </w:rPr>
      </w:pPr>
      <w:r w:rsidRPr="00E42CB7">
        <w:rPr>
          <w:rFonts w:cs="Arial"/>
        </w:rPr>
        <w:t>Das Meliorations</w:t>
      </w:r>
      <w:r>
        <w:rPr>
          <w:rFonts w:cs="Arial"/>
        </w:rPr>
        <w:t>-</w:t>
      </w:r>
      <w:r w:rsidRPr="00E42CB7">
        <w:rPr>
          <w:rFonts w:cs="Arial"/>
        </w:rPr>
        <w:t xml:space="preserve"> und Vermessungsamt hat die Vermessung geprüft</w:t>
      </w:r>
      <w:r>
        <w:rPr>
          <w:rFonts w:cs="Arial"/>
        </w:rPr>
        <w:t xml:space="preserve"> </w:t>
      </w:r>
      <w:r w:rsidRPr="00E42CB7">
        <w:rPr>
          <w:rFonts w:cs="Arial"/>
        </w:rPr>
        <w:t>und für richtig befunden. Das Eidgenössische Justiz</w:t>
      </w:r>
      <w:r>
        <w:rPr>
          <w:rFonts w:cs="Arial"/>
        </w:rPr>
        <w:t>-</w:t>
      </w:r>
      <w:r w:rsidRPr="00E42CB7">
        <w:rPr>
          <w:rFonts w:cs="Arial"/>
        </w:rPr>
        <w:t xml:space="preserve"> und Polizeidepartement hat die Parzellarvermessung Zürich</w:t>
      </w:r>
      <w:r>
        <w:rPr>
          <w:rFonts w:cs="Arial"/>
        </w:rPr>
        <w:t>-</w:t>
      </w:r>
      <w:r w:rsidRPr="00E42CB7">
        <w:rPr>
          <w:rFonts w:cs="Arial"/>
        </w:rPr>
        <w:t>Altstadt, Los 2U, mit Beschluss vom 6. April 1994 anerkannt und dem Gesuch um Ausrichtung</w:t>
      </w:r>
      <w:r>
        <w:rPr>
          <w:rFonts w:cs="Arial"/>
        </w:rPr>
        <w:t xml:space="preserve"> </w:t>
      </w:r>
      <w:r w:rsidRPr="00E42CB7">
        <w:rPr>
          <w:rFonts w:cs="Arial"/>
        </w:rPr>
        <w:t>des Kostenanteils des Bundes entsprochen.</w:t>
      </w:r>
    </w:p>
    <w:p w:rsidR="004640E5" w:rsidRPr="00E42CB7" w:rsidRDefault="004640E5" w:rsidP="004640E5">
      <w:pPr>
        <w:spacing w:before="60"/>
        <w:rPr>
          <w:rFonts w:cs="Arial"/>
        </w:rPr>
      </w:pPr>
      <w:r w:rsidRPr="00E42CB7">
        <w:rPr>
          <w:rFonts w:cs="Arial"/>
        </w:rPr>
        <w:t>Aufgrund der Beitragsabrechnung ergeben sich für Bund und Kanton</w:t>
      </w:r>
      <w:r>
        <w:rPr>
          <w:rFonts w:cs="Arial"/>
        </w:rPr>
        <w:t xml:space="preserve"> </w:t>
      </w:r>
      <w:r w:rsidRPr="00E42CB7">
        <w:rPr>
          <w:rFonts w:cs="Arial"/>
        </w:rPr>
        <w:t>folgende Anteile an den Kosten: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"/>
        <w:gridCol w:w="1354"/>
        <w:gridCol w:w="2442"/>
        <w:gridCol w:w="1806"/>
      </w:tblGrid>
      <w:tr w:rsidR="004640E5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center"/>
              <w:rPr>
                <w:rFonts w:cs="Arial"/>
              </w:rPr>
            </w:pPr>
            <w:r w:rsidRPr="00E42CB7">
              <w:rPr>
                <w:rFonts w:cs="Arial"/>
              </w:rPr>
              <w:t>Kostenanteile</w:t>
            </w: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Geleistete </w:t>
            </w:r>
            <w:r w:rsidRPr="00E42CB7">
              <w:rPr>
                <w:rFonts w:cs="Arial"/>
              </w:rPr>
              <w:t>Teilzahlungen</w:t>
            </w: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center"/>
              <w:rPr>
                <w:rFonts w:cs="Arial"/>
              </w:rPr>
            </w:pPr>
            <w:r w:rsidRPr="00E42CB7">
              <w:rPr>
                <w:rFonts w:cs="Arial"/>
              </w:rPr>
              <w:t>Schlusszahlungen</w:t>
            </w:r>
          </w:p>
        </w:tc>
      </w:tr>
      <w:tr w:rsidR="004640E5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center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center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center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</w:tr>
      <w:tr w:rsidR="004640E5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Bund</w:t>
            </w: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390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417.95</w:t>
            </w: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right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E42CB7">
              <w:rPr>
                <w:rFonts w:cs="Arial"/>
              </w:rPr>
              <w:t>.</w:t>
            </w:r>
            <w:r>
              <w:rPr>
                <w:rFonts w:cs="Arial"/>
              </w:rPr>
              <w:t>-</w:t>
            </w: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390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417.95</w:t>
            </w:r>
          </w:p>
        </w:tc>
      </w:tr>
      <w:tr w:rsidR="004640E5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Kanton</w:t>
            </w: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61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860.</w:t>
            </w:r>
            <w:r>
              <w:rPr>
                <w:rFonts w:cs="Arial"/>
              </w:rPr>
              <w:t>-</w:t>
            </w: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50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000.</w:t>
            </w:r>
            <w:r>
              <w:rPr>
                <w:rFonts w:cs="Arial"/>
              </w:rPr>
              <w:t>-</w:t>
            </w:r>
          </w:p>
        </w:tc>
        <w:tc>
          <w:tcPr>
            <w:tcW w:w="0" w:type="auto"/>
            <w:shd w:val="clear" w:color="auto" w:fill="FFFFFF"/>
          </w:tcPr>
          <w:p w:rsidR="004640E5" w:rsidRPr="00E42CB7" w:rsidRDefault="004640E5" w:rsidP="000A2F95">
            <w:pPr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11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860.</w:t>
            </w:r>
            <w:r>
              <w:rPr>
                <w:rFonts w:cs="Arial"/>
              </w:rPr>
              <w:t>-</w:t>
            </w:r>
          </w:p>
        </w:tc>
      </w:tr>
    </w:tbl>
    <w:p w:rsidR="004640E5" w:rsidRPr="00E42CB7" w:rsidRDefault="004640E5" w:rsidP="004640E5">
      <w:pPr>
        <w:spacing w:before="60"/>
        <w:rPr>
          <w:rFonts w:cs="Arial"/>
        </w:rPr>
      </w:pPr>
      <w:r w:rsidRPr="00E42CB7">
        <w:rPr>
          <w:rFonts w:cs="Arial"/>
        </w:rPr>
        <w:t>Gestützt auf § 19 Abs. 1 der Verordnung über die Durchführung der</w:t>
      </w:r>
      <w:r>
        <w:rPr>
          <w:rFonts w:cs="Arial"/>
        </w:rPr>
        <w:t xml:space="preserve"> </w:t>
      </w:r>
      <w:r w:rsidRPr="00E42CB7">
        <w:rPr>
          <w:rFonts w:cs="Arial"/>
        </w:rPr>
        <w:t>Grundbuchvermessung und die Kostentragung für Einführung des</w:t>
      </w:r>
      <w:r>
        <w:rPr>
          <w:rFonts w:cs="Arial"/>
        </w:rPr>
        <w:t xml:space="preserve"> </w:t>
      </w:r>
      <w:r w:rsidRPr="00E42CB7">
        <w:rPr>
          <w:rFonts w:cs="Arial"/>
        </w:rPr>
        <w:t>Grundbuchs vom 30. Oktober 1922 ist das Vermessungswerk Zürich</w:t>
      </w:r>
      <w:r>
        <w:rPr>
          <w:rFonts w:cs="Arial"/>
        </w:rPr>
        <w:t>-</w:t>
      </w:r>
      <w:r w:rsidRPr="00E42CB7">
        <w:rPr>
          <w:rFonts w:cs="Arial"/>
        </w:rPr>
        <w:t>Altstadt, Los 2U, rechtskräftig zu erklären. Gemäss §§ 27 und 29 der genannten Verordnung ist der Staatsbeitrag an die Kosten des Vermessungswerks von Fr. 61</w:t>
      </w:r>
      <w:r>
        <w:rPr>
          <w:rFonts w:cs="Arial"/>
        </w:rPr>
        <w:t> </w:t>
      </w:r>
      <w:r w:rsidRPr="00E42CB7">
        <w:rPr>
          <w:rFonts w:cs="Arial"/>
        </w:rPr>
        <w:t>860, abzüglich der geleisteten Teilzahlungen von</w:t>
      </w:r>
      <w:r>
        <w:rPr>
          <w:rFonts w:cs="Arial"/>
        </w:rPr>
        <w:t xml:space="preserve"> </w:t>
      </w:r>
      <w:r w:rsidRPr="00E42CB7">
        <w:rPr>
          <w:rFonts w:cs="Arial"/>
        </w:rPr>
        <w:t>Fr. 50000, an die Stadt Zürich auszurichten. Dieser Betrag ist im Voranschlag 1994 enthalten.</w:t>
      </w:r>
    </w:p>
    <w:p w:rsidR="004640E5" w:rsidRDefault="004640E5" w:rsidP="004640E5">
      <w:pPr>
        <w:spacing w:before="60"/>
        <w:rPr>
          <w:rFonts w:cs="Arial"/>
        </w:rPr>
      </w:pPr>
      <w:r w:rsidRPr="00E42CB7">
        <w:rPr>
          <w:rFonts w:cs="Arial"/>
        </w:rPr>
        <w:t>Auf Antrag der Direktion der Volkswirtschaft</w:t>
      </w:r>
    </w:p>
    <w:p w:rsidR="004640E5" w:rsidRDefault="004640E5" w:rsidP="004640E5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4640E5" w:rsidRPr="00E42CB7" w:rsidRDefault="004640E5" w:rsidP="004640E5">
      <w:pPr>
        <w:tabs>
          <w:tab w:val="left" w:pos="496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Das Vermessungswerk Zürich</w:t>
      </w:r>
      <w:r>
        <w:rPr>
          <w:rFonts w:cs="Arial"/>
        </w:rPr>
        <w:t>-</w:t>
      </w:r>
      <w:r w:rsidRPr="00E42CB7">
        <w:rPr>
          <w:rFonts w:cs="Arial"/>
        </w:rPr>
        <w:t>Altstadt, Los 2U, wird rechtskräftig</w:t>
      </w:r>
      <w:r>
        <w:rPr>
          <w:rFonts w:cs="Arial"/>
        </w:rPr>
        <w:t xml:space="preserve"> </w:t>
      </w:r>
      <w:r w:rsidRPr="00E42CB7">
        <w:rPr>
          <w:rFonts w:cs="Arial"/>
        </w:rPr>
        <w:t>erklärt.</w:t>
      </w:r>
    </w:p>
    <w:p w:rsidR="004640E5" w:rsidRPr="00E42CB7" w:rsidRDefault="004640E5" w:rsidP="004640E5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Der Stadt Zürich wird an die Kosten des Vermessungswerks zu Lasten des Kontos 2636.01.3620.001, Beiträge an Gemeinden für Grundbuchvermessungen, der restliche Staatsbeitrag von Fr. 11</w:t>
      </w:r>
      <w:r>
        <w:rPr>
          <w:rFonts w:cs="Arial"/>
        </w:rPr>
        <w:t> </w:t>
      </w:r>
      <w:r w:rsidRPr="00E42CB7">
        <w:rPr>
          <w:rFonts w:cs="Arial"/>
        </w:rPr>
        <w:t>860 ausgerichtet.</w:t>
      </w:r>
    </w:p>
    <w:p w:rsidR="004640E5" w:rsidRPr="00E42CB7" w:rsidRDefault="004640E5" w:rsidP="004640E5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Volkswirtschaftsdirektion wird beauftragt, aus Konto 2636.01.3720.001, Durchlaufende Beiträge an Gemeinden für Grundbuchvermessungen, den Kostenanteil des Bundes von Fr. 390417.95 an die Stadt</w:t>
      </w:r>
      <w:r>
        <w:rPr>
          <w:rFonts w:cs="Arial"/>
        </w:rPr>
        <w:t xml:space="preserve"> </w:t>
      </w:r>
      <w:r w:rsidRPr="00E42CB7">
        <w:rPr>
          <w:rFonts w:cs="Arial"/>
        </w:rPr>
        <w:t>Zürich zu vergüten.</w:t>
      </w:r>
    </w:p>
    <w:p w:rsidR="004640E5" w:rsidRDefault="004640E5" w:rsidP="004640E5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Vermessungskommission der Stadt Zürich (Präsidentin: Vorsteherin des Bauamtes I, K. Martelli, Amtshaus V, Werdmühleplatz 3, Postfach, 8023 Zürich), den Stadtrat von Zürich, 8022</w:t>
      </w:r>
      <w:r>
        <w:rPr>
          <w:rFonts w:cs="Arial"/>
        </w:rPr>
        <w:t xml:space="preserve"> </w:t>
      </w:r>
      <w:r w:rsidRPr="00E42CB7">
        <w:rPr>
          <w:rFonts w:cs="Arial"/>
        </w:rPr>
        <w:t>Zürich, die Eidgenössische Vermessungsdirektion, 3003 Bern, das Obergericht des Kantons Zürich, Hirschengraben 13/15, Postfach, 8023 Zürich, das Notariatsinspektorat, Obere Zäune 12, 8023 Zürich, das</w:t>
      </w:r>
      <w:r>
        <w:rPr>
          <w:rFonts w:cs="Arial"/>
        </w:rPr>
        <w:t xml:space="preserve"> </w:t>
      </w:r>
      <w:r w:rsidRPr="00E42CB7">
        <w:rPr>
          <w:rFonts w:cs="Arial"/>
        </w:rPr>
        <w:t>Grundbuchamt Zürich (Altstadt), Bleicherweg 5, 8022 Zürich, das Vermessungsamt der Stadt Zürich, Amtshaus V, Werdmühleplatz 3, Postfach, 8023 Zürich, sowie an die Direktion der Volkswirtschaft.</w:t>
      </w:r>
    </w:p>
    <w:p w:rsidR="004640E5" w:rsidRDefault="004640E5" w:rsidP="004640E5">
      <w:pPr>
        <w:pStyle w:val="00Vorgabetext"/>
        <w:keepNext/>
        <w:keepLines/>
        <w:rPr>
          <w:rFonts w:cs="Arial"/>
        </w:rPr>
      </w:pPr>
    </w:p>
    <w:p w:rsidR="004640E5" w:rsidRDefault="004640E5" w:rsidP="004640E5">
      <w:pPr>
        <w:pStyle w:val="00Vorgabetext"/>
        <w:keepNext/>
        <w:keepLines/>
        <w:rPr>
          <w:rFonts w:cs="Arial"/>
        </w:rPr>
      </w:pPr>
    </w:p>
    <w:p w:rsidR="00BE768B" w:rsidRDefault="004640E5" w:rsidP="004640E5">
      <w:pPr>
        <w:pStyle w:val="00Vorgabetext"/>
        <w:keepNext/>
        <w:keepLines/>
      </w:pPr>
      <w:r>
        <w:rPr>
          <w:rFonts w:cs="Arial"/>
        </w:rPr>
        <w:t>[</w:t>
      </w:r>
      <w:r w:rsidRPr="004640E5">
        <w:rPr>
          <w:rFonts w:cs="Arial"/>
          <w:i/>
        </w:rPr>
        <w:t>Transkript: OCR (Überarbeitung: Team TKR)/14.09.2017</w:t>
      </w:r>
      <w:bookmarkStart w:id="1" w:name="_GoBack"/>
      <w:r w:rsidRPr="004640E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0E5" w:rsidRDefault="004640E5">
      <w:r>
        <w:separator/>
      </w:r>
    </w:p>
    <w:p w:rsidR="004640E5" w:rsidRDefault="004640E5"/>
    <w:p w:rsidR="004640E5" w:rsidRDefault="004640E5"/>
  </w:endnote>
  <w:endnote w:type="continuationSeparator" w:id="0">
    <w:p w:rsidR="004640E5" w:rsidRDefault="004640E5">
      <w:r>
        <w:continuationSeparator/>
      </w:r>
    </w:p>
    <w:p w:rsidR="004640E5" w:rsidRDefault="004640E5"/>
    <w:p w:rsidR="004640E5" w:rsidRDefault="00464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0E5" w:rsidRDefault="004640E5">
      <w:r>
        <w:separator/>
      </w:r>
    </w:p>
    <w:p w:rsidR="004640E5" w:rsidRDefault="004640E5"/>
    <w:p w:rsidR="004640E5" w:rsidRDefault="004640E5"/>
  </w:footnote>
  <w:footnote w:type="continuationSeparator" w:id="0">
    <w:p w:rsidR="004640E5" w:rsidRDefault="004640E5">
      <w:r>
        <w:continuationSeparator/>
      </w:r>
    </w:p>
    <w:p w:rsidR="004640E5" w:rsidRDefault="004640E5"/>
    <w:p w:rsidR="004640E5" w:rsidRDefault="004640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640E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640E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E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640E5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7591F51-9240-484B-8E16-FC0DC1CF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4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7CF8D-43D0-40E9-A8DE-D34CCF0A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375</Words>
  <Characters>2381</Characters>
  <Application>Microsoft Office Word</Application>
  <DocSecurity>0</DocSecurity>
  <PresentationFormat/>
  <Lines>297</Lines>
  <Paragraphs>275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2481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Grundbuchvermessung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