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6008B6" w:rsidTr="00C80ABA">
        <w:trPr>
          <w:trHeight w:val="454"/>
        </w:trPr>
        <w:tc>
          <w:tcPr>
            <w:tcW w:w="1668" w:type="dxa"/>
          </w:tcPr>
          <w:p w:rsidR="00A43AE4" w:rsidRPr="006008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008B6">
              <w:t>Signatur</w:t>
            </w:r>
          </w:p>
        </w:tc>
        <w:tc>
          <w:tcPr>
            <w:tcW w:w="6721" w:type="dxa"/>
          </w:tcPr>
          <w:p w:rsidR="00A43AE4" w:rsidRPr="006008B6" w:rsidRDefault="006008B6" w:rsidP="00931B1F">
            <w:pPr>
              <w:pStyle w:val="70SignaturX"/>
            </w:pPr>
            <w:r w:rsidRPr="006008B6">
              <w:t>StAZH MM 3.203 RRB 1994/1255</w:t>
            </w:r>
          </w:p>
        </w:tc>
      </w:tr>
      <w:tr w:rsidR="00A43AE4" w:rsidRPr="006008B6" w:rsidTr="00C80ABA">
        <w:trPr>
          <w:trHeight w:val="454"/>
        </w:trPr>
        <w:tc>
          <w:tcPr>
            <w:tcW w:w="1668" w:type="dxa"/>
          </w:tcPr>
          <w:p w:rsidR="00A43AE4" w:rsidRPr="006008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008B6">
              <w:t>Titel</w:t>
            </w:r>
          </w:p>
        </w:tc>
        <w:tc>
          <w:tcPr>
            <w:tcW w:w="6721" w:type="dxa"/>
          </w:tcPr>
          <w:p w:rsidR="006C59EA" w:rsidRPr="006008B6" w:rsidRDefault="006008B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008B6">
              <w:rPr>
                <w:rFonts w:ascii="Arial Black" w:hAnsi="Arial Black"/>
              </w:rPr>
              <w:t>Schulhausbauten (Sanierung)</w:t>
            </w:r>
          </w:p>
        </w:tc>
      </w:tr>
      <w:tr w:rsidR="00BC0931" w:rsidRPr="006008B6" w:rsidTr="00C80ABA">
        <w:trPr>
          <w:trHeight w:val="454"/>
        </w:trPr>
        <w:tc>
          <w:tcPr>
            <w:tcW w:w="1668" w:type="dxa"/>
          </w:tcPr>
          <w:p w:rsidR="00BC0931" w:rsidRPr="006008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008B6">
              <w:t>Datum</w:t>
            </w:r>
          </w:p>
        </w:tc>
        <w:tc>
          <w:tcPr>
            <w:tcW w:w="6721" w:type="dxa"/>
          </w:tcPr>
          <w:p w:rsidR="00BC0931" w:rsidRPr="006008B6" w:rsidRDefault="006008B6" w:rsidP="00931B1F">
            <w:pPr>
              <w:pStyle w:val="71DatumX"/>
            </w:pPr>
            <w:r w:rsidRPr="006008B6">
              <w:t>04.05.1994</w:t>
            </w:r>
          </w:p>
        </w:tc>
      </w:tr>
      <w:tr w:rsidR="00A43AE4" w:rsidRPr="006008B6" w:rsidTr="00C80ABA">
        <w:trPr>
          <w:trHeight w:val="454"/>
        </w:trPr>
        <w:tc>
          <w:tcPr>
            <w:tcW w:w="1668" w:type="dxa"/>
          </w:tcPr>
          <w:p w:rsidR="00A43AE4" w:rsidRPr="006008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008B6">
              <w:t>P.</w:t>
            </w:r>
          </w:p>
        </w:tc>
        <w:tc>
          <w:tcPr>
            <w:tcW w:w="6721" w:type="dxa"/>
          </w:tcPr>
          <w:p w:rsidR="00A43AE4" w:rsidRPr="006008B6" w:rsidRDefault="006008B6" w:rsidP="00931B1F">
            <w:pPr>
              <w:pStyle w:val="00Vorgabetext"/>
            </w:pPr>
            <w:r w:rsidRPr="006008B6">
              <w:t>584–585</w:t>
            </w:r>
          </w:p>
        </w:tc>
      </w:tr>
    </w:tbl>
    <w:p w:rsidR="00616641" w:rsidRPr="006008B6" w:rsidRDefault="00616641" w:rsidP="0077655B">
      <w:pPr>
        <w:pStyle w:val="00Vorgabetext"/>
        <w:spacing w:before="0" w:after="60"/>
      </w:pPr>
    </w:p>
    <w:p w:rsidR="006008B6" w:rsidRPr="006008B6" w:rsidRDefault="006008B6" w:rsidP="006008B6">
      <w:pPr>
        <w:spacing w:before="60"/>
        <w:rPr>
          <w:rFonts w:cs="Arial"/>
        </w:rPr>
      </w:pPr>
      <w:bookmarkStart w:id="0" w:name="ContentText"/>
      <w:bookmarkEnd w:id="0"/>
      <w:r w:rsidRPr="006008B6">
        <w:t>[</w:t>
      </w:r>
      <w:r w:rsidRPr="006008B6">
        <w:rPr>
          <w:i/>
        </w:rPr>
        <w:t>p. 584</w:t>
      </w:r>
      <w:r w:rsidRPr="006008B6">
        <w:t xml:space="preserve">] </w:t>
      </w:r>
      <w:r w:rsidRPr="006008B6">
        <w:rPr>
          <w:rFonts w:cs="Arial"/>
        </w:rPr>
        <w:t>Das Schulamt der Stadt Zürich ersucht um Genehmigung des Projektes und um Zusicherung eines Kostenanteils für die Sanierung des Turnhallengebäudes in der Schulanlage Feld.</w:t>
      </w:r>
    </w:p>
    <w:p w:rsidR="006008B6" w:rsidRPr="006008B6" w:rsidRDefault="006008B6" w:rsidP="006008B6">
      <w:pPr>
        <w:spacing w:before="60"/>
        <w:rPr>
          <w:rFonts w:cs="Arial"/>
        </w:rPr>
      </w:pPr>
      <w:r w:rsidRPr="006008B6">
        <w:rPr>
          <w:rFonts w:cs="Arial"/>
        </w:rPr>
        <w:t>Das Turnhallengebäude der Schulanlage Feld wurde 1895 erstellt, und 1927 ist im Mitteltrakt eine Schulzahnklinik eingebaut worden. In mehreren Umbauten und Renovationen wurden die Grundrisse und die Fassaden verändert. Wegen unerwünschter Überschneidungen zwischen Turnhallenbetrieb und der Schulzahnklinik einerseits und wegen zu knapper Raumverhältnisse der Dusch-, Garderoben- und Geräteräume genügt die jetzige Raumeinteilung den heutigen Anforderungen nicht mehr. Baulich sind vor allem verschiedene Holzträger in den bestehenden Nassräumen in einem schlechten Zustand. Der Mitteltrakt ist energetisch ungenügend isoliert. Die Einrichtungen der Schulzahnklinik sind veraltet und in bezug auf die heutigen Anforderungen an Hygiene und zahnärztliche Behandlung völlig überholt. Das Turnhallengebäude und das Schulhaus Feld sowie die Umgebungsanlage stehen unter Denkmalschutz. Im einzelnen sind folgende Sanierungsmassnahmen vorgesehen:</w:t>
      </w:r>
    </w:p>
    <w:p w:rsidR="006008B6" w:rsidRPr="006008B6" w:rsidRDefault="006008B6" w:rsidP="006008B6">
      <w:pPr>
        <w:tabs>
          <w:tab w:val="left" w:pos="222"/>
        </w:tabs>
        <w:spacing w:before="60"/>
        <w:rPr>
          <w:rFonts w:cs="Arial"/>
        </w:rPr>
      </w:pPr>
      <w:r w:rsidRPr="006008B6">
        <w:rPr>
          <w:rFonts w:cs="Arial"/>
        </w:rPr>
        <w:t>- Energetische Sanierung verschiedener Bauteile</w:t>
      </w:r>
    </w:p>
    <w:p w:rsidR="006008B6" w:rsidRPr="006008B6" w:rsidRDefault="006008B6" w:rsidP="006008B6">
      <w:pPr>
        <w:tabs>
          <w:tab w:val="left" w:pos="222"/>
        </w:tabs>
        <w:spacing w:before="60"/>
        <w:rPr>
          <w:rFonts w:cs="Arial"/>
        </w:rPr>
      </w:pPr>
      <w:r w:rsidRPr="006008B6">
        <w:rPr>
          <w:rFonts w:cs="Arial"/>
        </w:rPr>
        <w:t>- Erneuerung der Schulzahnklinik bei gleichzeitiger Zusammenlegung mit der Schulzahnklinik Bühl</w:t>
      </w:r>
    </w:p>
    <w:p w:rsidR="006008B6" w:rsidRPr="006008B6" w:rsidRDefault="006008B6" w:rsidP="006008B6">
      <w:pPr>
        <w:tabs>
          <w:tab w:val="left" w:pos="222"/>
        </w:tabs>
        <w:spacing w:before="60"/>
        <w:rPr>
          <w:rFonts w:cs="Arial"/>
        </w:rPr>
      </w:pPr>
      <w:r w:rsidRPr="006008B6">
        <w:rPr>
          <w:rFonts w:cs="Arial"/>
        </w:rPr>
        <w:t>- Sanierung der beiden Turnhallen mit Erneuerung der Turngeräte</w:t>
      </w:r>
    </w:p>
    <w:p w:rsidR="006008B6" w:rsidRPr="006008B6" w:rsidRDefault="006008B6" w:rsidP="006008B6">
      <w:pPr>
        <w:tabs>
          <w:tab w:val="left" w:pos="222"/>
        </w:tabs>
        <w:spacing w:before="60"/>
        <w:rPr>
          <w:rFonts w:cs="Arial"/>
        </w:rPr>
      </w:pPr>
      <w:r w:rsidRPr="006008B6">
        <w:rPr>
          <w:rFonts w:cs="Arial"/>
        </w:rPr>
        <w:t>- Erstellung eines unterirdischen Anbaus für Duschen und Garderoben</w:t>
      </w:r>
    </w:p>
    <w:p w:rsidR="006008B6" w:rsidRPr="006008B6" w:rsidRDefault="006008B6" w:rsidP="006008B6">
      <w:pPr>
        <w:tabs>
          <w:tab w:val="left" w:pos="222"/>
        </w:tabs>
        <w:spacing w:before="60"/>
        <w:rPr>
          <w:rFonts w:cs="Arial"/>
        </w:rPr>
      </w:pPr>
      <w:r w:rsidRPr="006008B6">
        <w:rPr>
          <w:rFonts w:cs="Arial"/>
        </w:rPr>
        <w:t>- Wiederherstellung des ursprünglich symmetrischen Fassadenbildes</w:t>
      </w:r>
    </w:p>
    <w:p w:rsidR="006008B6" w:rsidRPr="006008B6" w:rsidRDefault="006008B6" w:rsidP="006008B6">
      <w:pPr>
        <w:tabs>
          <w:tab w:val="left" w:pos="222"/>
        </w:tabs>
        <w:spacing w:before="60"/>
        <w:rPr>
          <w:rFonts w:cs="Arial"/>
        </w:rPr>
      </w:pPr>
      <w:r w:rsidRPr="006008B6">
        <w:rPr>
          <w:rFonts w:cs="Arial"/>
        </w:rPr>
        <w:t>- Neugestaltung der Umgebung unter Berücksichtigung der denkmalpflegerischen Belange</w:t>
      </w:r>
    </w:p>
    <w:p w:rsidR="006008B6" w:rsidRPr="006008B6" w:rsidRDefault="006008B6" w:rsidP="006008B6">
      <w:pPr>
        <w:spacing w:before="60"/>
        <w:rPr>
          <w:rFonts w:cs="Arial"/>
        </w:rPr>
      </w:pPr>
      <w:r w:rsidRPr="006008B6">
        <w:rPr>
          <w:rFonts w:cs="Arial"/>
        </w:rPr>
        <w:t>Das Hochbauamt hat das Projekt geprüft. Es empfiehlt, das Bauvorhaben zu genehmigen. Das Gutachten des Hochbauamtes wird der Bauherrschaft zur Verfügung gestellt; die darin enthaltenen Bemerkungen müssen bei der Bauausführung beachtet werden.</w:t>
      </w:r>
    </w:p>
    <w:p w:rsidR="006008B6" w:rsidRPr="006008B6" w:rsidRDefault="006008B6" w:rsidP="006008B6">
      <w:pPr>
        <w:spacing w:before="60"/>
        <w:rPr>
          <w:rFonts w:cs="Arial"/>
        </w:rPr>
      </w:pPr>
      <w:r w:rsidRPr="006008B6">
        <w:rPr>
          <w:rFonts w:cs="Arial"/>
        </w:rPr>
        <w:t>Gemäss dem detaillierten Kostenvoranschlag (Preisstand 1. April 1993) werden die Gesamtkosten wie folgt aufgeteilt: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612"/>
        <w:gridCol w:w="2009"/>
        <w:gridCol w:w="1905"/>
      </w:tblGrid>
      <w:tr w:rsidR="006008B6" w:rsidRPr="006008B6" w:rsidTr="000A2F95">
        <w:trPr>
          <w:trHeight w:val="283"/>
        </w:trPr>
        <w:tc>
          <w:tcPr>
            <w:tcW w:w="0" w:type="auto"/>
            <w:shd w:val="clear" w:color="auto" w:fill="FFFFFF"/>
          </w:tcPr>
          <w:p w:rsidR="006008B6" w:rsidRPr="006008B6" w:rsidRDefault="006008B6" w:rsidP="000A2F95">
            <w:pPr>
              <w:spacing w:before="60"/>
              <w:rPr>
                <w:rFonts w:cs="Arial"/>
                <w:szCs w:val="10"/>
              </w:rPr>
            </w:pPr>
          </w:p>
        </w:tc>
        <w:tc>
          <w:tcPr>
            <w:tcW w:w="0" w:type="auto"/>
            <w:shd w:val="clear" w:color="auto" w:fill="FFFFFF"/>
          </w:tcPr>
          <w:p w:rsidR="006008B6" w:rsidRPr="006008B6" w:rsidRDefault="006008B6" w:rsidP="000A2F95">
            <w:pPr>
              <w:spacing w:before="60"/>
              <w:jc w:val="center"/>
              <w:rPr>
                <w:rFonts w:cs="Arial"/>
              </w:rPr>
            </w:pPr>
            <w:r w:rsidRPr="006008B6">
              <w:rPr>
                <w:rFonts w:cs="Arial"/>
              </w:rPr>
              <w:t>Kostenvoranschlag</w:t>
            </w:r>
          </w:p>
          <w:p w:rsidR="006008B6" w:rsidRPr="006008B6" w:rsidRDefault="006008B6" w:rsidP="000A2F95">
            <w:pPr>
              <w:spacing w:before="60"/>
              <w:jc w:val="center"/>
              <w:rPr>
                <w:rFonts w:cs="Arial"/>
              </w:rPr>
            </w:pPr>
            <w:r w:rsidRPr="006008B6">
              <w:rPr>
                <w:rFonts w:cs="Arial"/>
              </w:rPr>
              <w:t>Fr.</w:t>
            </w:r>
          </w:p>
        </w:tc>
        <w:tc>
          <w:tcPr>
            <w:tcW w:w="0" w:type="auto"/>
            <w:shd w:val="clear" w:color="auto" w:fill="FFFFFF"/>
          </w:tcPr>
          <w:p w:rsidR="006008B6" w:rsidRPr="006008B6" w:rsidRDefault="006008B6" w:rsidP="000A2F95">
            <w:pPr>
              <w:spacing w:before="60"/>
              <w:jc w:val="center"/>
              <w:rPr>
                <w:rFonts w:cs="Arial"/>
              </w:rPr>
            </w:pPr>
            <w:r w:rsidRPr="006008B6">
              <w:rPr>
                <w:rFonts w:cs="Arial"/>
              </w:rPr>
              <w:t>Beitragsberechtigt</w:t>
            </w:r>
          </w:p>
          <w:p w:rsidR="006008B6" w:rsidRPr="006008B6" w:rsidRDefault="006008B6" w:rsidP="000A2F95">
            <w:pPr>
              <w:spacing w:before="60"/>
              <w:jc w:val="center"/>
              <w:rPr>
                <w:rFonts w:cs="Arial"/>
              </w:rPr>
            </w:pPr>
            <w:r w:rsidRPr="006008B6">
              <w:rPr>
                <w:rFonts w:cs="Arial"/>
              </w:rPr>
              <w:t>Fr.</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1. Vorbereitungsarbeiten</w:t>
            </w:r>
          </w:p>
        </w:tc>
        <w:tc>
          <w:tcPr>
            <w:tcW w:w="0" w:type="auto"/>
            <w:shd w:val="clear" w:color="auto" w:fill="FFFFFF"/>
          </w:tcPr>
          <w:p w:rsidR="006008B6" w:rsidRPr="006008B6" w:rsidRDefault="006008B6" w:rsidP="000A2F95">
            <w:pPr>
              <w:spacing w:before="60"/>
              <w:jc w:val="right"/>
              <w:rPr>
                <w:rFonts w:cs="Arial"/>
              </w:rPr>
            </w:pPr>
            <w:r w:rsidRPr="006008B6">
              <w:rPr>
                <w:rFonts w:cs="Arial"/>
              </w:rPr>
              <w:t>445 000</w:t>
            </w:r>
          </w:p>
        </w:tc>
        <w:tc>
          <w:tcPr>
            <w:tcW w:w="0" w:type="auto"/>
            <w:shd w:val="clear" w:color="auto" w:fill="FFFFFF"/>
          </w:tcPr>
          <w:p w:rsidR="006008B6" w:rsidRPr="006008B6" w:rsidRDefault="006008B6" w:rsidP="000A2F95">
            <w:pPr>
              <w:spacing w:before="60"/>
              <w:jc w:val="right"/>
              <w:rPr>
                <w:rFonts w:cs="Arial"/>
              </w:rPr>
            </w:pPr>
            <w:r w:rsidRPr="006008B6">
              <w:rPr>
                <w:rFonts w:cs="Arial"/>
              </w:rPr>
              <w:t>176 000</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2. Gebäude und Betriebseinrichtungen</w:t>
            </w:r>
          </w:p>
        </w:tc>
        <w:tc>
          <w:tcPr>
            <w:tcW w:w="0" w:type="auto"/>
            <w:shd w:val="clear" w:color="auto" w:fill="FFFFFF"/>
          </w:tcPr>
          <w:p w:rsidR="006008B6" w:rsidRPr="006008B6" w:rsidRDefault="006008B6" w:rsidP="000A2F95">
            <w:pPr>
              <w:spacing w:before="60"/>
              <w:jc w:val="right"/>
              <w:rPr>
                <w:rFonts w:cs="Arial"/>
              </w:rPr>
            </w:pPr>
            <w:r w:rsidRPr="006008B6">
              <w:rPr>
                <w:rFonts w:cs="Arial"/>
              </w:rPr>
              <w:t>5 145 000</w:t>
            </w:r>
          </w:p>
        </w:tc>
        <w:tc>
          <w:tcPr>
            <w:tcW w:w="0" w:type="auto"/>
            <w:shd w:val="clear" w:color="auto" w:fill="FFFFFF"/>
          </w:tcPr>
          <w:p w:rsidR="006008B6" w:rsidRPr="006008B6" w:rsidRDefault="006008B6" w:rsidP="000A2F95">
            <w:pPr>
              <w:spacing w:before="60"/>
              <w:jc w:val="right"/>
              <w:rPr>
                <w:rFonts w:cs="Arial"/>
              </w:rPr>
            </w:pPr>
            <w:r w:rsidRPr="006008B6">
              <w:rPr>
                <w:rFonts w:cs="Arial"/>
              </w:rPr>
              <w:t>2 172 000</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3. Umgebung</w:t>
            </w:r>
          </w:p>
        </w:tc>
        <w:tc>
          <w:tcPr>
            <w:tcW w:w="0" w:type="auto"/>
            <w:shd w:val="clear" w:color="auto" w:fill="FFFFFF"/>
          </w:tcPr>
          <w:p w:rsidR="006008B6" w:rsidRPr="006008B6" w:rsidRDefault="006008B6" w:rsidP="000A2F95">
            <w:pPr>
              <w:spacing w:before="60"/>
              <w:jc w:val="right"/>
              <w:rPr>
                <w:rFonts w:cs="Arial"/>
              </w:rPr>
            </w:pPr>
            <w:r w:rsidRPr="006008B6">
              <w:rPr>
                <w:rFonts w:cs="Arial"/>
              </w:rPr>
              <w:t>290 000</w:t>
            </w:r>
          </w:p>
        </w:tc>
        <w:tc>
          <w:tcPr>
            <w:tcW w:w="0" w:type="auto"/>
            <w:shd w:val="clear" w:color="auto" w:fill="FFFFFF"/>
          </w:tcPr>
          <w:p w:rsidR="006008B6" w:rsidRPr="006008B6" w:rsidRDefault="006008B6" w:rsidP="000A2F95">
            <w:pPr>
              <w:spacing w:before="60"/>
              <w:jc w:val="right"/>
              <w:rPr>
                <w:rFonts w:cs="Arial"/>
              </w:rPr>
            </w:pPr>
            <w:r w:rsidRPr="006008B6">
              <w:rPr>
                <w:rFonts w:cs="Arial"/>
              </w:rPr>
              <w:t>277 000</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4. Baunebenkosten</w:t>
            </w:r>
          </w:p>
        </w:tc>
        <w:tc>
          <w:tcPr>
            <w:tcW w:w="0" w:type="auto"/>
            <w:shd w:val="clear" w:color="auto" w:fill="FFFFFF"/>
          </w:tcPr>
          <w:p w:rsidR="006008B6" w:rsidRPr="006008B6" w:rsidRDefault="006008B6" w:rsidP="000A2F95">
            <w:pPr>
              <w:spacing w:before="60"/>
              <w:jc w:val="right"/>
              <w:rPr>
                <w:rFonts w:cs="Arial"/>
              </w:rPr>
            </w:pPr>
            <w:r w:rsidRPr="006008B6">
              <w:rPr>
                <w:rFonts w:cs="Arial"/>
              </w:rPr>
              <w:t>150 000</w:t>
            </w:r>
          </w:p>
        </w:tc>
        <w:tc>
          <w:tcPr>
            <w:tcW w:w="0" w:type="auto"/>
            <w:shd w:val="clear" w:color="auto" w:fill="FFFFFF"/>
          </w:tcPr>
          <w:p w:rsidR="006008B6" w:rsidRPr="006008B6" w:rsidRDefault="006008B6" w:rsidP="000A2F95">
            <w:pPr>
              <w:spacing w:before="60"/>
              <w:jc w:val="right"/>
              <w:rPr>
                <w:rFonts w:cs="Arial"/>
              </w:rPr>
            </w:pPr>
            <w:r w:rsidRPr="006008B6">
              <w:rPr>
                <w:rFonts w:cs="Arial"/>
              </w:rPr>
              <w:t>25 000</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5. Ausstattungen</w:t>
            </w:r>
          </w:p>
        </w:tc>
        <w:tc>
          <w:tcPr>
            <w:tcW w:w="0" w:type="auto"/>
            <w:shd w:val="clear" w:color="auto" w:fill="FFFFFF"/>
          </w:tcPr>
          <w:p w:rsidR="006008B6" w:rsidRPr="006008B6" w:rsidRDefault="006008B6" w:rsidP="000A2F95">
            <w:pPr>
              <w:spacing w:before="60"/>
              <w:jc w:val="right"/>
              <w:rPr>
                <w:rFonts w:cs="Arial"/>
              </w:rPr>
            </w:pPr>
            <w:r w:rsidRPr="006008B6">
              <w:rPr>
                <w:rFonts w:cs="Arial"/>
              </w:rPr>
              <w:t>140 000</w:t>
            </w:r>
          </w:p>
        </w:tc>
        <w:tc>
          <w:tcPr>
            <w:tcW w:w="0" w:type="auto"/>
            <w:shd w:val="clear" w:color="auto" w:fill="FFFFFF"/>
          </w:tcPr>
          <w:p w:rsidR="006008B6" w:rsidRPr="006008B6" w:rsidRDefault="006008B6" w:rsidP="000A2F95">
            <w:pPr>
              <w:spacing w:before="60"/>
              <w:jc w:val="right"/>
              <w:rPr>
                <w:rFonts w:cs="Arial"/>
              </w:rPr>
            </w:pPr>
            <w:r w:rsidRPr="006008B6">
              <w:rPr>
                <w:rFonts w:cs="Arial"/>
              </w:rPr>
              <w:t>-</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 Unvorhergesehenes</w:t>
            </w:r>
          </w:p>
        </w:tc>
        <w:tc>
          <w:tcPr>
            <w:tcW w:w="0" w:type="auto"/>
            <w:shd w:val="clear" w:color="auto" w:fill="FFFFFF"/>
          </w:tcPr>
          <w:p w:rsidR="006008B6" w:rsidRPr="006008B6" w:rsidRDefault="006008B6" w:rsidP="000A2F95">
            <w:pPr>
              <w:spacing w:before="60"/>
              <w:jc w:val="right"/>
              <w:rPr>
                <w:rFonts w:cs="Arial"/>
              </w:rPr>
            </w:pPr>
            <w:r w:rsidRPr="006008B6">
              <w:rPr>
                <w:rFonts w:cs="Arial"/>
              </w:rPr>
              <w:t>620 000</w:t>
            </w:r>
          </w:p>
        </w:tc>
        <w:tc>
          <w:tcPr>
            <w:tcW w:w="0" w:type="auto"/>
            <w:shd w:val="clear" w:color="auto" w:fill="FFFFFF"/>
          </w:tcPr>
          <w:p w:rsidR="006008B6" w:rsidRPr="006008B6" w:rsidRDefault="006008B6" w:rsidP="000A2F95">
            <w:pPr>
              <w:spacing w:before="60"/>
              <w:jc w:val="right"/>
              <w:rPr>
                <w:rFonts w:cs="Arial"/>
              </w:rPr>
            </w:pPr>
            <w:r w:rsidRPr="006008B6">
              <w:rPr>
                <w:rFonts w:cs="Arial"/>
              </w:rPr>
              <w:t>-</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 Zuschlag für Ungenauigkeit des Kostenvorschlags</w:t>
            </w:r>
          </w:p>
        </w:tc>
        <w:tc>
          <w:tcPr>
            <w:tcW w:w="0" w:type="auto"/>
            <w:tcBorders>
              <w:bottom w:val="single" w:sz="4" w:space="0" w:color="auto"/>
            </w:tcBorders>
            <w:shd w:val="clear" w:color="auto" w:fill="FFFFFF"/>
          </w:tcPr>
          <w:p w:rsidR="006008B6" w:rsidRPr="006008B6" w:rsidRDefault="006008B6" w:rsidP="000A2F95">
            <w:pPr>
              <w:spacing w:before="60"/>
              <w:jc w:val="right"/>
              <w:rPr>
                <w:rFonts w:cs="Arial"/>
              </w:rPr>
            </w:pPr>
            <w:r w:rsidRPr="006008B6">
              <w:rPr>
                <w:rFonts w:cs="Arial"/>
              </w:rPr>
              <w:t>310 000</w:t>
            </w:r>
          </w:p>
        </w:tc>
        <w:tc>
          <w:tcPr>
            <w:tcW w:w="0" w:type="auto"/>
            <w:tcBorders>
              <w:bottom w:val="single" w:sz="4" w:space="0" w:color="auto"/>
            </w:tcBorders>
            <w:shd w:val="clear" w:color="auto" w:fill="FFFFFF"/>
          </w:tcPr>
          <w:p w:rsidR="006008B6" w:rsidRPr="006008B6" w:rsidRDefault="006008B6" w:rsidP="000A2F95">
            <w:pPr>
              <w:spacing w:before="60"/>
              <w:jc w:val="right"/>
              <w:rPr>
                <w:rFonts w:cs="Arial"/>
                <w:szCs w:val="10"/>
              </w:rPr>
            </w:pP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Total</w:t>
            </w:r>
          </w:p>
        </w:tc>
        <w:tc>
          <w:tcPr>
            <w:tcW w:w="0" w:type="auto"/>
            <w:tcBorders>
              <w:top w:val="single" w:sz="4" w:space="0" w:color="auto"/>
              <w:bottom w:val="single" w:sz="4" w:space="0" w:color="auto"/>
            </w:tcBorders>
            <w:shd w:val="clear" w:color="auto" w:fill="FFFFFF"/>
          </w:tcPr>
          <w:p w:rsidR="006008B6" w:rsidRPr="006008B6" w:rsidRDefault="006008B6" w:rsidP="000A2F95">
            <w:pPr>
              <w:spacing w:before="60"/>
              <w:jc w:val="right"/>
              <w:rPr>
                <w:rFonts w:cs="Arial"/>
              </w:rPr>
            </w:pPr>
            <w:r w:rsidRPr="006008B6">
              <w:rPr>
                <w:rFonts w:cs="Arial"/>
              </w:rPr>
              <w:t>7 100 000</w:t>
            </w:r>
          </w:p>
        </w:tc>
        <w:tc>
          <w:tcPr>
            <w:tcW w:w="0" w:type="auto"/>
            <w:tcBorders>
              <w:top w:val="single" w:sz="4" w:space="0" w:color="auto"/>
              <w:bottom w:val="single" w:sz="4" w:space="0" w:color="auto"/>
            </w:tcBorders>
            <w:shd w:val="clear" w:color="auto" w:fill="FFFFFF"/>
          </w:tcPr>
          <w:p w:rsidR="006008B6" w:rsidRPr="006008B6" w:rsidRDefault="006008B6" w:rsidP="000A2F95">
            <w:pPr>
              <w:spacing w:before="60"/>
              <w:jc w:val="right"/>
              <w:rPr>
                <w:rFonts w:cs="Arial"/>
              </w:rPr>
            </w:pPr>
            <w:r w:rsidRPr="006008B6">
              <w:rPr>
                <w:rFonts w:cs="Arial"/>
              </w:rPr>
              <w:t>2 650 000</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Gebäude und Betriebseinrichtungen:</w:t>
            </w:r>
          </w:p>
        </w:tc>
        <w:tc>
          <w:tcPr>
            <w:tcW w:w="0" w:type="auto"/>
            <w:tcBorders>
              <w:top w:val="single" w:sz="4" w:space="0" w:color="auto"/>
            </w:tcBorders>
            <w:shd w:val="clear" w:color="auto" w:fill="FFFFFF"/>
          </w:tcPr>
          <w:p w:rsidR="006008B6" w:rsidRPr="006008B6" w:rsidRDefault="006008B6" w:rsidP="000A2F95">
            <w:pPr>
              <w:spacing w:before="60"/>
              <w:jc w:val="right"/>
              <w:rPr>
                <w:rFonts w:cs="Arial"/>
                <w:szCs w:val="10"/>
              </w:rPr>
            </w:pPr>
          </w:p>
        </w:tc>
        <w:tc>
          <w:tcPr>
            <w:tcW w:w="0" w:type="auto"/>
            <w:tcBorders>
              <w:top w:val="single" w:sz="4" w:space="0" w:color="auto"/>
            </w:tcBorders>
            <w:shd w:val="clear" w:color="auto" w:fill="FFFFFF"/>
          </w:tcPr>
          <w:p w:rsidR="006008B6" w:rsidRPr="006008B6" w:rsidRDefault="006008B6" w:rsidP="000A2F95">
            <w:pPr>
              <w:spacing w:before="60"/>
              <w:jc w:val="right"/>
              <w:rPr>
                <w:rFonts w:cs="Arial"/>
                <w:szCs w:val="10"/>
              </w:rPr>
            </w:pPr>
          </w:p>
        </w:tc>
      </w:tr>
      <w:tr w:rsidR="006008B6" w:rsidRPr="006008B6" w:rsidTr="000A2F95">
        <w:trPr>
          <w:trHeight w:val="283"/>
        </w:trPr>
        <w:tc>
          <w:tcPr>
            <w:tcW w:w="0" w:type="auto"/>
            <w:gridSpan w:val="3"/>
            <w:shd w:val="clear" w:color="auto" w:fill="FFFFFF"/>
          </w:tcPr>
          <w:p w:rsidR="006008B6" w:rsidRPr="006008B6" w:rsidRDefault="006008B6" w:rsidP="000A2F95">
            <w:pPr>
              <w:spacing w:before="60"/>
              <w:rPr>
                <w:rFonts w:cs="Arial"/>
              </w:rPr>
            </w:pPr>
            <w:r w:rsidRPr="006008B6">
              <w:rPr>
                <w:rFonts w:cs="Arial"/>
              </w:rPr>
              <w:t>Die beitragsberechtigten Kosten für die Sanierung des Turnhallengebäudes werden pauschaliert:</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8,33 Kosteneinheiten zu Fr. 254 700</w:t>
            </w:r>
          </w:p>
        </w:tc>
        <w:tc>
          <w:tcPr>
            <w:tcW w:w="0" w:type="auto"/>
            <w:shd w:val="clear" w:color="auto" w:fill="FFFFFF"/>
          </w:tcPr>
          <w:p w:rsidR="006008B6" w:rsidRPr="006008B6" w:rsidRDefault="006008B6" w:rsidP="000A2F95">
            <w:pPr>
              <w:spacing w:before="60"/>
              <w:jc w:val="right"/>
              <w:rPr>
                <w:rFonts w:cs="Arial"/>
              </w:rPr>
            </w:pPr>
            <w:r w:rsidRPr="006008B6">
              <w:rPr>
                <w:rFonts w:cs="Arial"/>
              </w:rPr>
              <w:t>Fr.</w:t>
            </w:r>
          </w:p>
        </w:tc>
        <w:tc>
          <w:tcPr>
            <w:tcW w:w="0" w:type="auto"/>
            <w:shd w:val="clear" w:color="auto" w:fill="FFFFFF"/>
          </w:tcPr>
          <w:p w:rsidR="006008B6" w:rsidRPr="006008B6" w:rsidRDefault="006008B6" w:rsidP="000A2F95">
            <w:pPr>
              <w:spacing w:before="60"/>
              <w:jc w:val="right"/>
              <w:rPr>
                <w:rFonts w:cs="Arial"/>
              </w:rPr>
            </w:pPr>
            <w:r w:rsidRPr="006008B6">
              <w:rPr>
                <w:rFonts w:cs="Arial"/>
              </w:rPr>
              <w:t>2 122 000</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rPr>
            </w:pPr>
            <w:r w:rsidRPr="006008B6">
              <w:rPr>
                <w:rFonts w:cs="Arial"/>
              </w:rPr>
              <w:t>Zuschlag für Denkmalschutz</w:t>
            </w:r>
          </w:p>
        </w:tc>
        <w:tc>
          <w:tcPr>
            <w:tcW w:w="0" w:type="auto"/>
            <w:tcBorders>
              <w:bottom w:val="single" w:sz="4" w:space="0" w:color="auto"/>
            </w:tcBorders>
            <w:shd w:val="clear" w:color="auto" w:fill="FFFFFF"/>
          </w:tcPr>
          <w:p w:rsidR="006008B6" w:rsidRPr="006008B6" w:rsidRDefault="006008B6" w:rsidP="000A2F95">
            <w:pPr>
              <w:spacing w:before="60"/>
              <w:jc w:val="right"/>
              <w:rPr>
                <w:rFonts w:cs="Arial"/>
              </w:rPr>
            </w:pPr>
            <w:r w:rsidRPr="006008B6">
              <w:rPr>
                <w:rFonts w:cs="Arial"/>
              </w:rPr>
              <w:t>Fr.</w:t>
            </w:r>
          </w:p>
        </w:tc>
        <w:tc>
          <w:tcPr>
            <w:tcW w:w="0" w:type="auto"/>
            <w:tcBorders>
              <w:bottom w:val="single" w:sz="4" w:space="0" w:color="auto"/>
            </w:tcBorders>
            <w:shd w:val="clear" w:color="auto" w:fill="FFFFFF"/>
          </w:tcPr>
          <w:p w:rsidR="006008B6" w:rsidRPr="006008B6" w:rsidRDefault="006008B6" w:rsidP="000A2F95">
            <w:pPr>
              <w:spacing w:before="60"/>
              <w:jc w:val="right"/>
              <w:rPr>
                <w:rFonts w:cs="Arial"/>
              </w:rPr>
            </w:pPr>
            <w:r w:rsidRPr="006008B6">
              <w:rPr>
                <w:rFonts w:cs="Arial"/>
              </w:rPr>
              <w:t>50 000</w:t>
            </w:r>
          </w:p>
        </w:tc>
      </w:tr>
      <w:tr w:rsidR="006008B6" w:rsidRPr="006008B6" w:rsidTr="000A2F95">
        <w:trPr>
          <w:trHeight w:val="283"/>
        </w:trPr>
        <w:tc>
          <w:tcPr>
            <w:tcW w:w="0" w:type="auto"/>
            <w:shd w:val="clear" w:color="auto" w:fill="FFFFFF"/>
          </w:tcPr>
          <w:p w:rsidR="006008B6" w:rsidRPr="006008B6" w:rsidRDefault="006008B6" w:rsidP="000A2F95">
            <w:pPr>
              <w:spacing w:before="60"/>
              <w:rPr>
                <w:rFonts w:cs="Arial"/>
                <w:szCs w:val="10"/>
              </w:rPr>
            </w:pPr>
          </w:p>
        </w:tc>
        <w:tc>
          <w:tcPr>
            <w:tcW w:w="0" w:type="auto"/>
            <w:tcBorders>
              <w:top w:val="single" w:sz="4" w:space="0" w:color="auto"/>
              <w:bottom w:val="single" w:sz="4" w:space="0" w:color="auto"/>
            </w:tcBorders>
            <w:shd w:val="clear" w:color="auto" w:fill="FFFFFF"/>
          </w:tcPr>
          <w:p w:rsidR="006008B6" w:rsidRPr="006008B6" w:rsidRDefault="006008B6" w:rsidP="000A2F95">
            <w:pPr>
              <w:spacing w:before="60"/>
              <w:jc w:val="right"/>
              <w:rPr>
                <w:rFonts w:cs="Arial"/>
              </w:rPr>
            </w:pPr>
            <w:r w:rsidRPr="006008B6">
              <w:rPr>
                <w:rFonts w:cs="Arial"/>
              </w:rPr>
              <w:t>Fr.</w:t>
            </w:r>
          </w:p>
        </w:tc>
        <w:tc>
          <w:tcPr>
            <w:tcW w:w="0" w:type="auto"/>
            <w:tcBorders>
              <w:top w:val="single" w:sz="4" w:space="0" w:color="auto"/>
              <w:bottom w:val="single" w:sz="4" w:space="0" w:color="auto"/>
            </w:tcBorders>
            <w:shd w:val="clear" w:color="auto" w:fill="FFFFFF"/>
          </w:tcPr>
          <w:p w:rsidR="006008B6" w:rsidRPr="006008B6" w:rsidRDefault="006008B6" w:rsidP="000A2F95">
            <w:pPr>
              <w:spacing w:before="60"/>
              <w:jc w:val="right"/>
              <w:rPr>
                <w:rFonts w:cs="Arial"/>
              </w:rPr>
            </w:pPr>
            <w:r w:rsidRPr="006008B6">
              <w:rPr>
                <w:rFonts w:cs="Arial"/>
              </w:rPr>
              <w:t>2 172 000</w:t>
            </w:r>
          </w:p>
        </w:tc>
      </w:tr>
    </w:tbl>
    <w:p w:rsidR="006008B6" w:rsidRPr="006008B6" w:rsidRDefault="006008B6" w:rsidP="006008B6">
      <w:pPr>
        <w:spacing w:before="60"/>
        <w:rPr>
          <w:rFonts w:cs="Arial"/>
        </w:rPr>
      </w:pPr>
      <w:r w:rsidRPr="006008B6">
        <w:rPr>
          <w:rFonts w:cs="Arial"/>
        </w:rPr>
        <w:t>Von den veranschlagten Kosten sind folgende Anteile nicht beitragsberechtigt:</w:t>
      </w:r>
    </w:p>
    <w:p w:rsidR="006008B6" w:rsidRPr="006008B6" w:rsidRDefault="006008B6" w:rsidP="006008B6">
      <w:pPr>
        <w:tabs>
          <w:tab w:val="left" w:pos="222"/>
        </w:tabs>
        <w:spacing w:before="60"/>
        <w:rPr>
          <w:rFonts w:cs="Arial"/>
        </w:rPr>
      </w:pPr>
      <w:r w:rsidRPr="006008B6">
        <w:rPr>
          <w:rFonts w:cs="Arial"/>
        </w:rPr>
        <w:t>- Aufwendungen für die Schulzahnklinik</w:t>
      </w:r>
    </w:p>
    <w:p w:rsidR="006008B6" w:rsidRPr="006008B6" w:rsidRDefault="006008B6" w:rsidP="006008B6">
      <w:pPr>
        <w:tabs>
          <w:tab w:val="left" w:pos="222"/>
        </w:tabs>
        <w:spacing w:before="60"/>
        <w:rPr>
          <w:rFonts w:cs="Arial"/>
        </w:rPr>
      </w:pPr>
      <w:r w:rsidRPr="006008B6">
        <w:rPr>
          <w:rFonts w:cs="Arial"/>
        </w:rPr>
        <w:t>- Aufwendungen für die denkmalpflegerischen Belange</w:t>
      </w:r>
    </w:p>
    <w:p w:rsidR="006008B6" w:rsidRPr="006008B6" w:rsidRDefault="006008B6" w:rsidP="006008B6">
      <w:pPr>
        <w:tabs>
          <w:tab w:val="left" w:pos="222"/>
        </w:tabs>
        <w:spacing w:before="60"/>
        <w:rPr>
          <w:rFonts w:cs="Arial"/>
        </w:rPr>
      </w:pPr>
      <w:r w:rsidRPr="006008B6">
        <w:rPr>
          <w:rFonts w:cs="Arial"/>
        </w:rPr>
        <w:t>- Baunebenkosten (ausgenommen Plankopien und Vervielfältigungen)</w:t>
      </w:r>
    </w:p>
    <w:p w:rsidR="006008B6" w:rsidRPr="006008B6" w:rsidRDefault="006008B6" w:rsidP="006008B6">
      <w:pPr>
        <w:tabs>
          <w:tab w:val="left" w:pos="222"/>
        </w:tabs>
        <w:spacing w:before="60"/>
        <w:rPr>
          <w:rFonts w:cs="Arial"/>
        </w:rPr>
      </w:pPr>
      <w:r w:rsidRPr="006008B6">
        <w:rPr>
          <w:rFonts w:cs="Arial"/>
        </w:rPr>
        <w:t>- Ausstattungen (Die Anschaffungen von beweglichen Einrichtungen werden durch die Schülerpauschale abgegolten.)</w:t>
      </w:r>
    </w:p>
    <w:p w:rsidR="006008B6" w:rsidRPr="006008B6" w:rsidRDefault="006008B6" w:rsidP="006008B6">
      <w:pPr>
        <w:tabs>
          <w:tab w:val="left" w:pos="222"/>
        </w:tabs>
        <w:spacing w:before="60"/>
        <w:rPr>
          <w:rFonts w:cs="Arial"/>
        </w:rPr>
      </w:pPr>
      <w:r w:rsidRPr="006008B6">
        <w:rPr>
          <w:rFonts w:cs="Arial"/>
        </w:rPr>
        <w:t>- Verschiedenes und Unvorhergesehenes</w:t>
      </w:r>
    </w:p>
    <w:p w:rsidR="006008B6" w:rsidRPr="006008B6" w:rsidRDefault="006008B6" w:rsidP="006008B6">
      <w:pPr>
        <w:tabs>
          <w:tab w:val="left" w:pos="226"/>
        </w:tabs>
        <w:spacing w:before="60"/>
        <w:rPr>
          <w:rFonts w:cs="Arial"/>
        </w:rPr>
      </w:pPr>
      <w:r w:rsidRPr="006008B6">
        <w:rPr>
          <w:rFonts w:cs="Arial"/>
        </w:rPr>
        <w:t>- Zuschlag für Ungenauigkeit des Kostenvoranschlags Auflagen:</w:t>
      </w:r>
    </w:p>
    <w:p w:rsidR="006008B6" w:rsidRPr="006008B6" w:rsidRDefault="006008B6" w:rsidP="006008B6">
      <w:pPr>
        <w:tabs>
          <w:tab w:val="left" w:pos="226"/>
        </w:tabs>
        <w:spacing w:before="60"/>
        <w:rPr>
          <w:rFonts w:cs="Arial"/>
        </w:rPr>
      </w:pPr>
      <w:r w:rsidRPr="006008B6">
        <w:rPr>
          <w:rFonts w:cs="Arial"/>
        </w:rPr>
        <w:t>- Bei der Ausarbeitung des Detailprojekts ist frühzeitig der kantonale Bauberater für Schulsport beizuziehen.</w:t>
      </w:r>
    </w:p>
    <w:p w:rsidR="006008B6" w:rsidRPr="006008B6" w:rsidRDefault="006008B6" w:rsidP="006008B6">
      <w:pPr>
        <w:pStyle w:val="00Vorgabetext"/>
        <w:rPr>
          <w:rFonts w:cs="Arial"/>
        </w:rPr>
      </w:pPr>
      <w:r w:rsidRPr="006008B6">
        <w:rPr>
          <w:rFonts w:cs="Arial"/>
        </w:rPr>
        <w:t>- Nach Beendigung des Bauvorhabens hat der zuständige Architekt das Hochbauamt, Stabsabteilung, zu benachrichtigen, damit die Einhaltung der Richtlinien überprüft werden kann.</w:t>
      </w:r>
      <w:r w:rsidRPr="006008B6">
        <w:rPr>
          <w:rFonts w:cs="Arial"/>
        </w:rPr>
        <w:t xml:space="preserve"> // [</w:t>
      </w:r>
      <w:r w:rsidRPr="006008B6">
        <w:rPr>
          <w:rFonts w:cs="Arial"/>
          <w:i/>
        </w:rPr>
        <w:t>p. 585</w:t>
      </w:r>
      <w:r w:rsidRPr="006008B6">
        <w:rPr>
          <w:rFonts w:cs="Arial"/>
        </w:rPr>
        <w:t>]</w:t>
      </w:r>
    </w:p>
    <w:p w:rsidR="006008B6" w:rsidRPr="006008B6" w:rsidRDefault="006008B6" w:rsidP="006008B6">
      <w:pPr>
        <w:spacing w:before="60"/>
        <w:rPr>
          <w:rFonts w:cs="Arial"/>
        </w:rPr>
      </w:pPr>
      <w:r w:rsidRPr="006008B6">
        <w:rPr>
          <w:rFonts w:cs="Arial"/>
        </w:rPr>
        <w:t>- Bei der Erstellung der Bauabrechnung müssen die Aufwendungen für</w:t>
      </w:r>
    </w:p>
    <w:p w:rsidR="006008B6" w:rsidRPr="006008B6" w:rsidRDefault="006008B6" w:rsidP="006008B6">
      <w:pPr>
        <w:spacing w:before="60"/>
        <w:rPr>
          <w:rFonts w:cs="Arial"/>
        </w:rPr>
      </w:pPr>
      <w:r w:rsidRPr="006008B6">
        <w:rPr>
          <w:rFonts w:cs="Arial"/>
        </w:rPr>
        <w:t>die Schulzahnklinik separat ausgeschieden werden.</w:t>
      </w:r>
    </w:p>
    <w:p w:rsidR="006008B6" w:rsidRPr="006008B6" w:rsidRDefault="006008B6" w:rsidP="006008B6">
      <w:pPr>
        <w:spacing w:before="60"/>
        <w:rPr>
          <w:rFonts w:cs="Arial"/>
        </w:rPr>
      </w:pPr>
      <w:r w:rsidRPr="006008B6">
        <w:rPr>
          <w:rFonts w:cs="Arial"/>
        </w:rPr>
        <w:t xml:space="preserve">An die beitragsberechtigten Kosten von Fr. 2650000 ist gemäss § 1 Abs. 1 </w:t>
      </w:r>
      <w:r w:rsidRPr="006008B6">
        <w:rPr>
          <w:rFonts w:cs="Arial"/>
          <w:lang w:eastAsia="fr-FR" w:bidi="fr-FR"/>
        </w:rPr>
        <w:t xml:space="preserve">lit. </w:t>
      </w:r>
      <w:r w:rsidRPr="006008B6">
        <w:rPr>
          <w:rFonts w:cs="Arial"/>
        </w:rPr>
        <w:t>b Ziffer 1 des Schulleistungsgesetzes vom 2. Februar 1919 und aufgrund des Finanzkraftindexes der Stadt Zürich von 118 ein Kostenanteil von 3%, höchstens Fr. 79 500, zuzusichern. Die Auszahlung erfolgt nur nach dem zur Verfügung stehenden Voranschlagskredit des Kantons.</w:t>
      </w:r>
    </w:p>
    <w:p w:rsidR="006008B6" w:rsidRPr="006008B6" w:rsidRDefault="006008B6" w:rsidP="006008B6">
      <w:pPr>
        <w:spacing w:before="60"/>
        <w:rPr>
          <w:rFonts w:cs="Arial"/>
        </w:rPr>
      </w:pPr>
      <w:r w:rsidRPr="006008B6">
        <w:rPr>
          <w:rFonts w:cs="Arial"/>
        </w:rPr>
        <w:t>Auf Antrag der Direktion des Erziehungswesens</w:t>
      </w:r>
    </w:p>
    <w:p w:rsidR="006008B6" w:rsidRPr="006008B6" w:rsidRDefault="006008B6" w:rsidP="006008B6">
      <w:pPr>
        <w:spacing w:before="60"/>
        <w:jc w:val="center"/>
        <w:rPr>
          <w:rFonts w:cs="Arial"/>
        </w:rPr>
      </w:pPr>
      <w:r w:rsidRPr="006008B6">
        <w:rPr>
          <w:rFonts w:cs="Arial"/>
        </w:rPr>
        <w:t>beschliesst der Regierungsrat:</w:t>
      </w:r>
    </w:p>
    <w:p w:rsidR="006008B6" w:rsidRPr="006008B6" w:rsidRDefault="006008B6" w:rsidP="006008B6">
      <w:pPr>
        <w:tabs>
          <w:tab w:val="left" w:pos="503"/>
        </w:tabs>
        <w:spacing w:before="60"/>
        <w:rPr>
          <w:rFonts w:cs="Arial"/>
        </w:rPr>
      </w:pPr>
      <w:r w:rsidRPr="006008B6">
        <w:rPr>
          <w:rFonts w:cs="Arial"/>
        </w:rPr>
        <w:t>I. Die Vorlage des Schulamtes der Stadt Zürich betreffend die Sanierung des Turnhallengebäudes in der Schulanlage Feld mit voraussichtlichen Gesamtkosten von Fr. 7 100000 wird genehmigt.</w:t>
      </w:r>
    </w:p>
    <w:p w:rsidR="006008B6" w:rsidRPr="006008B6" w:rsidRDefault="006008B6" w:rsidP="006008B6">
      <w:pPr>
        <w:tabs>
          <w:tab w:val="left" w:pos="524"/>
        </w:tabs>
        <w:spacing w:before="60"/>
        <w:rPr>
          <w:rFonts w:cs="Arial"/>
        </w:rPr>
      </w:pPr>
      <w:r w:rsidRPr="006008B6">
        <w:rPr>
          <w:rFonts w:cs="Arial"/>
        </w:rPr>
        <w:t>II. An die beitragsberechtigten Kosten von Fr. 2 650000 wird ein Kostenanteil von 3%, höchstens Fr. 79500, zugesichert. Die Auszahlung erfolgt nur nach dem zur Verfügung stehenden Voranschlagskredit des Kantons.</w:t>
      </w:r>
    </w:p>
    <w:p w:rsidR="006008B6" w:rsidRPr="006008B6" w:rsidRDefault="006008B6" w:rsidP="006008B6">
      <w:pPr>
        <w:tabs>
          <w:tab w:val="left" w:pos="610"/>
        </w:tabs>
        <w:spacing w:before="60"/>
        <w:rPr>
          <w:rFonts w:cs="Arial"/>
        </w:rPr>
      </w:pPr>
      <w:r w:rsidRPr="006008B6">
        <w:rPr>
          <w:rFonts w:cs="Arial"/>
        </w:rPr>
        <w:t>III. Bei der Durchführung des Bauvorhabens sind die Richtlinien und die Wegleitung für Schulhausanlagen vom 5. Oktober 1988 sowie die Bemerkungen und Auflagen in den Erwägungen zu beachten.</w:t>
      </w:r>
    </w:p>
    <w:p w:rsidR="006008B6" w:rsidRPr="006008B6" w:rsidRDefault="006008B6" w:rsidP="006008B6">
      <w:pPr>
        <w:tabs>
          <w:tab w:val="left" w:pos="601"/>
        </w:tabs>
        <w:spacing w:before="60"/>
        <w:rPr>
          <w:rFonts w:cs="Arial"/>
        </w:rPr>
      </w:pPr>
      <w:r w:rsidRPr="006008B6">
        <w:rPr>
          <w:rFonts w:cs="Arial"/>
        </w:rPr>
        <w:t>IV. Der Anspruch auf einen Kostenanteil verfällt, wenn das Gesuch um dessen Auszahlung nicht spätestens innert eines Jahres nach Abnahme der Bauabrechnung durch das zuständige Gemeindeorgan der Erziehungsdirektion eingereicht wird.</w:t>
      </w:r>
    </w:p>
    <w:p w:rsidR="006008B6" w:rsidRPr="006008B6" w:rsidRDefault="006008B6" w:rsidP="006008B6">
      <w:pPr>
        <w:tabs>
          <w:tab w:val="left" w:pos="596"/>
        </w:tabs>
        <w:spacing w:before="60"/>
        <w:rPr>
          <w:rFonts w:cs="Arial"/>
        </w:rPr>
      </w:pPr>
      <w:r w:rsidRPr="006008B6">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6008B6" w:rsidRPr="006008B6" w:rsidRDefault="006008B6" w:rsidP="006008B6">
      <w:pPr>
        <w:pStyle w:val="00Vorgabetext"/>
        <w:keepNext/>
        <w:keepLines/>
        <w:rPr>
          <w:rFonts w:cs="Arial"/>
        </w:rPr>
      </w:pPr>
      <w:r w:rsidRPr="006008B6">
        <w:rPr>
          <w:rFonts w:cs="Arial"/>
        </w:rPr>
        <w:t>VI. Mitteilung an das Schulamt der Stadt Zürich, Parkring 4, Postfach, 8027 Zürich, den kantonalen Bauberater für Schulsport, Marcel Girod, Reallehrer, Obere Breitlen, 8476 Unterstammheim, sowie an die Direktionen der öffentlichen Bauten und des Erziehungswesens.</w:t>
      </w:r>
    </w:p>
    <w:p w:rsidR="006008B6" w:rsidRPr="006008B6" w:rsidRDefault="006008B6" w:rsidP="006008B6">
      <w:pPr>
        <w:pStyle w:val="00Vorgabetext"/>
        <w:keepNext/>
        <w:keepLines/>
        <w:rPr>
          <w:rFonts w:cs="Arial"/>
        </w:rPr>
      </w:pPr>
    </w:p>
    <w:p w:rsidR="006008B6" w:rsidRPr="006008B6" w:rsidRDefault="006008B6" w:rsidP="006008B6">
      <w:pPr>
        <w:pStyle w:val="00Vorgabetext"/>
        <w:keepNext/>
        <w:keepLines/>
        <w:rPr>
          <w:rFonts w:cs="Arial"/>
        </w:rPr>
      </w:pPr>
    </w:p>
    <w:p w:rsidR="00BE768B" w:rsidRPr="006008B6" w:rsidRDefault="006008B6" w:rsidP="006008B6">
      <w:pPr>
        <w:pStyle w:val="00Vorgabetext"/>
        <w:keepNext/>
        <w:keepLines/>
      </w:pPr>
      <w:r w:rsidRPr="006008B6">
        <w:rPr>
          <w:rFonts w:cs="Arial"/>
        </w:rPr>
        <w:t>[</w:t>
      </w:r>
      <w:r w:rsidRPr="006008B6">
        <w:rPr>
          <w:rFonts w:cs="Arial"/>
          <w:i/>
        </w:rPr>
        <w:t>Transkript: OCR (Überarbeitung: Team TKR)/14.09.2017</w:t>
      </w:r>
      <w:bookmarkStart w:id="1" w:name="_GoBack"/>
      <w:r w:rsidRPr="006008B6">
        <w:rPr>
          <w:rFonts w:cs="Arial"/>
        </w:rPr>
        <w:t xml:space="preserve">] </w:t>
      </w:r>
      <w:bookmarkEnd w:id="1"/>
    </w:p>
    <w:sectPr w:rsidR="00BE768B" w:rsidRPr="006008B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8B6" w:rsidRDefault="006008B6">
      <w:r>
        <w:separator/>
      </w:r>
    </w:p>
    <w:p w:rsidR="006008B6" w:rsidRDefault="006008B6"/>
    <w:p w:rsidR="006008B6" w:rsidRDefault="006008B6"/>
  </w:endnote>
  <w:endnote w:type="continuationSeparator" w:id="0">
    <w:p w:rsidR="006008B6" w:rsidRDefault="006008B6">
      <w:r>
        <w:continuationSeparator/>
      </w:r>
    </w:p>
    <w:p w:rsidR="006008B6" w:rsidRDefault="006008B6"/>
    <w:p w:rsidR="006008B6" w:rsidRDefault="00600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8B6" w:rsidRDefault="006008B6">
      <w:r>
        <w:separator/>
      </w:r>
    </w:p>
    <w:p w:rsidR="006008B6" w:rsidRDefault="006008B6"/>
    <w:p w:rsidR="006008B6" w:rsidRDefault="006008B6"/>
  </w:footnote>
  <w:footnote w:type="continuationSeparator" w:id="0">
    <w:p w:rsidR="006008B6" w:rsidRDefault="006008B6">
      <w:r>
        <w:continuationSeparator/>
      </w:r>
    </w:p>
    <w:p w:rsidR="006008B6" w:rsidRDefault="006008B6"/>
    <w:p w:rsidR="006008B6" w:rsidRDefault="00600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008B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008B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B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08B6"/>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F9F8F10-E7AE-4BEF-B947-137BAFC2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008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01DAD-BC6F-41DF-A0A5-2050673C2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753</Words>
  <Characters>4682</Characters>
  <Application>Microsoft Office Word</Application>
  <DocSecurity>0</DocSecurity>
  <PresentationFormat/>
  <Lines>520</Lines>
  <Paragraphs>494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4941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(Sanierung)</dc:subject>
  <dc:creator>Staatsarchiv des Kantons Zürich</dc:creator>
  <cp:lastModifiedBy>Mirjam Stadler</cp:lastModifiedBy>
  <cp:revision>1</cp:revision>
  <cp:lastPrinted>2012-06-15T14:37:00Z</cp:lastPrinted>
  <dcterms:created xsi:type="dcterms:W3CDTF">2017-09-14T06:44:00Z</dcterms:created>
  <dcterms:modified xsi:type="dcterms:W3CDTF">2017-09-14T06:44:00Z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