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9064BF" w:rsidTr="00C80ABA">
        <w:trPr>
          <w:trHeight w:val="454"/>
        </w:trPr>
        <w:tc>
          <w:tcPr>
            <w:tcW w:w="1668" w:type="dxa"/>
          </w:tcPr>
          <w:p w:rsidR="00A43AE4" w:rsidRPr="009064BF"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064BF">
              <w:t>Signatur</w:t>
            </w:r>
          </w:p>
        </w:tc>
        <w:tc>
          <w:tcPr>
            <w:tcW w:w="6721" w:type="dxa"/>
          </w:tcPr>
          <w:p w:rsidR="00A43AE4" w:rsidRPr="009064BF" w:rsidRDefault="009064BF" w:rsidP="00931B1F">
            <w:pPr>
              <w:pStyle w:val="70SignaturX"/>
            </w:pPr>
            <w:r w:rsidRPr="009064BF">
              <w:t>StAZH MM 3.204 RRB 1994/1274</w:t>
            </w:r>
          </w:p>
        </w:tc>
      </w:tr>
      <w:tr w:rsidR="00A43AE4" w:rsidRPr="009064BF" w:rsidTr="00C80ABA">
        <w:trPr>
          <w:trHeight w:val="454"/>
        </w:trPr>
        <w:tc>
          <w:tcPr>
            <w:tcW w:w="1668" w:type="dxa"/>
          </w:tcPr>
          <w:p w:rsidR="00A43AE4" w:rsidRPr="009064BF"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064BF">
              <w:t>Titel</w:t>
            </w:r>
          </w:p>
        </w:tc>
        <w:tc>
          <w:tcPr>
            <w:tcW w:w="6721" w:type="dxa"/>
          </w:tcPr>
          <w:p w:rsidR="006C59EA" w:rsidRPr="009064BF" w:rsidRDefault="009064B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9064BF">
              <w:rPr>
                <w:rFonts w:ascii="Arial Black" w:hAnsi="Arial Black"/>
              </w:rPr>
              <w:t>Universität Zürich-lrchel (4. Bauetappe)</w:t>
            </w:r>
          </w:p>
        </w:tc>
      </w:tr>
      <w:tr w:rsidR="00BC0931" w:rsidRPr="009064BF" w:rsidTr="00C80ABA">
        <w:trPr>
          <w:trHeight w:val="454"/>
        </w:trPr>
        <w:tc>
          <w:tcPr>
            <w:tcW w:w="1668" w:type="dxa"/>
          </w:tcPr>
          <w:p w:rsidR="00BC0931" w:rsidRPr="009064BF"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064BF">
              <w:t>Datum</w:t>
            </w:r>
          </w:p>
        </w:tc>
        <w:tc>
          <w:tcPr>
            <w:tcW w:w="6721" w:type="dxa"/>
          </w:tcPr>
          <w:p w:rsidR="00BC0931" w:rsidRPr="009064BF" w:rsidRDefault="009064BF" w:rsidP="00931B1F">
            <w:pPr>
              <w:pStyle w:val="71DatumX"/>
            </w:pPr>
            <w:r w:rsidRPr="009064BF">
              <w:t>04.05.1994</w:t>
            </w:r>
          </w:p>
        </w:tc>
      </w:tr>
      <w:tr w:rsidR="00A43AE4" w:rsidRPr="009064BF" w:rsidTr="00C80ABA">
        <w:trPr>
          <w:trHeight w:val="454"/>
        </w:trPr>
        <w:tc>
          <w:tcPr>
            <w:tcW w:w="1668" w:type="dxa"/>
          </w:tcPr>
          <w:p w:rsidR="00A43AE4" w:rsidRPr="009064BF"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064BF">
              <w:t>P.</w:t>
            </w:r>
          </w:p>
        </w:tc>
        <w:tc>
          <w:tcPr>
            <w:tcW w:w="6721" w:type="dxa"/>
          </w:tcPr>
          <w:p w:rsidR="00A43AE4" w:rsidRPr="009064BF" w:rsidRDefault="009064BF" w:rsidP="00931B1F">
            <w:pPr>
              <w:pStyle w:val="00Vorgabetext"/>
            </w:pPr>
            <w:r w:rsidRPr="009064BF">
              <w:t>590</w:t>
            </w:r>
          </w:p>
        </w:tc>
      </w:tr>
    </w:tbl>
    <w:p w:rsidR="00616641" w:rsidRPr="009064BF" w:rsidRDefault="00616641" w:rsidP="0077655B">
      <w:pPr>
        <w:pStyle w:val="00Vorgabetext"/>
        <w:spacing w:before="0" w:after="60"/>
      </w:pPr>
    </w:p>
    <w:p w:rsidR="009064BF" w:rsidRPr="009064BF" w:rsidRDefault="009064BF" w:rsidP="009064BF">
      <w:pPr>
        <w:spacing w:before="60"/>
        <w:rPr>
          <w:rFonts w:cs="Arial"/>
        </w:rPr>
      </w:pPr>
      <w:bookmarkStart w:id="0" w:name="ContentText"/>
      <w:bookmarkEnd w:id="0"/>
      <w:r w:rsidRPr="009064BF">
        <w:t>[</w:t>
      </w:r>
      <w:r w:rsidRPr="009064BF">
        <w:rPr>
          <w:i/>
        </w:rPr>
        <w:t>p. 590</w:t>
      </w:r>
      <w:r w:rsidRPr="009064BF">
        <w:t xml:space="preserve">] </w:t>
      </w:r>
      <w:r w:rsidRPr="009064BF">
        <w:rPr>
          <w:rFonts w:cs="Arial"/>
        </w:rPr>
        <w:t>Mit RRB Nr. 1527/1993 wurden die Bauarbeiten für die Hauptbibliothek Forschung, Bau 15, der 4. Bauetappe der Universität Zürich-Irchel für 14 Millionen Franken an die Oerlikon Bührle Immobilien AG, Zürich, vergeben. Das Bauvorhaben betrifft einen Umbau mit teilweisem Neubau innerhalb der bestehenden Universitätsgebäude.</w:t>
      </w:r>
    </w:p>
    <w:p w:rsidR="009064BF" w:rsidRPr="009064BF" w:rsidRDefault="009064BF" w:rsidP="009064BF">
      <w:pPr>
        <w:spacing w:before="60"/>
        <w:rPr>
          <w:rFonts w:cs="Arial"/>
        </w:rPr>
      </w:pPr>
      <w:r w:rsidRPr="009064BF">
        <w:rPr>
          <w:rFonts w:cs="Arial"/>
        </w:rPr>
        <w:t>Aus folgenden Gründen ist eine Vergebungserhöhung nötig:</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7404"/>
        <w:gridCol w:w="1122"/>
      </w:tblGrid>
      <w:tr w:rsidR="009064BF" w:rsidRPr="009064BF" w:rsidTr="000A2F95">
        <w:trPr>
          <w:trHeight w:val="283"/>
        </w:trPr>
        <w:tc>
          <w:tcPr>
            <w:tcW w:w="0" w:type="auto"/>
            <w:shd w:val="clear" w:color="auto" w:fill="FFFFFF"/>
          </w:tcPr>
          <w:p w:rsidR="009064BF" w:rsidRPr="009064BF" w:rsidRDefault="009064BF" w:rsidP="000A2F95">
            <w:pPr>
              <w:spacing w:before="60"/>
              <w:rPr>
                <w:rFonts w:cs="Arial"/>
              </w:rPr>
            </w:pPr>
            <w:r w:rsidRPr="009064BF">
              <w:rPr>
                <w:rFonts w:cs="Arial"/>
              </w:rPr>
              <w:t>1. Dringende Instandsetzung schwerwiegender baulicher</w:t>
            </w:r>
          </w:p>
        </w:tc>
        <w:tc>
          <w:tcPr>
            <w:tcW w:w="0" w:type="auto"/>
            <w:shd w:val="clear" w:color="auto" w:fill="FFFFFF"/>
          </w:tcPr>
          <w:p w:rsidR="009064BF" w:rsidRPr="009064BF" w:rsidRDefault="009064BF" w:rsidP="000A2F95">
            <w:pPr>
              <w:spacing w:before="60"/>
              <w:jc w:val="right"/>
              <w:rPr>
                <w:rFonts w:cs="Arial"/>
              </w:rPr>
            </w:pPr>
            <w:r w:rsidRPr="009064BF">
              <w:rPr>
                <w:rFonts w:cs="Arial"/>
              </w:rPr>
              <w:t>Fr.</w:t>
            </w:r>
          </w:p>
        </w:tc>
      </w:tr>
      <w:tr w:rsidR="009064BF" w:rsidRPr="009064BF" w:rsidTr="000A2F95">
        <w:trPr>
          <w:trHeight w:val="283"/>
        </w:trPr>
        <w:tc>
          <w:tcPr>
            <w:tcW w:w="0" w:type="auto"/>
            <w:shd w:val="clear" w:color="auto" w:fill="FFFFFF"/>
          </w:tcPr>
          <w:p w:rsidR="009064BF" w:rsidRPr="009064BF" w:rsidRDefault="009064BF" w:rsidP="000A2F95">
            <w:pPr>
              <w:spacing w:before="60"/>
              <w:rPr>
                <w:rFonts w:cs="Arial"/>
              </w:rPr>
            </w:pPr>
            <w:r w:rsidRPr="009064BF">
              <w:rPr>
                <w:rFonts w:cs="Arial"/>
              </w:rPr>
              <w:t>Mängel der bestehenden Bausubstanz im Verlauf der Ausführung (Flachdächer, Stützenverstärkungen).</w:t>
            </w:r>
          </w:p>
        </w:tc>
        <w:tc>
          <w:tcPr>
            <w:tcW w:w="0" w:type="auto"/>
            <w:shd w:val="clear" w:color="auto" w:fill="FFFFFF"/>
          </w:tcPr>
          <w:p w:rsidR="009064BF" w:rsidRPr="009064BF" w:rsidRDefault="009064BF" w:rsidP="000A2F95">
            <w:pPr>
              <w:spacing w:before="60"/>
              <w:jc w:val="right"/>
              <w:rPr>
                <w:rFonts w:cs="Arial"/>
              </w:rPr>
            </w:pPr>
            <w:r w:rsidRPr="009064BF">
              <w:rPr>
                <w:rFonts w:cs="Arial"/>
              </w:rPr>
              <w:t>217 172</w:t>
            </w:r>
          </w:p>
        </w:tc>
      </w:tr>
      <w:tr w:rsidR="009064BF" w:rsidRPr="009064BF" w:rsidTr="000A2F95">
        <w:trPr>
          <w:trHeight w:val="283"/>
        </w:trPr>
        <w:tc>
          <w:tcPr>
            <w:tcW w:w="0" w:type="auto"/>
            <w:shd w:val="clear" w:color="auto" w:fill="FFFFFF"/>
          </w:tcPr>
          <w:p w:rsidR="009064BF" w:rsidRPr="009064BF" w:rsidRDefault="009064BF" w:rsidP="000A2F95">
            <w:pPr>
              <w:spacing w:before="60"/>
              <w:rPr>
                <w:rFonts w:cs="Arial"/>
              </w:rPr>
            </w:pPr>
            <w:r w:rsidRPr="009064BF">
              <w:rPr>
                <w:rFonts w:cs="Arial"/>
              </w:rPr>
              <w:t>2. Stillhaltezeiten seitens der Unternehmer und der Bauleitung. Durch die Lage der Baustelle über dem bestehenden Hörsaalzentrum war bereits vor Baubeginn mit Lärmproblemen zu rechnen. Der Baubeginn mit den umfangreichen Abbrucharbeiten wurde deshalb in die Sommerferien 1993 verlegt. In der Praxis zeigte sich aber, dass die Gebäudekonstruktion akustisch wesentlich empfindlicher reagierte und zu gewissen Zeiten durch die Universität nur ein reduzierter Baubetrieb in den Randstunden toleriert wurde.</w:t>
            </w:r>
          </w:p>
        </w:tc>
        <w:tc>
          <w:tcPr>
            <w:tcW w:w="0" w:type="auto"/>
            <w:shd w:val="clear" w:color="auto" w:fill="FFFFFF"/>
          </w:tcPr>
          <w:p w:rsidR="009064BF" w:rsidRPr="009064BF" w:rsidRDefault="009064BF" w:rsidP="000A2F95">
            <w:pPr>
              <w:spacing w:before="60"/>
              <w:jc w:val="right"/>
              <w:rPr>
                <w:rFonts w:cs="Arial"/>
              </w:rPr>
            </w:pPr>
            <w:r w:rsidRPr="009064BF">
              <w:rPr>
                <w:rFonts w:cs="Arial"/>
              </w:rPr>
              <w:t>306 771</w:t>
            </w:r>
          </w:p>
        </w:tc>
      </w:tr>
      <w:tr w:rsidR="009064BF" w:rsidRPr="009064BF" w:rsidTr="000A2F95">
        <w:trPr>
          <w:trHeight w:val="283"/>
        </w:trPr>
        <w:tc>
          <w:tcPr>
            <w:tcW w:w="0" w:type="auto"/>
            <w:shd w:val="clear" w:color="auto" w:fill="FFFFFF"/>
          </w:tcPr>
          <w:p w:rsidR="009064BF" w:rsidRPr="009064BF" w:rsidRDefault="009064BF" w:rsidP="000A2F95">
            <w:pPr>
              <w:spacing w:before="60"/>
              <w:rPr>
                <w:rFonts w:cs="Arial"/>
              </w:rPr>
            </w:pPr>
            <w:r w:rsidRPr="009064BF">
              <w:rPr>
                <w:rFonts w:cs="Arial"/>
              </w:rPr>
              <w:t>3. Ausführungsverbesserungen (Mehrpreis für Metalldecken in Büroräumen, Minderpreis für quadratische statt runde Oberlichter) auf Wunsch des Bauherrn.</w:t>
            </w:r>
          </w:p>
        </w:tc>
        <w:tc>
          <w:tcPr>
            <w:tcW w:w="0" w:type="auto"/>
            <w:shd w:val="clear" w:color="auto" w:fill="FFFFFF"/>
          </w:tcPr>
          <w:p w:rsidR="009064BF" w:rsidRPr="009064BF" w:rsidRDefault="009064BF" w:rsidP="000A2F95">
            <w:pPr>
              <w:spacing w:before="60"/>
              <w:jc w:val="right"/>
              <w:rPr>
                <w:rFonts w:cs="Arial"/>
              </w:rPr>
            </w:pPr>
            <w:r w:rsidRPr="009064BF">
              <w:rPr>
                <w:rFonts w:cs="Arial"/>
              </w:rPr>
              <w:t>101 023</w:t>
            </w:r>
          </w:p>
        </w:tc>
      </w:tr>
      <w:tr w:rsidR="009064BF" w:rsidRPr="009064BF" w:rsidTr="000A2F95">
        <w:trPr>
          <w:trHeight w:val="283"/>
        </w:trPr>
        <w:tc>
          <w:tcPr>
            <w:tcW w:w="0" w:type="auto"/>
            <w:shd w:val="clear" w:color="auto" w:fill="FFFFFF"/>
          </w:tcPr>
          <w:p w:rsidR="009064BF" w:rsidRPr="009064BF" w:rsidRDefault="009064BF" w:rsidP="000A2F95">
            <w:pPr>
              <w:spacing w:before="60"/>
              <w:rPr>
                <w:rFonts w:cs="Arial"/>
              </w:rPr>
            </w:pPr>
            <w:r w:rsidRPr="009064BF">
              <w:rPr>
                <w:rFonts w:cs="Arial"/>
              </w:rPr>
              <w:t>4. Projektänderungen mit Kostenfolgen für den Einbezug der Gebäudeverkabelung (UGV) gemäss RRB Nr. 2550/ 1992.</w:t>
            </w:r>
          </w:p>
        </w:tc>
        <w:tc>
          <w:tcPr>
            <w:tcW w:w="0" w:type="auto"/>
            <w:shd w:val="clear" w:color="auto" w:fill="FFFFFF"/>
          </w:tcPr>
          <w:p w:rsidR="009064BF" w:rsidRPr="009064BF" w:rsidRDefault="009064BF" w:rsidP="000A2F95">
            <w:pPr>
              <w:spacing w:before="60"/>
              <w:jc w:val="right"/>
              <w:rPr>
                <w:rFonts w:cs="Arial"/>
              </w:rPr>
            </w:pPr>
            <w:r w:rsidRPr="009064BF">
              <w:rPr>
                <w:rFonts w:cs="Arial"/>
              </w:rPr>
              <w:t>111 288</w:t>
            </w:r>
          </w:p>
        </w:tc>
      </w:tr>
      <w:tr w:rsidR="009064BF" w:rsidRPr="009064BF" w:rsidTr="000A2F95">
        <w:trPr>
          <w:trHeight w:val="283"/>
        </w:trPr>
        <w:tc>
          <w:tcPr>
            <w:tcW w:w="0" w:type="auto"/>
            <w:shd w:val="clear" w:color="auto" w:fill="FFFFFF"/>
          </w:tcPr>
          <w:p w:rsidR="009064BF" w:rsidRPr="009064BF" w:rsidRDefault="009064BF" w:rsidP="000A2F95">
            <w:pPr>
              <w:spacing w:before="60"/>
              <w:rPr>
                <w:rFonts w:cs="Arial"/>
              </w:rPr>
            </w:pPr>
            <w:r w:rsidRPr="009064BF">
              <w:rPr>
                <w:rFonts w:cs="Arial"/>
              </w:rPr>
              <w:t>5. Unvorhersehbare Arbeiten (Elektrozuleitung Baukantine, Abbruch von Bodenbelägen usw.).</w:t>
            </w:r>
          </w:p>
        </w:tc>
        <w:tc>
          <w:tcPr>
            <w:tcW w:w="0" w:type="auto"/>
            <w:shd w:val="clear" w:color="auto" w:fill="FFFFFF"/>
          </w:tcPr>
          <w:p w:rsidR="009064BF" w:rsidRPr="009064BF" w:rsidRDefault="009064BF" w:rsidP="000A2F95">
            <w:pPr>
              <w:spacing w:before="60"/>
              <w:jc w:val="right"/>
              <w:rPr>
                <w:rFonts w:cs="Arial"/>
              </w:rPr>
            </w:pPr>
            <w:r w:rsidRPr="009064BF">
              <w:rPr>
                <w:rFonts w:cs="Arial"/>
              </w:rPr>
              <w:t>27 000</w:t>
            </w:r>
          </w:p>
        </w:tc>
      </w:tr>
      <w:tr w:rsidR="009064BF" w:rsidRPr="009064BF" w:rsidTr="000A2F95">
        <w:trPr>
          <w:trHeight w:val="283"/>
        </w:trPr>
        <w:tc>
          <w:tcPr>
            <w:tcW w:w="0" w:type="auto"/>
            <w:shd w:val="clear" w:color="auto" w:fill="FFFFFF"/>
          </w:tcPr>
          <w:p w:rsidR="009064BF" w:rsidRPr="009064BF" w:rsidRDefault="009064BF" w:rsidP="000A2F95">
            <w:pPr>
              <w:spacing w:before="60"/>
              <w:rPr>
                <w:rFonts w:cs="Arial"/>
              </w:rPr>
            </w:pPr>
            <w:r w:rsidRPr="009064BF">
              <w:rPr>
                <w:rFonts w:cs="Arial"/>
              </w:rPr>
              <w:t>6. Zusätzlich notwendige Arbeiten, welche in den Plan- und Submissionsunterlagen des beauftragten Architekturbüros im Rahmen der Submission nicht erfasst waren.</w:t>
            </w:r>
          </w:p>
        </w:tc>
        <w:tc>
          <w:tcPr>
            <w:tcW w:w="0" w:type="auto"/>
            <w:tcBorders>
              <w:bottom w:val="single" w:sz="4" w:space="0" w:color="auto"/>
            </w:tcBorders>
            <w:shd w:val="clear" w:color="auto" w:fill="FFFFFF"/>
          </w:tcPr>
          <w:p w:rsidR="009064BF" w:rsidRPr="009064BF" w:rsidRDefault="009064BF" w:rsidP="000A2F95">
            <w:pPr>
              <w:spacing w:before="60"/>
              <w:jc w:val="right"/>
              <w:rPr>
                <w:rFonts w:cs="Arial"/>
              </w:rPr>
            </w:pPr>
            <w:r w:rsidRPr="009064BF">
              <w:rPr>
                <w:rFonts w:cs="Arial"/>
              </w:rPr>
              <w:t>636 319</w:t>
            </w:r>
          </w:p>
        </w:tc>
      </w:tr>
      <w:tr w:rsidR="009064BF" w:rsidRPr="009064BF" w:rsidTr="000A2F95">
        <w:trPr>
          <w:trHeight w:val="283"/>
        </w:trPr>
        <w:tc>
          <w:tcPr>
            <w:tcW w:w="0" w:type="auto"/>
            <w:shd w:val="clear" w:color="auto" w:fill="FFFFFF"/>
          </w:tcPr>
          <w:p w:rsidR="009064BF" w:rsidRPr="009064BF" w:rsidRDefault="009064BF" w:rsidP="000A2F95">
            <w:pPr>
              <w:spacing w:before="60"/>
              <w:rPr>
                <w:rFonts w:cs="Arial"/>
              </w:rPr>
            </w:pPr>
            <w:r w:rsidRPr="009064BF">
              <w:rPr>
                <w:rFonts w:cs="Arial"/>
              </w:rPr>
              <w:t>Total bis heute bekannt</w:t>
            </w:r>
          </w:p>
        </w:tc>
        <w:tc>
          <w:tcPr>
            <w:tcW w:w="0" w:type="auto"/>
            <w:tcBorders>
              <w:top w:val="single" w:sz="4" w:space="0" w:color="auto"/>
              <w:bottom w:val="single" w:sz="4" w:space="0" w:color="auto"/>
            </w:tcBorders>
            <w:shd w:val="clear" w:color="auto" w:fill="FFFFFF"/>
          </w:tcPr>
          <w:p w:rsidR="009064BF" w:rsidRPr="009064BF" w:rsidRDefault="009064BF" w:rsidP="000A2F95">
            <w:pPr>
              <w:spacing w:before="60"/>
              <w:jc w:val="right"/>
              <w:rPr>
                <w:rFonts w:cs="Arial"/>
              </w:rPr>
            </w:pPr>
            <w:r w:rsidRPr="009064BF">
              <w:rPr>
                <w:rFonts w:cs="Arial"/>
              </w:rPr>
              <w:t>1 399 573</w:t>
            </w:r>
          </w:p>
        </w:tc>
      </w:tr>
      <w:tr w:rsidR="009064BF" w:rsidRPr="009064BF" w:rsidTr="000A2F95">
        <w:trPr>
          <w:trHeight w:val="283"/>
        </w:trPr>
        <w:tc>
          <w:tcPr>
            <w:tcW w:w="0" w:type="auto"/>
            <w:shd w:val="clear" w:color="auto" w:fill="FFFFFF"/>
          </w:tcPr>
          <w:p w:rsidR="009064BF" w:rsidRPr="009064BF" w:rsidRDefault="009064BF" w:rsidP="000A2F95">
            <w:pPr>
              <w:spacing w:before="60"/>
              <w:rPr>
                <w:rFonts w:cs="Arial"/>
              </w:rPr>
            </w:pPr>
            <w:r w:rsidRPr="009064BF">
              <w:rPr>
                <w:rFonts w:cs="Arial"/>
              </w:rPr>
              <w:t>Daraus ergibt sich folgende Kostensituation:</w:t>
            </w:r>
          </w:p>
        </w:tc>
        <w:tc>
          <w:tcPr>
            <w:tcW w:w="0" w:type="auto"/>
            <w:tcBorders>
              <w:top w:val="single" w:sz="4" w:space="0" w:color="auto"/>
            </w:tcBorders>
            <w:shd w:val="clear" w:color="auto" w:fill="FFFFFF"/>
          </w:tcPr>
          <w:p w:rsidR="009064BF" w:rsidRPr="009064BF" w:rsidRDefault="009064BF" w:rsidP="000A2F95">
            <w:pPr>
              <w:spacing w:before="60"/>
              <w:jc w:val="right"/>
              <w:rPr>
                <w:rFonts w:cs="Arial"/>
              </w:rPr>
            </w:pPr>
            <w:r w:rsidRPr="009064BF">
              <w:rPr>
                <w:rFonts w:cs="Arial"/>
              </w:rPr>
              <w:t>Fr.</w:t>
            </w:r>
          </w:p>
        </w:tc>
      </w:tr>
      <w:tr w:rsidR="009064BF" w:rsidRPr="009064BF" w:rsidTr="000A2F95">
        <w:trPr>
          <w:trHeight w:val="283"/>
        </w:trPr>
        <w:tc>
          <w:tcPr>
            <w:tcW w:w="0" w:type="auto"/>
            <w:shd w:val="clear" w:color="auto" w:fill="FFFFFF"/>
          </w:tcPr>
          <w:p w:rsidR="009064BF" w:rsidRPr="009064BF" w:rsidRDefault="009064BF" w:rsidP="000A2F95">
            <w:pPr>
              <w:spacing w:before="60"/>
              <w:rPr>
                <w:rFonts w:cs="Arial"/>
              </w:rPr>
            </w:pPr>
            <w:r w:rsidRPr="009064BF">
              <w:rPr>
                <w:rFonts w:cs="Arial"/>
              </w:rPr>
              <w:t>Arbeiten gemäss Vertrag</w:t>
            </w:r>
          </w:p>
        </w:tc>
        <w:tc>
          <w:tcPr>
            <w:tcW w:w="0" w:type="auto"/>
            <w:shd w:val="clear" w:color="auto" w:fill="FFFFFF"/>
          </w:tcPr>
          <w:p w:rsidR="009064BF" w:rsidRPr="009064BF" w:rsidRDefault="009064BF" w:rsidP="000A2F95">
            <w:pPr>
              <w:spacing w:before="60"/>
              <w:jc w:val="right"/>
              <w:rPr>
                <w:rFonts w:cs="Arial"/>
              </w:rPr>
            </w:pPr>
            <w:r w:rsidRPr="009064BF">
              <w:rPr>
                <w:rFonts w:cs="Arial"/>
              </w:rPr>
              <w:t>13 511 000</w:t>
            </w:r>
          </w:p>
        </w:tc>
      </w:tr>
      <w:tr w:rsidR="009064BF" w:rsidRPr="009064BF" w:rsidTr="000A2F95">
        <w:trPr>
          <w:trHeight w:val="283"/>
        </w:trPr>
        <w:tc>
          <w:tcPr>
            <w:tcW w:w="0" w:type="auto"/>
            <w:shd w:val="clear" w:color="auto" w:fill="FFFFFF"/>
          </w:tcPr>
          <w:p w:rsidR="009064BF" w:rsidRPr="009064BF" w:rsidRDefault="009064BF" w:rsidP="000A2F95">
            <w:pPr>
              <w:spacing w:before="60"/>
              <w:rPr>
                <w:rFonts w:cs="Arial"/>
              </w:rPr>
            </w:pPr>
            <w:r w:rsidRPr="009064BF">
              <w:rPr>
                <w:rFonts w:cs="Arial"/>
              </w:rPr>
              <w:t>Nachträge</w:t>
            </w:r>
          </w:p>
        </w:tc>
        <w:tc>
          <w:tcPr>
            <w:tcW w:w="0" w:type="auto"/>
            <w:tcBorders>
              <w:bottom w:val="single" w:sz="4" w:space="0" w:color="auto"/>
            </w:tcBorders>
            <w:shd w:val="clear" w:color="auto" w:fill="FFFFFF"/>
          </w:tcPr>
          <w:p w:rsidR="009064BF" w:rsidRPr="009064BF" w:rsidRDefault="009064BF" w:rsidP="000A2F95">
            <w:pPr>
              <w:spacing w:before="60"/>
              <w:jc w:val="right"/>
              <w:rPr>
                <w:rFonts w:cs="Arial"/>
              </w:rPr>
            </w:pPr>
            <w:r w:rsidRPr="009064BF">
              <w:rPr>
                <w:rFonts w:cs="Arial"/>
              </w:rPr>
              <w:t>1 399 573</w:t>
            </w:r>
          </w:p>
        </w:tc>
      </w:tr>
      <w:tr w:rsidR="009064BF" w:rsidRPr="009064BF" w:rsidTr="000A2F95">
        <w:trPr>
          <w:trHeight w:val="283"/>
        </w:trPr>
        <w:tc>
          <w:tcPr>
            <w:tcW w:w="0" w:type="auto"/>
            <w:shd w:val="clear" w:color="auto" w:fill="FFFFFF"/>
          </w:tcPr>
          <w:p w:rsidR="009064BF" w:rsidRPr="009064BF" w:rsidRDefault="009064BF" w:rsidP="000A2F95">
            <w:pPr>
              <w:spacing w:before="60"/>
              <w:rPr>
                <w:rFonts w:cs="Arial"/>
              </w:rPr>
            </w:pPr>
            <w:r w:rsidRPr="009064BF">
              <w:rPr>
                <w:rFonts w:cs="Arial"/>
              </w:rPr>
              <w:t>Total</w:t>
            </w:r>
          </w:p>
        </w:tc>
        <w:tc>
          <w:tcPr>
            <w:tcW w:w="0" w:type="auto"/>
            <w:tcBorders>
              <w:top w:val="single" w:sz="4" w:space="0" w:color="auto"/>
            </w:tcBorders>
            <w:shd w:val="clear" w:color="auto" w:fill="FFFFFF"/>
          </w:tcPr>
          <w:p w:rsidR="009064BF" w:rsidRPr="009064BF" w:rsidRDefault="009064BF" w:rsidP="000A2F95">
            <w:pPr>
              <w:spacing w:before="60"/>
              <w:jc w:val="right"/>
              <w:rPr>
                <w:rFonts w:cs="Arial"/>
              </w:rPr>
            </w:pPr>
            <w:r w:rsidRPr="009064BF">
              <w:rPr>
                <w:rFonts w:cs="Arial"/>
              </w:rPr>
              <w:t>14 910 573</w:t>
            </w:r>
          </w:p>
        </w:tc>
      </w:tr>
      <w:tr w:rsidR="009064BF" w:rsidRPr="009064BF" w:rsidTr="000A2F95">
        <w:trPr>
          <w:trHeight w:val="283"/>
        </w:trPr>
        <w:tc>
          <w:tcPr>
            <w:tcW w:w="0" w:type="auto"/>
            <w:shd w:val="clear" w:color="auto" w:fill="FFFFFF"/>
          </w:tcPr>
          <w:p w:rsidR="009064BF" w:rsidRPr="009064BF" w:rsidRDefault="009064BF" w:rsidP="000A2F95">
            <w:pPr>
              <w:spacing w:before="60"/>
              <w:rPr>
                <w:rFonts w:cs="Arial"/>
              </w:rPr>
            </w:pPr>
            <w:r w:rsidRPr="009064BF">
              <w:rPr>
                <w:rFonts w:cs="Arial"/>
              </w:rPr>
              <w:t>Unvorhergesehenes (7,3%)</w:t>
            </w:r>
          </w:p>
        </w:tc>
        <w:tc>
          <w:tcPr>
            <w:tcW w:w="0" w:type="auto"/>
            <w:tcBorders>
              <w:bottom w:val="single" w:sz="4" w:space="0" w:color="auto"/>
            </w:tcBorders>
            <w:shd w:val="clear" w:color="auto" w:fill="FFFFFF"/>
          </w:tcPr>
          <w:p w:rsidR="009064BF" w:rsidRPr="009064BF" w:rsidRDefault="009064BF" w:rsidP="000A2F95">
            <w:pPr>
              <w:spacing w:before="60"/>
              <w:jc w:val="right"/>
              <w:rPr>
                <w:rFonts w:cs="Arial"/>
              </w:rPr>
            </w:pPr>
            <w:r w:rsidRPr="009064BF">
              <w:rPr>
                <w:rFonts w:cs="Arial"/>
              </w:rPr>
              <w:t>1 089 427</w:t>
            </w:r>
          </w:p>
        </w:tc>
      </w:tr>
      <w:tr w:rsidR="009064BF" w:rsidRPr="009064BF" w:rsidTr="000A2F95">
        <w:trPr>
          <w:trHeight w:val="283"/>
        </w:trPr>
        <w:tc>
          <w:tcPr>
            <w:tcW w:w="0" w:type="auto"/>
            <w:shd w:val="clear" w:color="auto" w:fill="FFFFFF"/>
          </w:tcPr>
          <w:p w:rsidR="009064BF" w:rsidRPr="009064BF" w:rsidRDefault="009064BF" w:rsidP="000A2F95">
            <w:pPr>
              <w:spacing w:before="60"/>
              <w:rPr>
                <w:rFonts w:cs="Arial"/>
              </w:rPr>
            </w:pPr>
            <w:r w:rsidRPr="009064BF">
              <w:rPr>
                <w:rFonts w:cs="Arial"/>
              </w:rPr>
              <w:t>Erwartete Abrechnungssumme</w:t>
            </w:r>
          </w:p>
        </w:tc>
        <w:tc>
          <w:tcPr>
            <w:tcW w:w="0" w:type="auto"/>
            <w:tcBorders>
              <w:top w:val="single" w:sz="4" w:space="0" w:color="auto"/>
            </w:tcBorders>
            <w:shd w:val="clear" w:color="auto" w:fill="FFFFFF"/>
          </w:tcPr>
          <w:p w:rsidR="009064BF" w:rsidRPr="009064BF" w:rsidRDefault="009064BF" w:rsidP="000A2F95">
            <w:pPr>
              <w:spacing w:before="60"/>
              <w:jc w:val="right"/>
              <w:rPr>
                <w:rFonts w:cs="Arial"/>
              </w:rPr>
            </w:pPr>
            <w:r w:rsidRPr="009064BF">
              <w:rPr>
                <w:rFonts w:cs="Arial"/>
              </w:rPr>
              <w:t>16 000 000</w:t>
            </w:r>
          </w:p>
        </w:tc>
      </w:tr>
      <w:tr w:rsidR="009064BF" w:rsidRPr="009064BF" w:rsidTr="000A2F95">
        <w:trPr>
          <w:trHeight w:val="283"/>
        </w:trPr>
        <w:tc>
          <w:tcPr>
            <w:tcW w:w="0" w:type="auto"/>
            <w:shd w:val="clear" w:color="auto" w:fill="FFFFFF"/>
          </w:tcPr>
          <w:p w:rsidR="009064BF" w:rsidRPr="009064BF" w:rsidRDefault="009064BF" w:rsidP="000A2F95">
            <w:pPr>
              <w:spacing w:before="60"/>
              <w:rPr>
                <w:rFonts w:cs="Arial"/>
              </w:rPr>
            </w:pPr>
            <w:r w:rsidRPr="009064BF">
              <w:rPr>
                <w:rFonts w:cs="Arial"/>
              </w:rPr>
              <w:t>./. Vergebung (RRB Nr. 1527/1993)</w:t>
            </w:r>
          </w:p>
        </w:tc>
        <w:tc>
          <w:tcPr>
            <w:tcW w:w="0" w:type="auto"/>
            <w:tcBorders>
              <w:bottom w:val="single" w:sz="4" w:space="0" w:color="auto"/>
            </w:tcBorders>
            <w:shd w:val="clear" w:color="auto" w:fill="FFFFFF"/>
          </w:tcPr>
          <w:p w:rsidR="009064BF" w:rsidRPr="009064BF" w:rsidRDefault="009064BF" w:rsidP="000A2F95">
            <w:pPr>
              <w:spacing w:before="60"/>
              <w:jc w:val="right"/>
              <w:rPr>
                <w:rFonts w:cs="Arial"/>
              </w:rPr>
            </w:pPr>
            <w:r w:rsidRPr="009064BF">
              <w:rPr>
                <w:rFonts w:cs="Arial"/>
              </w:rPr>
              <w:t>14 000 000</w:t>
            </w:r>
          </w:p>
        </w:tc>
      </w:tr>
      <w:tr w:rsidR="009064BF" w:rsidRPr="009064BF" w:rsidTr="000A2F95">
        <w:trPr>
          <w:trHeight w:val="283"/>
        </w:trPr>
        <w:tc>
          <w:tcPr>
            <w:tcW w:w="0" w:type="auto"/>
            <w:shd w:val="clear" w:color="auto" w:fill="FFFFFF"/>
          </w:tcPr>
          <w:p w:rsidR="009064BF" w:rsidRPr="009064BF" w:rsidRDefault="009064BF" w:rsidP="000A2F95">
            <w:pPr>
              <w:spacing w:before="60"/>
              <w:rPr>
                <w:rFonts w:cs="Arial"/>
              </w:rPr>
            </w:pPr>
            <w:r w:rsidRPr="009064BF">
              <w:rPr>
                <w:rFonts w:cs="Arial"/>
              </w:rPr>
              <w:t>Vergebungserhöhung</w:t>
            </w:r>
          </w:p>
        </w:tc>
        <w:tc>
          <w:tcPr>
            <w:tcW w:w="0" w:type="auto"/>
            <w:tcBorders>
              <w:top w:val="single" w:sz="4" w:space="0" w:color="auto"/>
              <w:bottom w:val="single" w:sz="4" w:space="0" w:color="auto"/>
            </w:tcBorders>
            <w:shd w:val="clear" w:color="auto" w:fill="FFFFFF"/>
          </w:tcPr>
          <w:p w:rsidR="009064BF" w:rsidRPr="009064BF" w:rsidRDefault="009064BF" w:rsidP="000A2F95">
            <w:pPr>
              <w:spacing w:before="60"/>
              <w:jc w:val="right"/>
              <w:rPr>
                <w:rFonts w:cs="Arial"/>
              </w:rPr>
            </w:pPr>
            <w:r w:rsidRPr="009064BF">
              <w:rPr>
                <w:rFonts w:cs="Arial"/>
              </w:rPr>
              <w:t>2 000 000</w:t>
            </w:r>
          </w:p>
        </w:tc>
      </w:tr>
    </w:tbl>
    <w:p w:rsidR="009064BF" w:rsidRPr="009064BF" w:rsidRDefault="009064BF" w:rsidP="009064BF">
      <w:pPr>
        <w:spacing w:before="60"/>
        <w:rPr>
          <w:rFonts w:cs="Arial"/>
        </w:rPr>
      </w:pPr>
      <w:r w:rsidRPr="009064BF">
        <w:rPr>
          <w:rFonts w:cs="Arial"/>
        </w:rPr>
        <w:t>Die Mehrkosten von rund Fr. 2 000000, ohne Teuerung, sind im Kostenvoranschlag enthalten und durch den Staatsvoranschlag 1994 gedeckt.</w:t>
      </w:r>
    </w:p>
    <w:p w:rsidR="009064BF" w:rsidRPr="009064BF" w:rsidRDefault="009064BF" w:rsidP="009064BF">
      <w:pPr>
        <w:spacing w:before="60"/>
        <w:rPr>
          <w:rFonts w:cs="Arial"/>
        </w:rPr>
      </w:pPr>
      <w:r w:rsidRPr="009064BF">
        <w:rPr>
          <w:rFonts w:cs="Arial"/>
        </w:rPr>
        <w:t>Auf Antrag der Direktion der öffentlichen Bauten</w:t>
      </w:r>
    </w:p>
    <w:p w:rsidR="009064BF" w:rsidRPr="009064BF" w:rsidRDefault="009064BF" w:rsidP="009064BF">
      <w:pPr>
        <w:spacing w:before="60"/>
        <w:jc w:val="center"/>
        <w:rPr>
          <w:rFonts w:cs="Arial"/>
        </w:rPr>
      </w:pPr>
      <w:r w:rsidRPr="009064BF">
        <w:rPr>
          <w:rFonts w:cs="Arial"/>
        </w:rPr>
        <w:t>beschliesst der Regierungsrat:</w:t>
      </w:r>
    </w:p>
    <w:p w:rsidR="009064BF" w:rsidRPr="009064BF" w:rsidRDefault="009064BF" w:rsidP="009064BF">
      <w:pPr>
        <w:tabs>
          <w:tab w:val="left" w:pos="449"/>
        </w:tabs>
        <w:spacing w:before="60"/>
        <w:rPr>
          <w:rFonts w:cs="Arial"/>
        </w:rPr>
      </w:pPr>
      <w:r w:rsidRPr="009064BF">
        <w:rPr>
          <w:rFonts w:cs="Arial"/>
        </w:rPr>
        <w:t>I. In teilweiser Änderung von RRB Nr. 1527/1993, mit dem die Erstellung der Hauptbibliothek Forschung, Bau 15, der 4. Bauetappe der Universität Zürich-lrchel an die Oerlikon Bührle Immobilien AG, Zürich, vergeben wurde, wird die Vergebungssumme für zusätzliche Arbeiten auf Fr. 16000 000 erhöht.</w:t>
      </w:r>
    </w:p>
    <w:p w:rsidR="009064BF" w:rsidRPr="009064BF" w:rsidRDefault="009064BF" w:rsidP="009064BF">
      <w:pPr>
        <w:keepNext/>
        <w:keepLines/>
        <w:spacing w:before="60"/>
        <w:rPr>
          <w:rFonts w:cs="Arial"/>
        </w:rPr>
      </w:pPr>
      <w:r w:rsidRPr="009064BF">
        <w:rPr>
          <w:rFonts w:cs="Arial"/>
        </w:rPr>
        <w:t>Die Mehrkosten von Fr. 2 000000 gehen zu Lasten des Kontos 3010. 5031.321, Universität Zürich-lrchel; 4. Bauetappe.</w:t>
      </w:r>
    </w:p>
    <w:p w:rsidR="009064BF" w:rsidRPr="009064BF" w:rsidRDefault="009064BF" w:rsidP="009064BF">
      <w:pPr>
        <w:pStyle w:val="00Vorgabetext"/>
        <w:keepNext/>
        <w:keepLines/>
        <w:rPr>
          <w:rFonts w:cs="Arial"/>
        </w:rPr>
      </w:pPr>
      <w:r w:rsidRPr="009064BF">
        <w:rPr>
          <w:rFonts w:cs="Arial"/>
        </w:rPr>
        <w:t>II. Mitteilung an die Direktion der öffentlichen Bauten.</w:t>
      </w:r>
    </w:p>
    <w:p w:rsidR="009064BF" w:rsidRPr="009064BF" w:rsidRDefault="009064BF" w:rsidP="009064BF">
      <w:pPr>
        <w:pStyle w:val="00Vorgabetext"/>
        <w:keepNext/>
        <w:keepLines/>
        <w:rPr>
          <w:rFonts w:cs="Arial"/>
        </w:rPr>
      </w:pPr>
    </w:p>
    <w:p w:rsidR="009064BF" w:rsidRPr="009064BF" w:rsidRDefault="009064BF" w:rsidP="009064BF">
      <w:pPr>
        <w:pStyle w:val="00Vorgabetext"/>
        <w:keepNext/>
        <w:keepLines/>
        <w:rPr>
          <w:rFonts w:cs="Arial"/>
        </w:rPr>
      </w:pPr>
    </w:p>
    <w:p w:rsidR="00BE768B" w:rsidRPr="009064BF" w:rsidRDefault="009064BF" w:rsidP="009064BF">
      <w:pPr>
        <w:pStyle w:val="00Vorgabetext"/>
        <w:keepNext/>
        <w:keepLines/>
      </w:pPr>
      <w:r w:rsidRPr="009064BF">
        <w:rPr>
          <w:rFonts w:cs="Arial"/>
        </w:rPr>
        <w:t>[</w:t>
      </w:r>
      <w:r w:rsidRPr="009064BF">
        <w:rPr>
          <w:rFonts w:cs="Arial"/>
          <w:i/>
        </w:rPr>
        <w:t>Transkript: OCR (Überarbeitung: Team TKR)/14.09.2017</w:t>
      </w:r>
      <w:bookmarkStart w:id="1" w:name="_GoBack"/>
      <w:r w:rsidRPr="009064BF">
        <w:rPr>
          <w:rFonts w:cs="Arial"/>
        </w:rPr>
        <w:t xml:space="preserve">] </w:t>
      </w:r>
      <w:bookmarkEnd w:id="1"/>
    </w:p>
    <w:sectPr w:rsidR="00BE768B" w:rsidRPr="009064BF"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4BF" w:rsidRDefault="009064BF">
      <w:r>
        <w:separator/>
      </w:r>
    </w:p>
    <w:p w:rsidR="009064BF" w:rsidRDefault="009064BF"/>
    <w:p w:rsidR="009064BF" w:rsidRDefault="009064BF"/>
  </w:endnote>
  <w:endnote w:type="continuationSeparator" w:id="0">
    <w:p w:rsidR="009064BF" w:rsidRDefault="009064BF">
      <w:r>
        <w:continuationSeparator/>
      </w:r>
    </w:p>
    <w:p w:rsidR="009064BF" w:rsidRDefault="009064BF"/>
    <w:p w:rsidR="009064BF" w:rsidRDefault="009064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4BF" w:rsidRDefault="009064BF">
      <w:r>
        <w:separator/>
      </w:r>
    </w:p>
    <w:p w:rsidR="009064BF" w:rsidRDefault="009064BF"/>
    <w:p w:rsidR="009064BF" w:rsidRDefault="009064BF"/>
  </w:footnote>
  <w:footnote w:type="continuationSeparator" w:id="0">
    <w:p w:rsidR="009064BF" w:rsidRDefault="009064BF">
      <w:r>
        <w:continuationSeparator/>
      </w:r>
    </w:p>
    <w:p w:rsidR="009064BF" w:rsidRDefault="009064BF"/>
    <w:p w:rsidR="009064BF" w:rsidRDefault="009064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064B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064B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4B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064BF"/>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8967DFE-FC14-4215-BCB6-BEC43395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064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4E36D-F588-4C33-A21B-302AED431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383</Words>
  <Characters>2398</Characters>
  <Application>Microsoft Office Word</Application>
  <DocSecurity>0</DocSecurity>
  <PresentationFormat/>
  <Lines>239</Lines>
  <Paragraphs>231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2550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 Zürich-lrchel (4. Bauetappe)</dc:subject>
  <dc:creator>Staatsarchiv des Kantons Zürich</dc:creator>
  <cp:lastModifiedBy>Mirjam Stadler</cp:lastModifiedBy>
  <cp:revision>1</cp:revision>
  <cp:lastPrinted>2012-06-15T14:37:00Z</cp:lastPrinted>
  <dcterms:created xsi:type="dcterms:W3CDTF">2017-09-14T06:44:00Z</dcterms:created>
  <dcterms:modified xsi:type="dcterms:W3CDTF">2017-09-14T06:44:00Z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