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84597" w:rsidP="00931B1F">
            <w:pPr>
              <w:pStyle w:val="70SignaturX"/>
            </w:pPr>
            <w:r>
              <w:t>StAZH MM 3.204 RRB 1994/1300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8459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Urheberrechtsgesetz, Verhandlungen über die Reprographie-Tarife (Ermächtigung)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84597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84597" w:rsidP="00931B1F">
            <w:pPr>
              <w:pStyle w:val="00Vorgabetext"/>
            </w:pPr>
            <w:r>
              <w:t>607–608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84597" w:rsidRPr="00E42CB7" w:rsidRDefault="00484597" w:rsidP="0048459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84597">
        <w:rPr>
          <w:i/>
        </w:rPr>
        <w:t>p. 607</w:t>
      </w:r>
      <w:r w:rsidRPr="00484597">
        <w:t>]</w:t>
      </w:r>
      <w:r>
        <w:t xml:space="preserve"> </w:t>
      </w:r>
      <w:r w:rsidRPr="00E42CB7">
        <w:rPr>
          <w:rFonts w:cs="Arial"/>
        </w:rPr>
        <w:t>Das neue Urheberrechtsgesetz (URG) vom 9. Oktober</w:t>
      </w:r>
      <w:r>
        <w:rPr>
          <w:rFonts w:cs="Arial"/>
        </w:rPr>
        <w:t xml:space="preserve"> 1992 ist am </w:t>
      </w:r>
      <w:r w:rsidRPr="00E42CB7">
        <w:rPr>
          <w:rFonts w:cs="Arial"/>
        </w:rPr>
        <w:t>1.</w:t>
      </w:r>
      <w:r>
        <w:rPr>
          <w:rFonts w:cs="Arial"/>
        </w:rPr>
        <w:t xml:space="preserve"> </w:t>
      </w:r>
      <w:r w:rsidRPr="00E42CB7">
        <w:rPr>
          <w:rFonts w:cs="Arial"/>
        </w:rPr>
        <w:t>Juli 1993 in Kraft getreten. Mit dem neuen URG ist das Kopieren urheberrechtlich geschützter Werke grundsätzlich entschädigungspflichtig</w:t>
      </w:r>
      <w:r>
        <w:rPr>
          <w:rFonts w:cs="Arial"/>
        </w:rPr>
        <w:t xml:space="preserve"> </w:t>
      </w:r>
      <w:r w:rsidRPr="00E42CB7">
        <w:rPr>
          <w:rFonts w:cs="Arial"/>
        </w:rPr>
        <w:t>geworden. Zu den urheberrechtlich geschützten Werken gehören</w:t>
      </w:r>
      <w:r>
        <w:rPr>
          <w:rFonts w:cs="Arial"/>
        </w:rPr>
        <w:t xml:space="preserve"> </w:t>
      </w:r>
      <w:r w:rsidRPr="00E42CB7">
        <w:rPr>
          <w:rFonts w:cs="Arial"/>
        </w:rPr>
        <w:t>geistige Schöpfungen der Literatur und Kunst, die individuellen Charakter haben, insbesondere literarische, wissenschaftliche und andere</w:t>
      </w:r>
      <w:r>
        <w:rPr>
          <w:rFonts w:cs="Arial"/>
        </w:rPr>
        <w:t xml:space="preserve"> </w:t>
      </w:r>
      <w:r w:rsidRPr="00E42CB7">
        <w:rPr>
          <w:rFonts w:cs="Arial"/>
        </w:rPr>
        <w:t>Sprachwerke (Art. 2 URG). Gesetze, Verordnungen, völkerrechtliche</w:t>
      </w:r>
      <w:r>
        <w:rPr>
          <w:rFonts w:cs="Arial"/>
        </w:rPr>
        <w:t xml:space="preserve"> </w:t>
      </w:r>
      <w:r w:rsidRPr="00E42CB7">
        <w:rPr>
          <w:rFonts w:cs="Arial"/>
        </w:rPr>
        <w:t>Verträge und andere amtliche Erlasse sowie Entscheidungen, Protokolle</w:t>
      </w:r>
      <w:r>
        <w:rPr>
          <w:rFonts w:cs="Arial"/>
        </w:rPr>
        <w:t xml:space="preserve"> </w:t>
      </w:r>
      <w:r w:rsidRPr="00E42CB7">
        <w:rPr>
          <w:rFonts w:cs="Arial"/>
        </w:rPr>
        <w:t>und Berichte von Behörden und öffentlichen Verwaltungen sind durch</w:t>
      </w:r>
      <w:r>
        <w:rPr>
          <w:rFonts w:cs="Arial"/>
        </w:rPr>
        <w:t xml:space="preserve"> </w:t>
      </w:r>
      <w:r w:rsidRPr="00E42CB7">
        <w:rPr>
          <w:rFonts w:cs="Arial"/>
        </w:rPr>
        <w:t>das Urheberrecht nicht geschützt (Art. 5 URG).</w:t>
      </w:r>
    </w:p>
    <w:p w:rsidR="00484597" w:rsidRPr="00E42CB7" w:rsidRDefault="00484597" w:rsidP="00484597">
      <w:pPr>
        <w:spacing w:before="60"/>
        <w:rPr>
          <w:rFonts w:cs="Arial"/>
        </w:rPr>
      </w:pPr>
      <w:r w:rsidRPr="00E42CB7">
        <w:rPr>
          <w:rFonts w:cs="Arial"/>
        </w:rPr>
        <w:t>Die Verwendung veröffentlichter Werke zum Eigengebrauch ist zulässig. Als Eigengebrauch gelten u. a. jede Werkverwendung der Lehrperson</w:t>
      </w:r>
      <w:r>
        <w:rPr>
          <w:rFonts w:cs="Arial"/>
        </w:rPr>
        <w:t xml:space="preserve"> </w:t>
      </w:r>
      <w:r w:rsidRPr="00E42CB7">
        <w:rPr>
          <w:rFonts w:cs="Arial"/>
        </w:rPr>
        <w:t>für den Unterricht in der Klasse sowie das Vervielfältigen von Werkexemplaren in Betrieben, öffentlichen Verwaltungen</w:t>
      </w:r>
      <w:r>
        <w:rPr>
          <w:rFonts w:cs="Arial"/>
        </w:rPr>
        <w:t>. In</w:t>
      </w:r>
      <w:r w:rsidRPr="00E42CB7">
        <w:rPr>
          <w:rFonts w:cs="Arial"/>
        </w:rPr>
        <w:t>stituten, Kommissionen und ähnlichen Einrichtungen für die interne Information</w:t>
      </w:r>
      <w:r>
        <w:rPr>
          <w:rFonts w:cs="Arial"/>
        </w:rPr>
        <w:t xml:space="preserve"> </w:t>
      </w:r>
      <w:r w:rsidRPr="00E42CB7">
        <w:rPr>
          <w:rFonts w:cs="Arial"/>
        </w:rPr>
        <w:t>oder Dokumentation (Art. 19 Abs. 1 URG); solcher Eigengebrauch ist</w:t>
      </w:r>
      <w:r>
        <w:rPr>
          <w:rFonts w:cs="Arial"/>
        </w:rPr>
        <w:t xml:space="preserve"> </w:t>
      </w:r>
      <w:r w:rsidRPr="00E42CB7">
        <w:rPr>
          <w:rFonts w:cs="Arial"/>
        </w:rPr>
        <w:t>aber entschädigungspflichtig.</w:t>
      </w:r>
    </w:p>
    <w:p w:rsidR="00484597" w:rsidRPr="00E42CB7" w:rsidRDefault="00484597" w:rsidP="00484597">
      <w:pPr>
        <w:spacing w:before="60"/>
        <w:rPr>
          <w:rFonts w:cs="Arial"/>
        </w:rPr>
      </w:pPr>
      <w:r w:rsidRPr="00E42CB7">
        <w:rPr>
          <w:rFonts w:cs="Arial"/>
        </w:rPr>
        <w:t>Die vom Nutzer zu zahlende Vergütung wird von Pro Litteris, einer</w:t>
      </w:r>
      <w:r>
        <w:rPr>
          <w:rFonts w:cs="Arial"/>
        </w:rPr>
        <w:t xml:space="preserve"> </w:t>
      </w:r>
      <w:r w:rsidRPr="00E42CB7">
        <w:rPr>
          <w:rFonts w:cs="Arial"/>
        </w:rPr>
        <w:t>vom Bundesamt für geistiges Eigentum bewilligten Verwertungsgesellschaft, geltend gemacht.</w:t>
      </w:r>
    </w:p>
    <w:p w:rsidR="00484597" w:rsidRPr="00E42CB7" w:rsidRDefault="00484597" w:rsidP="00484597">
      <w:pPr>
        <w:spacing w:before="60"/>
        <w:rPr>
          <w:rFonts w:cs="Arial"/>
        </w:rPr>
      </w:pPr>
      <w:r w:rsidRPr="00E42CB7">
        <w:rPr>
          <w:rFonts w:cs="Arial"/>
        </w:rPr>
        <w:t>Die Entschädigung beruht auf drei Faktoren:</w:t>
      </w:r>
    </w:p>
    <w:p w:rsidR="00484597" w:rsidRPr="00E42CB7" w:rsidRDefault="00484597" w:rsidP="00484597">
      <w:pPr>
        <w:tabs>
          <w:tab w:val="left" w:pos="250"/>
        </w:tabs>
        <w:spacing w:before="60"/>
        <w:rPr>
          <w:rFonts w:cs="Arial"/>
        </w:rPr>
      </w:pPr>
      <w:r w:rsidRPr="00E42CB7">
        <w:rPr>
          <w:rFonts w:cs="Arial"/>
        </w:rPr>
        <w:t>1.</w:t>
      </w:r>
      <w:r>
        <w:rPr>
          <w:rFonts w:cs="Arial"/>
        </w:rPr>
        <w:t xml:space="preserve"> </w:t>
      </w:r>
      <w:r w:rsidRPr="00E42CB7">
        <w:rPr>
          <w:rFonts w:cs="Arial"/>
        </w:rPr>
        <w:t>Entschädigung pro Kopie</w:t>
      </w:r>
    </w:p>
    <w:p w:rsidR="00484597" w:rsidRPr="00E42CB7" w:rsidRDefault="00484597" w:rsidP="00484597">
      <w:pPr>
        <w:tabs>
          <w:tab w:val="left" w:pos="274"/>
        </w:tabs>
        <w:spacing w:before="60"/>
        <w:rPr>
          <w:rFonts w:cs="Arial"/>
        </w:rPr>
      </w:pPr>
      <w:r w:rsidRPr="00E42CB7">
        <w:rPr>
          <w:rFonts w:cs="Arial"/>
        </w:rPr>
        <w:t>2.</w:t>
      </w:r>
      <w:r>
        <w:rPr>
          <w:rFonts w:cs="Arial"/>
        </w:rPr>
        <w:t xml:space="preserve"> </w:t>
      </w:r>
      <w:r w:rsidRPr="00E42CB7">
        <w:rPr>
          <w:rFonts w:cs="Arial"/>
        </w:rPr>
        <w:t>Anteil der kopierten geschützten Werke an der Gesamtzahl aller Kopien (sogenannter Branchenkoeffizient)</w:t>
      </w:r>
    </w:p>
    <w:p w:rsidR="00484597" w:rsidRPr="00E42CB7" w:rsidRDefault="00484597" w:rsidP="00484597">
      <w:pPr>
        <w:tabs>
          <w:tab w:val="left" w:pos="274"/>
        </w:tabs>
        <w:spacing w:before="60"/>
        <w:rPr>
          <w:rFonts w:cs="Arial"/>
        </w:rPr>
      </w:pPr>
      <w:r w:rsidRPr="00E42CB7">
        <w:rPr>
          <w:rFonts w:cs="Arial"/>
        </w:rPr>
        <w:t>3.</w:t>
      </w:r>
      <w:r>
        <w:rPr>
          <w:rFonts w:cs="Arial"/>
        </w:rPr>
        <w:t xml:space="preserve"> </w:t>
      </w:r>
      <w:r w:rsidRPr="00E42CB7">
        <w:rPr>
          <w:rFonts w:cs="Arial"/>
        </w:rPr>
        <w:t>Gesamte Kopienmenge pro Jahr</w:t>
      </w:r>
    </w:p>
    <w:p w:rsidR="00484597" w:rsidRPr="00E42CB7" w:rsidRDefault="00484597" w:rsidP="00484597">
      <w:pPr>
        <w:spacing w:before="60"/>
        <w:rPr>
          <w:rFonts w:cs="Arial"/>
        </w:rPr>
      </w:pPr>
      <w:r w:rsidRPr="00E42CB7">
        <w:rPr>
          <w:rFonts w:cs="Arial"/>
        </w:rPr>
        <w:t>Pro Litteris schlägt eine Tarifstruktur mit acht verschiedenen Nutzergruppen vor, weil der Branchenkoeffizient hiebei stark variieren kann.</w:t>
      </w:r>
      <w:r>
        <w:rPr>
          <w:rFonts w:cs="Arial"/>
        </w:rPr>
        <w:t xml:space="preserve"> </w:t>
      </w:r>
      <w:r w:rsidRPr="00E42CB7">
        <w:rPr>
          <w:rFonts w:cs="Arial"/>
        </w:rPr>
        <w:t>Für den Kanton sind vorab wichtig die Tarife I (öffentliche Verwaltung)</w:t>
      </w:r>
      <w:r>
        <w:rPr>
          <w:rFonts w:cs="Arial"/>
        </w:rPr>
        <w:t xml:space="preserve"> </w:t>
      </w:r>
      <w:r w:rsidRPr="00E42CB7">
        <w:rPr>
          <w:rFonts w:cs="Arial"/>
        </w:rPr>
        <w:t>und III (Schulen). Bei allen Tarifen soll die Entschädigung pro Kopie</w:t>
      </w:r>
      <w:r>
        <w:rPr>
          <w:rFonts w:cs="Arial"/>
        </w:rPr>
        <w:t xml:space="preserve"> </w:t>
      </w:r>
      <w:r w:rsidRPr="00E42CB7">
        <w:rPr>
          <w:rFonts w:cs="Arial"/>
        </w:rPr>
        <w:t>gleich sein. Der Vorschlag lautet auf 6,7 Rappen je Kopieseite A4.</w:t>
      </w:r>
    </w:p>
    <w:p w:rsidR="00484597" w:rsidRPr="00E42CB7" w:rsidRDefault="00484597" w:rsidP="00484597">
      <w:pPr>
        <w:spacing w:before="60"/>
        <w:rPr>
          <w:rFonts w:cs="Arial"/>
        </w:rPr>
      </w:pPr>
      <w:r w:rsidRPr="00E42CB7">
        <w:rPr>
          <w:rFonts w:cs="Arial"/>
        </w:rPr>
        <w:t>Nach den Vorstellungen der Pro Litteris sollte den öffentlichen Verwaltungen ein Branchenkoeffizient zwischen 3 und 5% zugerechnet</w:t>
      </w:r>
      <w:r>
        <w:rPr>
          <w:rFonts w:cs="Arial"/>
        </w:rPr>
        <w:t xml:space="preserve"> </w:t>
      </w:r>
      <w:r w:rsidRPr="00E42CB7">
        <w:rPr>
          <w:rFonts w:cs="Arial"/>
        </w:rPr>
        <w:t>werden. Die Frage stellt sich, ob das die richtige Grössenordnung ist.</w:t>
      </w:r>
    </w:p>
    <w:p w:rsidR="00484597" w:rsidRDefault="00484597" w:rsidP="00484597">
      <w:pPr>
        <w:pStyle w:val="00Vorgabetext"/>
        <w:rPr>
          <w:rFonts w:cs="Arial"/>
        </w:rPr>
      </w:pPr>
      <w:r w:rsidRPr="00E42CB7">
        <w:rPr>
          <w:rFonts w:cs="Arial"/>
        </w:rPr>
        <w:t>Der Bereich «öffentliche Verwaltung» deckt nicht nur die Verwaltungsstellen des Bundes, der Kantone und der Gemeinden ab, sondern</w:t>
      </w:r>
      <w:r>
        <w:rPr>
          <w:rFonts w:cs="Arial"/>
        </w:rPr>
        <w:t xml:space="preserve"> </w:t>
      </w:r>
      <w:r w:rsidRPr="00E42CB7">
        <w:rPr>
          <w:rFonts w:cs="Arial"/>
        </w:rPr>
        <w:t>auch das Schweizerische Bundesgericht, das Eidgenössische Versicherungsgericht, die Suva, die AHV und IV sowie die Gerichte der Kantone. Um an den Verhandlungen mit Pro Litteris teilzunehmen, sind für</w:t>
      </w:r>
      <w:r>
        <w:rPr>
          <w:rFonts w:cs="Arial"/>
        </w:rPr>
        <w:t xml:space="preserve"> </w:t>
      </w:r>
      <w:r w:rsidRPr="00E42CB7">
        <w:rPr>
          <w:rFonts w:cs="Arial"/>
        </w:rPr>
        <w:t>den Kanton zwei Varianten denkbar:</w:t>
      </w:r>
      <w:r>
        <w:rPr>
          <w:rFonts w:cs="Arial"/>
        </w:rPr>
        <w:t xml:space="preserve"> // [</w:t>
      </w:r>
      <w:r w:rsidRPr="00484597">
        <w:rPr>
          <w:rFonts w:cs="Arial"/>
          <w:i/>
        </w:rPr>
        <w:t>p. 608</w:t>
      </w:r>
      <w:r w:rsidRPr="00484597">
        <w:rPr>
          <w:rFonts w:cs="Arial"/>
        </w:rPr>
        <w:t>]</w:t>
      </w:r>
    </w:p>
    <w:p w:rsidR="00484597" w:rsidRPr="00E42CB7" w:rsidRDefault="00484597" w:rsidP="00484597">
      <w:pPr>
        <w:tabs>
          <w:tab w:val="left" w:pos="289"/>
        </w:tabs>
        <w:spacing w:before="60"/>
        <w:rPr>
          <w:rFonts w:cs="Arial"/>
        </w:rPr>
      </w:pPr>
      <w:r w:rsidRPr="00A05F85">
        <w:rPr>
          <w:rFonts w:cs="Arial"/>
          <w:lang w:eastAsia="fr-FR" w:bidi="fr-FR"/>
        </w:rPr>
        <w:t xml:space="preserve">a) </w:t>
      </w:r>
      <w:r w:rsidRPr="00E42CB7">
        <w:rPr>
          <w:rFonts w:cs="Arial"/>
        </w:rPr>
        <w:t>ein direkter Beitritt des Kantons zum Dachverband der Urheber</w:t>
      </w:r>
      <w:r>
        <w:rPr>
          <w:rFonts w:cs="Arial"/>
        </w:rPr>
        <w:t>-</w:t>
      </w:r>
      <w:r w:rsidRPr="00E42CB7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E42CB7">
        <w:rPr>
          <w:rFonts w:cs="Arial"/>
        </w:rPr>
        <w:t>Nachbarrechtsnutzer (DUN);</w:t>
      </w:r>
    </w:p>
    <w:p w:rsidR="00484597" w:rsidRPr="00E42CB7" w:rsidRDefault="00484597" w:rsidP="00484597">
      <w:pPr>
        <w:tabs>
          <w:tab w:val="left" w:pos="298"/>
        </w:tabs>
        <w:spacing w:before="60"/>
        <w:rPr>
          <w:rFonts w:cs="Arial"/>
        </w:rPr>
      </w:pPr>
      <w:r w:rsidRPr="00E42CB7">
        <w:rPr>
          <w:rFonts w:cs="Arial"/>
        </w:rPr>
        <w:t>b)</w:t>
      </w:r>
      <w:r>
        <w:rPr>
          <w:rFonts w:cs="Arial"/>
        </w:rPr>
        <w:t xml:space="preserve"> </w:t>
      </w:r>
      <w:r w:rsidRPr="00E42CB7">
        <w:rPr>
          <w:rFonts w:cs="Arial"/>
        </w:rPr>
        <w:t>ein Beitritt zum DUN zusammen mit andern Kantonen über die</w:t>
      </w:r>
      <w:r>
        <w:rPr>
          <w:rFonts w:cs="Arial"/>
        </w:rPr>
        <w:t xml:space="preserve"> </w:t>
      </w:r>
      <w:r w:rsidRPr="00E42CB7">
        <w:rPr>
          <w:rFonts w:cs="Arial"/>
        </w:rPr>
        <w:t>Schweizerische Staatsschreiberkonferenz. Insgesamt erscheint die</w:t>
      </w:r>
      <w:r>
        <w:rPr>
          <w:rFonts w:cs="Arial"/>
        </w:rPr>
        <w:t xml:space="preserve"> </w:t>
      </w:r>
      <w:r w:rsidRPr="00E42CB7">
        <w:rPr>
          <w:rFonts w:cs="Arial"/>
        </w:rPr>
        <w:t>zweite Variante tauglich und zweckmässig, um die Vertretung des</w:t>
      </w:r>
      <w:r>
        <w:rPr>
          <w:rFonts w:cs="Arial"/>
        </w:rPr>
        <w:t xml:space="preserve"> </w:t>
      </w:r>
      <w:r w:rsidRPr="00E42CB7">
        <w:rPr>
          <w:rFonts w:cs="Arial"/>
        </w:rPr>
        <w:t>Kantons in den Verhandlungen sicherzustellen. Die Staatskanzlei ist</w:t>
      </w:r>
      <w:r>
        <w:rPr>
          <w:rFonts w:cs="Arial"/>
        </w:rPr>
        <w:t xml:space="preserve"> </w:t>
      </w:r>
      <w:r w:rsidRPr="00E42CB7">
        <w:rPr>
          <w:rFonts w:cs="Arial"/>
        </w:rPr>
        <w:t>zu ermächtigen, der Staatsschreiberkonferenz eine entsprechende Erklärung abzugeben.</w:t>
      </w:r>
    </w:p>
    <w:p w:rsidR="00484597" w:rsidRDefault="00484597" w:rsidP="00484597">
      <w:pPr>
        <w:spacing w:before="60"/>
        <w:rPr>
          <w:rFonts w:cs="Arial"/>
        </w:rPr>
      </w:pPr>
      <w:r w:rsidRPr="00E42CB7">
        <w:rPr>
          <w:rFonts w:cs="Arial"/>
        </w:rPr>
        <w:t>Gestützt auf einen Bericht des Staatsschreibers und auf Antrag seines</w:t>
      </w:r>
      <w:r>
        <w:rPr>
          <w:rFonts w:cs="Arial"/>
        </w:rPr>
        <w:t xml:space="preserve"> </w:t>
      </w:r>
      <w:r w:rsidRPr="00E42CB7">
        <w:rPr>
          <w:rFonts w:cs="Arial"/>
        </w:rPr>
        <w:t>Präsidenten</w:t>
      </w:r>
    </w:p>
    <w:p w:rsidR="00484597" w:rsidRDefault="00484597" w:rsidP="00484597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484597" w:rsidRPr="00E42CB7" w:rsidRDefault="00484597" w:rsidP="00484597">
      <w:pPr>
        <w:tabs>
          <w:tab w:val="left" w:pos="456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Staatskanzlei wird ermächtigt, im Sinne der Erwägungen die</w:t>
      </w:r>
      <w:r>
        <w:rPr>
          <w:rFonts w:cs="Arial"/>
        </w:rPr>
        <w:t xml:space="preserve"> </w:t>
      </w:r>
      <w:r w:rsidRPr="00E42CB7">
        <w:rPr>
          <w:rFonts w:cs="Arial"/>
        </w:rPr>
        <w:t>Schweizerische Staatsschreiberkonferenz mit der Vertretung des Kantons Zürich im Dachverband der Urheber</w:t>
      </w:r>
      <w:r>
        <w:rPr>
          <w:rFonts w:cs="Arial"/>
        </w:rPr>
        <w:t>-</w:t>
      </w:r>
      <w:r w:rsidRPr="00E42CB7">
        <w:rPr>
          <w:rFonts w:cs="Arial"/>
        </w:rPr>
        <w:t xml:space="preserve"> und Nachbarrechtsnutzer</w:t>
      </w:r>
      <w:r>
        <w:rPr>
          <w:rFonts w:cs="Arial"/>
        </w:rPr>
        <w:t xml:space="preserve"> </w:t>
      </w:r>
      <w:r w:rsidRPr="00E42CB7">
        <w:rPr>
          <w:rFonts w:cs="Arial"/>
        </w:rPr>
        <w:t>(DUN) und in den Verhandlungen gegenüber der Pro Litteris zu beauftragen.</w:t>
      </w:r>
    </w:p>
    <w:p w:rsidR="00484597" w:rsidRDefault="00484597" w:rsidP="00484597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Direktionen des Regierungsrats (je 2 Ex.), das</w:t>
      </w:r>
      <w:r>
        <w:rPr>
          <w:rFonts w:cs="Arial"/>
        </w:rPr>
        <w:t xml:space="preserve"> </w:t>
      </w:r>
      <w:r w:rsidRPr="00E42CB7">
        <w:rPr>
          <w:rFonts w:cs="Arial"/>
        </w:rPr>
        <w:t>Obergericht und die Staatskanzlei.</w:t>
      </w:r>
    </w:p>
    <w:p w:rsidR="00484597" w:rsidRDefault="00484597" w:rsidP="00484597">
      <w:pPr>
        <w:pStyle w:val="00Vorgabetext"/>
        <w:keepNext/>
        <w:keepLines/>
        <w:rPr>
          <w:rFonts w:cs="Arial"/>
        </w:rPr>
      </w:pPr>
    </w:p>
    <w:p w:rsidR="00484597" w:rsidRDefault="00484597" w:rsidP="00484597">
      <w:pPr>
        <w:pStyle w:val="00Vorgabetext"/>
        <w:keepNext/>
        <w:keepLines/>
        <w:rPr>
          <w:rFonts w:cs="Arial"/>
        </w:rPr>
      </w:pPr>
    </w:p>
    <w:p w:rsidR="00BE768B" w:rsidRDefault="00484597" w:rsidP="00484597">
      <w:pPr>
        <w:pStyle w:val="00Vorgabetext"/>
        <w:keepNext/>
        <w:keepLines/>
      </w:pPr>
      <w:r>
        <w:rPr>
          <w:rFonts w:cs="Arial"/>
        </w:rPr>
        <w:t>[</w:t>
      </w:r>
      <w:r w:rsidRPr="00484597">
        <w:rPr>
          <w:rFonts w:cs="Arial"/>
          <w:i/>
        </w:rPr>
        <w:t>Transkript: OCR (Überarbeitung: Team TKR)/14.09.2017</w:t>
      </w:r>
      <w:bookmarkStart w:id="1" w:name="_GoBack"/>
      <w:r w:rsidRPr="0048459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597" w:rsidRDefault="00484597">
      <w:r>
        <w:separator/>
      </w:r>
    </w:p>
    <w:p w:rsidR="00484597" w:rsidRDefault="00484597"/>
    <w:p w:rsidR="00484597" w:rsidRDefault="00484597"/>
  </w:endnote>
  <w:endnote w:type="continuationSeparator" w:id="0">
    <w:p w:rsidR="00484597" w:rsidRDefault="00484597">
      <w:r>
        <w:continuationSeparator/>
      </w:r>
    </w:p>
    <w:p w:rsidR="00484597" w:rsidRDefault="00484597"/>
    <w:p w:rsidR="00484597" w:rsidRDefault="004845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597" w:rsidRDefault="00484597">
      <w:r>
        <w:separator/>
      </w:r>
    </w:p>
    <w:p w:rsidR="00484597" w:rsidRDefault="00484597"/>
    <w:p w:rsidR="00484597" w:rsidRDefault="00484597"/>
  </w:footnote>
  <w:footnote w:type="continuationSeparator" w:id="0">
    <w:p w:rsidR="00484597" w:rsidRDefault="00484597">
      <w:r>
        <w:continuationSeparator/>
      </w:r>
    </w:p>
    <w:p w:rsidR="00484597" w:rsidRDefault="00484597"/>
    <w:p w:rsidR="00484597" w:rsidRDefault="004845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8459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8459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9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4597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812B0E9-26AC-4FB3-A7E8-06B9DF0C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4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92F38-4851-4993-9635-0526D7CE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418</Words>
  <Characters>3112</Characters>
  <Application>Microsoft Office Word</Application>
  <DocSecurity>0</DocSecurity>
  <PresentationFormat/>
  <Lines>239</Lines>
  <Paragraphs>207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3323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Urheberrechtsgesetz, Verhandlungen über die Reprographie-Tarife (Ermächtigung)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2017-09-14T06:45:00Z</dcterms:created>
  <dcterms:modified xsi:type="dcterms:W3CDTF">2017-09-14T06:45:00Z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