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6ED9" w:rsidP="00931B1F">
            <w:pPr>
              <w:pStyle w:val="70SignaturX"/>
            </w:pPr>
            <w:r>
              <w:t>StAZH MM 3.204 RRB 1994/1345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6ED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Bremgarten-Dietikon-Bahn (Betriebsfehlbetrag 1994)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6ED9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6ED9" w:rsidP="00931B1F">
            <w:pPr>
              <w:pStyle w:val="00Vorgabetext"/>
            </w:pPr>
            <w:r>
              <w:t>618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6ED9" w:rsidRPr="00E42CB7" w:rsidRDefault="00CE6ED9" w:rsidP="00CE6ED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6ED9">
        <w:rPr>
          <w:i/>
        </w:rPr>
        <w:t>p. 618</w:t>
      </w:r>
      <w:r w:rsidRPr="00CE6ED9">
        <w:t>]</w:t>
      </w:r>
      <w:r>
        <w:t xml:space="preserve"> </w:t>
      </w:r>
      <w:r w:rsidRPr="00E42CB7">
        <w:rPr>
          <w:rFonts w:cs="Arial"/>
        </w:rPr>
        <w:t>Die Bremgarten</w:t>
      </w:r>
      <w:r>
        <w:rPr>
          <w:rFonts w:cs="Arial"/>
        </w:rPr>
        <w:t>-</w:t>
      </w:r>
      <w:r w:rsidRPr="00E42CB7">
        <w:rPr>
          <w:rFonts w:cs="Arial"/>
        </w:rPr>
        <w:t>Dietikon</w:t>
      </w:r>
      <w:r>
        <w:rPr>
          <w:rFonts w:cs="Arial"/>
        </w:rPr>
        <w:t>-</w:t>
      </w:r>
      <w:r w:rsidRPr="00E42CB7">
        <w:rPr>
          <w:rFonts w:cs="Arial"/>
        </w:rPr>
        <w:t>Bahn hat für das Betriebsjahr 1994 einen</w:t>
      </w:r>
      <w:r>
        <w:rPr>
          <w:rFonts w:cs="Arial"/>
        </w:rPr>
        <w:t xml:space="preserve"> </w:t>
      </w:r>
      <w:r w:rsidRPr="00E42CB7">
        <w:rPr>
          <w:rFonts w:cs="Arial"/>
        </w:rPr>
        <w:t>Fehlbetrag von Fr. 3</w:t>
      </w:r>
      <w:r>
        <w:rPr>
          <w:rFonts w:cs="Arial"/>
        </w:rPr>
        <w:t> </w:t>
      </w:r>
      <w:r w:rsidRPr="00E42CB7">
        <w:rPr>
          <w:rFonts w:cs="Arial"/>
        </w:rPr>
        <w:t>548</w:t>
      </w:r>
      <w:r>
        <w:rPr>
          <w:rFonts w:cs="Arial"/>
        </w:rPr>
        <w:t> </w:t>
      </w:r>
      <w:r w:rsidRPr="00E42CB7">
        <w:rPr>
          <w:rFonts w:cs="Arial"/>
        </w:rPr>
        <w:t>800 veranschlagt. Die Abrechnung erfolgt im</w:t>
      </w:r>
      <w:r>
        <w:rPr>
          <w:rFonts w:cs="Arial"/>
        </w:rPr>
        <w:t xml:space="preserve"> </w:t>
      </w:r>
      <w:r w:rsidRPr="00E42CB7">
        <w:rPr>
          <w:rFonts w:cs="Arial"/>
        </w:rPr>
        <w:t>Laufe des Sommers 1995 und wird nach der Generalversammlung der</w:t>
      </w:r>
      <w:r>
        <w:rPr>
          <w:rFonts w:cs="Arial"/>
        </w:rPr>
        <w:t xml:space="preserve"> </w:t>
      </w:r>
      <w:r w:rsidRPr="00E42CB7">
        <w:rPr>
          <w:rFonts w:cs="Arial"/>
        </w:rPr>
        <w:t>Unternehmung durch das Bundesamt für Verkehr geprüft. Die Defizitdeckungsbeiträge des Bundes und der beiden Kantone Zürich und Aargau können darum erst im Herbst 1995 geleistet werden. Um die in der</w:t>
      </w:r>
      <w:r>
        <w:rPr>
          <w:rFonts w:cs="Arial"/>
        </w:rPr>
        <w:t xml:space="preserve"> </w:t>
      </w:r>
      <w:r w:rsidRPr="00E42CB7">
        <w:rPr>
          <w:rFonts w:cs="Arial"/>
        </w:rPr>
        <w:t>Zwischenzeit fällig werdenden Aufwendungen bezahlen zu können, hat</w:t>
      </w:r>
      <w:r>
        <w:rPr>
          <w:rFonts w:cs="Arial"/>
        </w:rPr>
        <w:t xml:space="preserve"> </w:t>
      </w:r>
      <w:r w:rsidRPr="00E42CB7">
        <w:rPr>
          <w:rFonts w:cs="Arial"/>
        </w:rPr>
        <w:t>die Unternehmung dem Bundesamt für Verkehr das Gesuch um</w:t>
      </w:r>
      <w:r>
        <w:rPr>
          <w:rFonts w:cs="Arial"/>
        </w:rPr>
        <w:t xml:space="preserve"> </w:t>
      </w:r>
      <w:r w:rsidRPr="00E42CB7">
        <w:rPr>
          <w:rFonts w:cs="Arial"/>
        </w:rPr>
        <w:t>Leistung eines Vorschusses von Fr. 2000000 gestellt. Das Bundesamt</w:t>
      </w:r>
      <w:r>
        <w:rPr>
          <w:rFonts w:cs="Arial"/>
        </w:rPr>
        <w:t xml:space="preserve"> </w:t>
      </w:r>
      <w:r w:rsidRPr="00E42CB7">
        <w:rPr>
          <w:rFonts w:cs="Arial"/>
        </w:rPr>
        <w:t>für Verkehr erachtet das Gesuch als begründet und ist bereit, den Anteil</w:t>
      </w:r>
      <w:r>
        <w:rPr>
          <w:rFonts w:cs="Arial"/>
        </w:rPr>
        <w:t xml:space="preserve"> </w:t>
      </w:r>
      <w:r w:rsidRPr="00E42CB7">
        <w:rPr>
          <w:rFonts w:cs="Arial"/>
        </w:rPr>
        <w:t>des Bundes zu leisten, sofern sich auch die Kantone an der Vorschussleistung beteiligen. Gestützt auf Art. 60 Abs. 4 und 5 des Eisenbahngesetzes ergibt sich folgende Aufteilung:</w:t>
      </w:r>
    </w:p>
    <w:p w:rsidR="00CE6ED9" w:rsidRPr="00E42CB7" w:rsidRDefault="00CE6ED9" w:rsidP="00CE6ED9">
      <w:pPr>
        <w:spacing w:before="60"/>
        <w:rPr>
          <w:rFonts w:cs="Arial"/>
        </w:rPr>
      </w:pPr>
      <w:r w:rsidRPr="00E42CB7">
        <w:rPr>
          <w:rFonts w:cs="Arial"/>
        </w:rPr>
        <w:t>Der Anteil des Kantons Zürich wird in zwei Teilzahlungen von Fr.</w:t>
      </w:r>
      <w:r>
        <w:rPr>
          <w:rFonts w:cs="Arial"/>
        </w:rPr>
        <w:t xml:space="preserve"> </w:t>
      </w:r>
      <w:r w:rsidRPr="00E42CB7">
        <w:rPr>
          <w:rFonts w:cs="Arial"/>
        </w:rPr>
        <w:t>286</w:t>
      </w:r>
      <w:r>
        <w:rPr>
          <w:rFonts w:cs="Arial"/>
        </w:rPr>
        <w:t> </w:t>
      </w:r>
      <w:r w:rsidRPr="00E42CB7">
        <w:rPr>
          <w:rFonts w:cs="Arial"/>
        </w:rPr>
        <w:t>500 im Mai und Fr. 95</w:t>
      </w:r>
      <w:r>
        <w:rPr>
          <w:rFonts w:cs="Arial"/>
        </w:rPr>
        <w:t> </w:t>
      </w:r>
      <w:r w:rsidRPr="00E42CB7">
        <w:rPr>
          <w:rFonts w:cs="Arial"/>
        </w:rPr>
        <w:t>500 im Dezember ausgerichtet. Der notwendige Kredit ist im Staatsvoranschlag 1994 enthalten.</w:t>
      </w:r>
    </w:p>
    <w:p w:rsidR="00CE6ED9" w:rsidRPr="00E42CB7" w:rsidRDefault="00CE6ED9" w:rsidP="00CE6ED9">
      <w:pPr>
        <w:spacing w:before="60"/>
        <w:rPr>
          <w:rFonts w:cs="Arial"/>
        </w:rPr>
      </w:pPr>
      <w:r w:rsidRPr="00E42CB7">
        <w:rPr>
          <w:rFonts w:cs="Arial"/>
        </w:rPr>
        <w:t>Die Verrechnung des Vorschusses erfolgt nach definitiver Ermittlung</w:t>
      </w:r>
      <w:r>
        <w:rPr>
          <w:rFonts w:cs="Arial"/>
        </w:rPr>
        <w:t xml:space="preserve"> </w:t>
      </w:r>
      <w:r w:rsidRPr="00E42CB7">
        <w:rPr>
          <w:rFonts w:cs="Arial"/>
        </w:rPr>
        <w:t>des Fehlbetrages aufgrund der im Herbst 1995 durch das Bundesamt für</w:t>
      </w:r>
      <w:r>
        <w:rPr>
          <w:rFonts w:cs="Arial"/>
        </w:rPr>
        <w:t xml:space="preserve"> </w:t>
      </w:r>
      <w:r w:rsidRPr="00E42CB7">
        <w:rPr>
          <w:rFonts w:cs="Arial"/>
        </w:rPr>
        <w:t>Verkehr vorzunehmenden Buchprüfung.</w:t>
      </w:r>
    </w:p>
    <w:p w:rsidR="00CE6ED9" w:rsidRDefault="00CE6ED9" w:rsidP="00CE6ED9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CE6ED9" w:rsidRDefault="00CE6ED9" w:rsidP="00CE6ED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CE6ED9" w:rsidRPr="00E42CB7" w:rsidRDefault="00CE6ED9" w:rsidP="00CE6ED9">
      <w:pPr>
        <w:tabs>
          <w:tab w:val="left" w:pos="45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Volkswirtschaftsdirektion wird ermächtigt, den auf den Kanton</w:t>
      </w:r>
      <w:r>
        <w:rPr>
          <w:rFonts w:cs="Arial"/>
        </w:rPr>
        <w:t xml:space="preserve"> </w:t>
      </w:r>
      <w:r w:rsidRPr="00E42CB7">
        <w:rPr>
          <w:rFonts w:cs="Arial"/>
        </w:rPr>
        <w:t>Zürich entfallenden Anteil von Fr. 382</w:t>
      </w:r>
      <w:r>
        <w:rPr>
          <w:rFonts w:cs="Arial"/>
        </w:rPr>
        <w:t> </w:t>
      </w:r>
      <w:r w:rsidRPr="00E42CB7">
        <w:rPr>
          <w:rFonts w:cs="Arial"/>
        </w:rPr>
        <w:t>000 am Vorschuss an den Betriebsfehlbetrag 1994 der Bremgarten</w:t>
      </w:r>
      <w:r>
        <w:rPr>
          <w:rFonts w:cs="Arial"/>
        </w:rPr>
        <w:t>-</w:t>
      </w:r>
      <w:r w:rsidRPr="00E42CB7">
        <w:rPr>
          <w:rFonts w:cs="Arial"/>
        </w:rPr>
        <w:t>Dietikon</w:t>
      </w:r>
      <w:r>
        <w:rPr>
          <w:rFonts w:cs="Arial"/>
        </w:rPr>
        <w:t>-</w:t>
      </w:r>
      <w:r w:rsidRPr="00E42CB7">
        <w:rPr>
          <w:rFonts w:cs="Arial"/>
        </w:rPr>
        <w:t>Bahn zu Lasten des</w:t>
      </w:r>
      <w:r>
        <w:rPr>
          <w:rFonts w:cs="Arial"/>
        </w:rPr>
        <w:t xml:space="preserve"> </w:t>
      </w:r>
      <w:r w:rsidRPr="00E42CB7">
        <w:rPr>
          <w:rFonts w:cs="Arial"/>
        </w:rPr>
        <w:t>Kontos 2600.3640.101, Betriebsbeiträge an Verkehrsunternehmungen,</w:t>
      </w:r>
      <w:r>
        <w:rPr>
          <w:rFonts w:cs="Arial"/>
        </w:rPr>
        <w:t xml:space="preserve"> </w:t>
      </w:r>
      <w:r w:rsidRPr="00E42CB7">
        <w:rPr>
          <w:rFonts w:cs="Arial"/>
        </w:rPr>
        <w:t>auszurichten.</w:t>
      </w:r>
    </w:p>
    <w:p w:rsidR="00CE6ED9" w:rsidRPr="00E42CB7" w:rsidRDefault="00CE6ED9" w:rsidP="00CE6ED9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Bremgarten</w:t>
      </w:r>
      <w:r>
        <w:rPr>
          <w:rFonts w:cs="Arial"/>
        </w:rPr>
        <w:t>-</w:t>
      </w:r>
      <w:r w:rsidRPr="00E42CB7">
        <w:rPr>
          <w:rFonts w:cs="Arial"/>
        </w:rPr>
        <w:t>Dietikon</w:t>
      </w:r>
      <w:r>
        <w:rPr>
          <w:rFonts w:cs="Arial"/>
        </w:rPr>
        <w:t>-</w:t>
      </w:r>
      <w:r w:rsidRPr="00E42CB7">
        <w:rPr>
          <w:rFonts w:cs="Arial"/>
        </w:rPr>
        <w:t>Bahn, 5620</w:t>
      </w:r>
      <w:r>
        <w:rPr>
          <w:rFonts w:cs="Arial"/>
        </w:rPr>
        <w:t xml:space="preserve"> </w:t>
      </w:r>
      <w:r w:rsidRPr="00E42CB7">
        <w:rPr>
          <w:rFonts w:cs="Arial"/>
        </w:rPr>
        <w:t>Bremgarten, das Bundesamt für Verkehr, 3003 Bern, den Regierungsrat</w:t>
      </w:r>
      <w:r>
        <w:rPr>
          <w:rFonts w:cs="Arial"/>
        </w:rPr>
        <w:t xml:space="preserve"> </w:t>
      </w:r>
      <w:r w:rsidRPr="00E42CB7">
        <w:rPr>
          <w:rFonts w:cs="Arial"/>
        </w:rPr>
        <w:t>des Kantons Aargau, 5001 Aarau, sowie an die Direktionen der Volkswirtschaft und der Finanzen.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89"/>
        <w:gridCol w:w="999"/>
      </w:tblGrid>
      <w:tr w:rsidR="00CE6ED9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E6ED9" w:rsidRPr="00E42CB7" w:rsidRDefault="00CE6ED9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Bund</w:t>
            </w:r>
          </w:p>
        </w:tc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364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600</w:t>
            </w:r>
          </w:p>
        </w:tc>
      </w:tr>
      <w:tr w:rsidR="00CE6ED9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Kanton Zürich</w:t>
            </w:r>
          </w:p>
        </w:tc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382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</w:t>
            </w:r>
          </w:p>
        </w:tc>
      </w:tr>
      <w:tr w:rsidR="00CE6ED9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Kanton Aargau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1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253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400</w:t>
            </w:r>
          </w:p>
        </w:tc>
      </w:tr>
      <w:tr w:rsidR="00CE6ED9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CE6ED9" w:rsidRPr="00E42CB7" w:rsidRDefault="00CE6ED9" w:rsidP="00CE6ED9">
            <w:pPr>
              <w:keepNext/>
              <w:keepLines/>
              <w:spacing w:before="60"/>
              <w:jc w:val="right"/>
              <w:rPr>
                <w:rFonts w:cs="Arial"/>
              </w:rPr>
            </w:pPr>
            <w:r w:rsidRPr="00E42CB7">
              <w:rPr>
                <w:rFonts w:cs="Arial"/>
              </w:rPr>
              <w:t>2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</w:t>
            </w:r>
            <w:r>
              <w:rPr>
                <w:rFonts w:cs="Arial"/>
              </w:rPr>
              <w:t> </w:t>
            </w:r>
            <w:r w:rsidRPr="00E42CB7">
              <w:rPr>
                <w:rFonts w:cs="Arial"/>
              </w:rPr>
              <w:t>000</w:t>
            </w:r>
          </w:p>
        </w:tc>
      </w:tr>
    </w:tbl>
    <w:p w:rsidR="00CE6ED9" w:rsidRDefault="00CE6ED9" w:rsidP="00CE6ED9">
      <w:pPr>
        <w:pStyle w:val="00Vorgabetext"/>
        <w:keepNext/>
        <w:keepLines/>
      </w:pPr>
    </w:p>
    <w:p w:rsidR="00CE6ED9" w:rsidRDefault="00CE6ED9" w:rsidP="00CE6ED9">
      <w:pPr>
        <w:pStyle w:val="00Vorgabetext"/>
        <w:keepNext/>
        <w:keepLines/>
      </w:pPr>
    </w:p>
    <w:p w:rsidR="00CE6ED9" w:rsidRDefault="00CE6ED9" w:rsidP="00CE6ED9">
      <w:pPr>
        <w:pStyle w:val="00Vorgabetext"/>
        <w:keepNext/>
        <w:keepLines/>
      </w:pPr>
    </w:p>
    <w:p w:rsidR="00BE768B" w:rsidRDefault="00CE6ED9" w:rsidP="00CE6ED9">
      <w:pPr>
        <w:pStyle w:val="00Vorgabetext"/>
        <w:keepNext/>
        <w:keepLines/>
      </w:pPr>
      <w:r>
        <w:t>[</w:t>
      </w:r>
      <w:r w:rsidRPr="00CE6ED9">
        <w:rPr>
          <w:i/>
        </w:rPr>
        <w:t>Transkript: OCR (Überarbeitung: Team TKR)/14.09.2017</w:t>
      </w:r>
      <w:bookmarkStart w:id="1" w:name="_GoBack"/>
      <w:r w:rsidRPr="00CE6ED9"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ED9" w:rsidRDefault="00CE6ED9">
      <w:r>
        <w:separator/>
      </w:r>
    </w:p>
    <w:p w:rsidR="00CE6ED9" w:rsidRDefault="00CE6ED9"/>
    <w:p w:rsidR="00CE6ED9" w:rsidRDefault="00CE6ED9"/>
  </w:endnote>
  <w:endnote w:type="continuationSeparator" w:id="0">
    <w:p w:rsidR="00CE6ED9" w:rsidRDefault="00CE6ED9">
      <w:r>
        <w:continuationSeparator/>
      </w:r>
    </w:p>
    <w:p w:rsidR="00CE6ED9" w:rsidRDefault="00CE6ED9"/>
    <w:p w:rsidR="00CE6ED9" w:rsidRDefault="00CE6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ED9" w:rsidRDefault="00CE6ED9">
      <w:r>
        <w:separator/>
      </w:r>
    </w:p>
    <w:p w:rsidR="00CE6ED9" w:rsidRDefault="00CE6ED9"/>
    <w:p w:rsidR="00CE6ED9" w:rsidRDefault="00CE6ED9"/>
  </w:footnote>
  <w:footnote w:type="continuationSeparator" w:id="0">
    <w:p w:rsidR="00CE6ED9" w:rsidRDefault="00CE6ED9">
      <w:r>
        <w:continuationSeparator/>
      </w:r>
    </w:p>
    <w:p w:rsidR="00CE6ED9" w:rsidRDefault="00CE6ED9"/>
    <w:p w:rsidR="00CE6ED9" w:rsidRDefault="00CE6E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6ED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E6ED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E6ED9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E341D79-E3D7-41AA-B14F-956293BA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E6632-5AE8-499C-8AEE-4E64BB65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243</Words>
  <Characters>1825</Characters>
  <Application>Microsoft Office Word</Application>
  <DocSecurity>0</DocSecurity>
  <PresentationFormat/>
  <Lines>165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Bremgarten-Dietikon-Bahn (Betriebsfehlbetrag 1994)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