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F50ED7" w:rsidTr="00C80ABA">
        <w:trPr>
          <w:trHeight w:val="454"/>
        </w:trPr>
        <w:tc>
          <w:tcPr>
            <w:tcW w:w="1668" w:type="dxa"/>
          </w:tcPr>
          <w:p w:rsidR="00A43AE4" w:rsidRPr="00F50ED7"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50ED7">
              <w:t>Signatur</w:t>
            </w:r>
          </w:p>
        </w:tc>
        <w:tc>
          <w:tcPr>
            <w:tcW w:w="6721" w:type="dxa"/>
          </w:tcPr>
          <w:p w:rsidR="00A43AE4" w:rsidRPr="00F50ED7" w:rsidRDefault="00F50ED7" w:rsidP="00931B1F">
            <w:pPr>
              <w:pStyle w:val="70SignaturX"/>
            </w:pPr>
            <w:r w:rsidRPr="00F50ED7">
              <w:t>StAZH MM 3.204 RRB 1994/1348</w:t>
            </w:r>
          </w:p>
        </w:tc>
      </w:tr>
      <w:tr w:rsidR="00A43AE4" w:rsidRPr="00F50ED7" w:rsidTr="00C80ABA">
        <w:trPr>
          <w:trHeight w:val="454"/>
        </w:trPr>
        <w:tc>
          <w:tcPr>
            <w:tcW w:w="1668" w:type="dxa"/>
          </w:tcPr>
          <w:p w:rsidR="00A43AE4" w:rsidRPr="00F50ED7"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50ED7">
              <w:t>Titel</w:t>
            </w:r>
          </w:p>
        </w:tc>
        <w:tc>
          <w:tcPr>
            <w:tcW w:w="6721" w:type="dxa"/>
          </w:tcPr>
          <w:p w:rsidR="006C59EA" w:rsidRPr="00F50ED7" w:rsidRDefault="00F50ED7"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F50ED7">
              <w:rPr>
                <w:rFonts w:ascii="Arial Black" w:hAnsi="Arial Black"/>
              </w:rPr>
              <w:t>Flughafen (Werkhof, kombinierte Sammelstelle)</w:t>
            </w:r>
          </w:p>
        </w:tc>
      </w:tr>
      <w:tr w:rsidR="00BC0931" w:rsidRPr="00F50ED7" w:rsidTr="00C80ABA">
        <w:trPr>
          <w:trHeight w:val="454"/>
        </w:trPr>
        <w:tc>
          <w:tcPr>
            <w:tcW w:w="1668" w:type="dxa"/>
          </w:tcPr>
          <w:p w:rsidR="00BC0931" w:rsidRPr="00F50ED7"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50ED7">
              <w:t>Datum</w:t>
            </w:r>
          </w:p>
        </w:tc>
        <w:tc>
          <w:tcPr>
            <w:tcW w:w="6721" w:type="dxa"/>
          </w:tcPr>
          <w:p w:rsidR="00BC0931" w:rsidRPr="00F50ED7" w:rsidRDefault="00F50ED7" w:rsidP="00931B1F">
            <w:pPr>
              <w:pStyle w:val="71DatumX"/>
            </w:pPr>
            <w:r w:rsidRPr="00F50ED7">
              <w:t>18.05.1994</w:t>
            </w:r>
          </w:p>
        </w:tc>
      </w:tr>
      <w:tr w:rsidR="00A43AE4" w:rsidRPr="00F50ED7" w:rsidTr="00C80ABA">
        <w:trPr>
          <w:trHeight w:val="454"/>
        </w:trPr>
        <w:tc>
          <w:tcPr>
            <w:tcW w:w="1668" w:type="dxa"/>
          </w:tcPr>
          <w:p w:rsidR="00A43AE4" w:rsidRPr="00F50ED7"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50ED7">
              <w:t>P.</w:t>
            </w:r>
          </w:p>
        </w:tc>
        <w:tc>
          <w:tcPr>
            <w:tcW w:w="6721" w:type="dxa"/>
          </w:tcPr>
          <w:p w:rsidR="00A43AE4" w:rsidRPr="00F50ED7" w:rsidRDefault="00F50ED7" w:rsidP="00931B1F">
            <w:pPr>
              <w:pStyle w:val="00Vorgabetext"/>
            </w:pPr>
            <w:r w:rsidRPr="00F50ED7">
              <w:t>619–620</w:t>
            </w:r>
          </w:p>
        </w:tc>
      </w:tr>
    </w:tbl>
    <w:p w:rsidR="00616641" w:rsidRPr="00F50ED7" w:rsidRDefault="00616641" w:rsidP="0077655B">
      <w:pPr>
        <w:pStyle w:val="00Vorgabetext"/>
        <w:spacing w:before="0" w:after="60"/>
      </w:pPr>
    </w:p>
    <w:p w:rsidR="00F50ED7" w:rsidRPr="00F50ED7" w:rsidRDefault="00F50ED7" w:rsidP="00F50ED7">
      <w:pPr>
        <w:spacing w:before="60"/>
        <w:rPr>
          <w:rFonts w:cs="Arial"/>
        </w:rPr>
      </w:pPr>
      <w:bookmarkStart w:id="0" w:name="ContentText"/>
      <w:bookmarkEnd w:id="0"/>
      <w:r w:rsidRPr="00F50ED7">
        <w:t>[</w:t>
      </w:r>
      <w:r w:rsidRPr="00F50ED7">
        <w:rPr>
          <w:i/>
        </w:rPr>
        <w:t>p. 619</w:t>
      </w:r>
      <w:r w:rsidRPr="00F50ED7">
        <w:t xml:space="preserve">] </w:t>
      </w:r>
      <w:r w:rsidRPr="00F50ED7">
        <w:rPr>
          <w:rFonts w:cs="Arial"/>
        </w:rPr>
        <w:t>Mit RRB Nr. 27/1992 wurde für die Erstellung einer kombinierten Sammelstelle im Werkhof des Flughafens Zürich ein Objektkredit von Fr. 1 670000 bewilligt.</w:t>
      </w:r>
    </w:p>
    <w:p w:rsidR="00F50ED7" w:rsidRPr="00F50ED7" w:rsidRDefault="00F50ED7" w:rsidP="00F50ED7">
      <w:pPr>
        <w:spacing w:before="60"/>
        <w:rPr>
          <w:rFonts w:cs="Arial"/>
        </w:rPr>
      </w:pPr>
      <w:r w:rsidRPr="00F50ED7">
        <w:rPr>
          <w:rFonts w:cs="Arial"/>
        </w:rPr>
        <w:t>Die Arbeiten sind abgeschlossen. Die provisorische Bauabrechnung weist gegenüber dem bewilligten Kredit Mehraufwendungen auf und zeigt folgendes Bild:</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6087"/>
        <w:gridCol w:w="1440"/>
        <w:gridCol w:w="999"/>
      </w:tblGrid>
      <w:tr w:rsidR="00F50ED7" w:rsidRPr="00F50ED7" w:rsidTr="000A2F95">
        <w:trPr>
          <w:trHeight w:val="283"/>
        </w:trPr>
        <w:tc>
          <w:tcPr>
            <w:tcW w:w="0" w:type="auto"/>
            <w:shd w:val="clear" w:color="auto" w:fill="FFFFFF"/>
          </w:tcPr>
          <w:p w:rsidR="00F50ED7" w:rsidRPr="00F50ED7" w:rsidRDefault="00F50ED7" w:rsidP="000A2F95">
            <w:pPr>
              <w:spacing w:before="60"/>
              <w:rPr>
                <w:rFonts w:cs="Arial"/>
                <w:szCs w:val="10"/>
              </w:rPr>
            </w:pPr>
          </w:p>
        </w:tc>
        <w:tc>
          <w:tcPr>
            <w:tcW w:w="0" w:type="auto"/>
            <w:shd w:val="clear" w:color="auto" w:fill="FFFFFF"/>
          </w:tcPr>
          <w:p w:rsidR="00F50ED7" w:rsidRPr="00F50ED7" w:rsidRDefault="00F50ED7" w:rsidP="000A2F95">
            <w:pPr>
              <w:spacing w:before="60"/>
              <w:jc w:val="right"/>
              <w:rPr>
                <w:rFonts w:cs="Arial"/>
              </w:rPr>
            </w:pPr>
            <w:r w:rsidRPr="00F50ED7">
              <w:rPr>
                <w:rFonts w:cs="Arial"/>
              </w:rPr>
              <w:t>Fr.</w:t>
            </w:r>
          </w:p>
        </w:tc>
        <w:tc>
          <w:tcPr>
            <w:tcW w:w="0" w:type="auto"/>
            <w:shd w:val="clear" w:color="auto" w:fill="FFFFFF"/>
          </w:tcPr>
          <w:p w:rsidR="00F50ED7" w:rsidRPr="00F50ED7" w:rsidRDefault="00F50ED7" w:rsidP="000A2F95">
            <w:pPr>
              <w:spacing w:before="60"/>
              <w:jc w:val="right"/>
              <w:rPr>
                <w:rFonts w:cs="Arial"/>
              </w:rPr>
            </w:pPr>
            <w:r w:rsidRPr="00F50ED7">
              <w:rPr>
                <w:rFonts w:cs="Arial"/>
              </w:rPr>
              <w:t>Fr.</w:t>
            </w:r>
          </w:p>
        </w:tc>
      </w:tr>
      <w:tr w:rsidR="00F50ED7" w:rsidRPr="00F50ED7" w:rsidTr="000A2F95">
        <w:trPr>
          <w:trHeight w:val="283"/>
        </w:trPr>
        <w:tc>
          <w:tcPr>
            <w:tcW w:w="0" w:type="auto"/>
            <w:shd w:val="clear" w:color="auto" w:fill="FFFFFF"/>
          </w:tcPr>
          <w:p w:rsidR="00F50ED7" w:rsidRPr="00F50ED7" w:rsidRDefault="00F50ED7" w:rsidP="000A2F95">
            <w:pPr>
              <w:spacing w:before="60"/>
              <w:rPr>
                <w:rFonts w:cs="Arial"/>
              </w:rPr>
            </w:pPr>
            <w:r w:rsidRPr="00F50ED7">
              <w:rPr>
                <w:rFonts w:cs="Arial"/>
              </w:rPr>
              <w:t>Kredit gemäss RRB Nr. 27/1992</w:t>
            </w:r>
          </w:p>
        </w:tc>
        <w:tc>
          <w:tcPr>
            <w:tcW w:w="0" w:type="auto"/>
            <w:shd w:val="clear" w:color="auto" w:fill="FFFFFF"/>
          </w:tcPr>
          <w:p w:rsidR="00F50ED7" w:rsidRPr="00F50ED7" w:rsidRDefault="00F50ED7" w:rsidP="000A2F95">
            <w:pPr>
              <w:spacing w:before="60"/>
              <w:jc w:val="right"/>
              <w:rPr>
                <w:rFonts w:cs="Arial"/>
                <w:szCs w:val="10"/>
              </w:rPr>
            </w:pPr>
          </w:p>
        </w:tc>
        <w:tc>
          <w:tcPr>
            <w:tcW w:w="0" w:type="auto"/>
            <w:shd w:val="clear" w:color="auto" w:fill="FFFFFF"/>
          </w:tcPr>
          <w:p w:rsidR="00F50ED7" w:rsidRPr="00F50ED7" w:rsidRDefault="00F50ED7" w:rsidP="000A2F95">
            <w:pPr>
              <w:spacing w:before="60"/>
              <w:jc w:val="right"/>
              <w:rPr>
                <w:rFonts w:cs="Arial"/>
              </w:rPr>
            </w:pPr>
            <w:r w:rsidRPr="00F50ED7">
              <w:rPr>
                <w:rFonts w:cs="Arial"/>
              </w:rPr>
              <w:t>1 670 000</w:t>
            </w:r>
          </w:p>
        </w:tc>
      </w:tr>
      <w:tr w:rsidR="00F50ED7" w:rsidRPr="00F50ED7" w:rsidTr="000A2F95">
        <w:trPr>
          <w:trHeight w:val="283"/>
        </w:trPr>
        <w:tc>
          <w:tcPr>
            <w:tcW w:w="0" w:type="auto"/>
            <w:shd w:val="clear" w:color="auto" w:fill="FFFFFF"/>
          </w:tcPr>
          <w:p w:rsidR="00F50ED7" w:rsidRPr="00F50ED7" w:rsidRDefault="00F50ED7" w:rsidP="000A2F95">
            <w:pPr>
              <w:spacing w:before="60"/>
              <w:rPr>
                <w:rFonts w:cs="Arial"/>
              </w:rPr>
            </w:pPr>
            <w:r w:rsidRPr="00F50ED7">
              <w:rPr>
                <w:rFonts w:cs="Arial"/>
              </w:rPr>
              <w:t>Teuerung</w:t>
            </w:r>
          </w:p>
        </w:tc>
        <w:tc>
          <w:tcPr>
            <w:tcW w:w="0" w:type="auto"/>
            <w:shd w:val="clear" w:color="auto" w:fill="FFFFFF"/>
          </w:tcPr>
          <w:p w:rsidR="00F50ED7" w:rsidRPr="00F50ED7" w:rsidRDefault="00F50ED7" w:rsidP="000A2F95">
            <w:pPr>
              <w:spacing w:before="60"/>
              <w:jc w:val="right"/>
              <w:rPr>
                <w:rFonts w:cs="Arial"/>
                <w:szCs w:val="10"/>
              </w:rPr>
            </w:pPr>
          </w:p>
        </w:tc>
        <w:tc>
          <w:tcPr>
            <w:tcW w:w="0" w:type="auto"/>
            <w:shd w:val="clear" w:color="auto" w:fill="FFFFFF"/>
          </w:tcPr>
          <w:p w:rsidR="00F50ED7" w:rsidRPr="00F50ED7" w:rsidRDefault="00F50ED7" w:rsidP="000A2F95">
            <w:pPr>
              <w:spacing w:before="60"/>
              <w:jc w:val="right"/>
              <w:rPr>
                <w:rFonts w:cs="Arial"/>
                <w:szCs w:val="10"/>
              </w:rPr>
            </w:pPr>
          </w:p>
        </w:tc>
      </w:tr>
      <w:tr w:rsidR="00F50ED7" w:rsidRPr="00F50ED7" w:rsidTr="000A2F95">
        <w:trPr>
          <w:trHeight w:val="283"/>
        </w:trPr>
        <w:tc>
          <w:tcPr>
            <w:tcW w:w="0" w:type="auto"/>
            <w:shd w:val="clear" w:color="auto" w:fill="FFFFFF"/>
          </w:tcPr>
          <w:p w:rsidR="00F50ED7" w:rsidRPr="00F50ED7" w:rsidRDefault="00F50ED7" w:rsidP="000A2F95">
            <w:pPr>
              <w:spacing w:before="60"/>
              <w:rPr>
                <w:rFonts w:cs="Arial"/>
              </w:rPr>
            </w:pPr>
            <w:r w:rsidRPr="00F50ED7">
              <w:rPr>
                <w:rFonts w:cs="Arial"/>
              </w:rPr>
              <w:t>- Indexteuerung</w:t>
            </w:r>
          </w:p>
        </w:tc>
        <w:tc>
          <w:tcPr>
            <w:tcW w:w="0" w:type="auto"/>
            <w:shd w:val="clear" w:color="auto" w:fill="FFFFFF"/>
          </w:tcPr>
          <w:p w:rsidR="00F50ED7" w:rsidRPr="00F50ED7" w:rsidRDefault="00F50ED7" w:rsidP="000A2F95">
            <w:pPr>
              <w:spacing w:before="60"/>
              <w:jc w:val="right"/>
              <w:rPr>
                <w:rFonts w:cs="Arial"/>
              </w:rPr>
            </w:pPr>
            <w:r w:rsidRPr="00F50ED7">
              <w:rPr>
                <w:rFonts w:cs="Arial"/>
              </w:rPr>
              <w:t>66 862</w:t>
            </w:r>
          </w:p>
        </w:tc>
        <w:tc>
          <w:tcPr>
            <w:tcW w:w="0" w:type="auto"/>
            <w:shd w:val="clear" w:color="auto" w:fill="FFFFFF"/>
          </w:tcPr>
          <w:p w:rsidR="00F50ED7" w:rsidRPr="00F50ED7" w:rsidRDefault="00F50ED7" w:rsidP="000A2F95">
            <w:pPr>
              <w:spacing w:before="60"/>
              <w:jc w:val="right"/>
              <w:rPr>
                <w:rFonts w:cs="Arial"/>
                <w:szCs w:val="10"/>
              </w:rPr>
            </w:pPr>
          </w:p>
        </w:tc>
      </w:tr>
      <w:tr w:rsidR="00F50ED7" w:rsidRPr="00F50ED7" w:rsidTr="000A2F95">
        <w:trPr>
          <w:trHeight w:val="283"/>
        </w:trPr>
        <w:tc>
          <w:tcPr>
            <w:tcW w:w="0" w:type="auto"/>
            <w:shd w:val="clear" w:color="auto" w:fill="FFFFFF"/>
          </w:tcPr>
          <w:p w:rsidR="00F50ED7" w:rsidRPr="00F50ED7" w:rsidRDefault="00F50ED7" w:rsidP="000A2F95">
            <w:pPr>
              <w:spacing w:before="60"/>
              <w:rPr>
                <w:rFonts w:cs="Arial"/>
              </w:rPr>
            </w:pPr>
            <w:r w:rsidRPr="00F50ED7">
              <w:rPr>
                <w:rFonts w:cs="Arial"/>
              </w:rPr>
              <w:t>- Effektivteuerung</w:t>
            </w:r>
          </w:p>
        </w:tc>
        <w:tc>
          <w:tcPr>
            <w:tcW w:w="0" w:type="auto"/>
            <w:tcBorders>
              <w:bottom w:val="single" w:sz="4" w:space="0" w:color="auto"/>
            </w:tcBorders>
            <w:shd w:val="clear" w:color="auto" w:fill="FFFFFF"/>
          </w:tcPr>
          <w:p w:rsidR="00F50ED7" w:rsidRPr="00F50ED7" w:rsidRDefault="00F50ED7" w:rsidP="000A2F95">
            <w:pPr>
              <w:spacing w:before="60"/>
              <w:jc w:val="right"/>
              <w:rPr>
                <w:rFonts w:cs="Arial"/>
              </w:rPr>
            </w:pPr>
            <w:r w:rsidRPr="00F50ED7">
              <w:rPr>
                <w:rFonts w:cs="Arial"/>
              </w:rPr>
              <w:t>6 586</w:t>
            </w:r>
          </w:p>
        </w:tc>
        <w:tc>
          <w:tcPr>
            <w:tcW w:w="0" w:type="auto"/>
            <w:tcBorders>
              <w:bottom w:val="single" w:sz="4" w:space="0" w:color="auto"/>
            </w:tcBorders>
            <w:shd w:val="clear" w:color="auto" w:fill="FFFFFF"/>
          </w:tcPr>
          <w:p w:rsidR="00F50ED7" w:rsidRPr="00F50ED7" w:rsidRDefault="00F50ED7" w:rsidP="000A2F95">
            <w:pPr>
              <w:spacing w:before="60"/>
              <w:jc w:val="right"/>
              <w:rPr>
                <w:rFonts w:cs="Arial"/>
              </w:rPr>
            </w:pPr>
            <w:r w:rsidRPr="00F50ED7">
              <w:rPr>
                <w:rFonts w:cs="Arial"/>
              </w:rPr>
              <w:t>73 448</w:t>
            </w:r>
          </w:p>
        </w:tc>
      </w:tr>
      <w:tr w:rsidR="00F50ED7" w:rsidRPr="00F50ED7" w:rsidTr="000A2F95">
        <w:trPr>
          <w:trHeight w:val="283"/>
        </w:trPr>
        <w:tc>
          <w:tcPr>
            <w:tcW w:w="0" w:type="auto"/>
            <w:shd w:val="clear" w:color="auto" w:fill="FFFFFF"/>
          </w:tcPr>
          <w:p w:rsidR="00F50ED7" w:rsidRPr="00F50ED7" w:rsidRDefault="00F50ED7" w:rsidP="000A2F95">
            <w:pPr>
              <w:spacing w:before="60"/>
              <w:rPr>
                <w:rFonts w:cs="Arial"/>
              </w:rPr>
            </w:pPr>
            <w:r w:rsidRPr="00F50ED7">
              <w:rPr>
                <w:rFonts w:cs="Arial"/>
              </w:rPr>
              <w:t>Total Kredit zur Verfügung</w:t>
            </w:r>
          </w:p>
        </w:tc>
        <w:tc>
          <w:tcPr>
            <w:tcW w:w="0" w:type="auto"/>
            <w:tcBorders>
              <w:top w:val="single" w:sz="4" w:space="0" w:color="auto"/>
            </w:tcBorders>
            <w:shd w:val="clear" w:color="auto" w:fill="FFFFFF"/>
          </w:tcPr>
          <w:p w:rsidR="00F50ED7" w:rsidRPr="00F50ED7" w:rsidRDefault="00F50ED7" w:rsidP="000A2F95">
            <w:pPr>
              <w:spacing w:before="60"/>
              <w:jc w:val="right"/>
              <w:rPr>
                <w:rFonts w:cs="Arial"/>
                <w:szCs w:val="10"/>
              </w:rPr>
            </w:pPr>
          </w:p>
        </w:tc>
        <w:tc>
          <w:tcPr>
            <w:tcW w:w="0" w:type="auto"/>
            <w:tcBorders>
              <w:top w:val="single" w:sz="4" w:space="0" w:color="auto"/>
            </w:tcBorders>
            <w:shd w:val="clear" w:color="auto" w:fill="FFFFFF"/>
          </w:tcPr>
          <w:p w:rsidR="00F50ED7" w:rsidRPr="00F50ED7" w:rsidRDefault="00F50ED7" w:rsidP="000A2F95">
            <w:pPr>
              <w:spacing w:before="60"/>
              <w:jc w:val="right"/>
              <w:rPr>
                <w:rFonts w:cs="Arial"/>
              </w:rPr>
            </w:pPr>
            <w:r w:rsidRPr="00F50ED7">
              <w:rPr>
                <w:rFonts w:cs="Arial"/>
              </w:rPr>
              <w:t>1 743 448</w:t>
            </w:r>
          </w:p>
        </w:tc>
      </w:tr>
      <w:tr w:rsidR="00F50ED7" w:rsidRPr="00F50ED7" w:rsidTr="000A2F95">
        <w:trPr>
          <w:trHeight w:val="283"/>
        </w:trPr>
        <w:tc>
          <w:tcPr>
            <w:tcW w:w="0" w:type="auto"/>
            <w:shd w:val="clear" w:color="auto" w:fill="FFFFFF"/>
          </w:tcPr>
          <w:p w:rsidR="00F50ED7" w:rsidRPr="00F50ED7" w:rsidRDefault="00F50ED7" w:rsidP="000A2F95">
            <w:pPr>
              <w:spacing w:before="60"/>
              <w:rPr>
                <w:rFonts w:cs="Arial"/>
              </w:rPr>
            </w:pPr>
            <w:r w:rsidRPr="00F50ED7">
              <w:rPr>
                <w:rFonts w:cs="Arial"/>
              </w:rPr>
              <w:t>Kosten</w:t>
            </w:r>
          </w:p>
        </w:tc>
        <w:tc>
          <w:tcPr>
            <w:tcW w:w="0" w:type="auto"/>
            <w:shd w:val="clear" w:color="auto" w:fill="FFFFFF"/>
          </w:tcPr>
          <w:p w:rsidR="00F50ED7" w:rsidRPr="00F50ED7" w:rsidRDefault="00F50ED7" w:rsidP="000A2F95">
            <w:pPr>
              <w:spacing w:before="60"/>
              <w:jc w:val="right"/>
              <w:rPr>
                <w:rFonts w:cs="Arial"/>
                <w:szCs w:val="10"/>
              </w:rPr>
            </w:pPr>
          </w:p>
        </w:tc>
        <w:tc>
          <w:tcPr>
            <w:tcW w:w="0" w:type="auto"/>
            <w:tcBorders>
              <w:bottom w:val="single" w:sz="4" w:space="0" w:color="auto"/>
            </w:tcBorders>
            <w:shd w:val="clear" w:color="auto" w:fill="FFFFFF"/>
          </w:tcPr>
          <w:p w:rsidR="00F50ED7" w:rsidRPr="00F50ED7" w:rsidRDefault="00F50ED7" w:rsidP="000A2F95">
            <w:pPr>
              <w:spacing w:before="60"/>
              <w:jc w:val="right"/>
              <w:rPr>
                <w:rFonts w:cs="Arial"/>
              </w:rPr>
            </w:pPr>
            <w:r w:rsidRPr="00F50ED7">
              <w:rPr>
                <w:rFonts w:cs="Arial"/>
              </w:rPr>
              <w:t>1 808 448</w:t>
            </w:r>
          </w:p>
        </w:tc>
      </w:tr>
      <w:tr w:rsidR="00F50ED7" w:rsidRPr="00F50ED7" w:rsidTr="000A2F95">
        <w:trPr>
          <w:trHeight w:val="283"/>
        </w:trPr>
        <w:tc>
          <w:tcPr>
            <w:tcW w:w="0" w:type="auto"/>
            <w:gridSpan w:val="2"/>
            <w:shd w:val="clear" w:color="auto" w:fill="FFFFFF"/>
          </w:tcPr>
          <w:p w:rsidR="00F50ED7" w:rsidRPr="00F50ED7" w:rsidRDefault="00F50ED7" w:rsidP="000A2F95">
            <w:pPr>
              <w:spacing w:before="60"/>
              <w:rPr>
                <w:rFonts w:cs="Arial"/>
              </w:rPr>
            </w:pPr>
            <w:r w:rsidRPr="00F50ED7">
              <w:rPr>
                <w:rFonts w:cs="Arial"/>
              </w:rPr>
              <w:t>Mehraufwendungen (verschiedene Projektanpassungen) Verstärkung der Gitterrostböden in vier Sammelboxen</w:t>
            </w:r>
          </w:p>
        </w:tc>
        <w:tc>
          <w:tcPr>
            <w:tcW w:w="0" w:type="auto"/>
            <w:tcBorders>
              <w:top w:val="single" w:sz="4" w:space="0" w:color="auto"/>
            </w:tcBorders>
            <w:shd w:val="clear" w:color="auto" w:fill="FFFFFF"/>
          </w:tcPr>
          <w:p w:rsidR="00F50ED7" w:rsidRPr="00F50ED7" w:rsidRDefault="00F50ED7" w:rsidP="000A2F95">
            <w:pPr>
              <w:spacing w:before="60"/>
              <w:jc w:val="right"/>
              <w:rPr>
                <w:rFonts w:cs="Arial"/>
              </w:rPr>
            </w:pPr>
            <w:r w:rsidRPr="00F50ED7">
              <w:rPr>
                <w:rFonts w:cs="Arial"/>
              </w:rPr>
              <w:t>65 000</w:t>
            </w:r>
          </w:p>
        </w:tc>
      </w:tr>
      <w:tr w:rsidR="00F50ED7" w:rsidRPr="00F50ED7" w:rsidTr="000A2F95">
        <w:trPr>
          <w:trHeight w:val="283"/>
        </w:trPr>
        <w:tc>
          <w:tcPr>
            <w:tcW w:w="0" w:type="auto"/>
            <w:shd w:val="clear" w:color="auto" w:fill="FFFFFF"/>
          </w:tcPr>
          <w:p w:rsidR="00F50ED7" w:rsidRPr="00F50ED7" w:rsidRDefault="00F50ED7" w:rsidP="000A2F95">
            <w:pPr>
              <w:spacing w:before="60"/>
              <w:rPr>
                <w:rFonts w:cs="Arial"/>
              </w:rPr>
            </w:pPr>
            <w:r w:rsidRPr="00F50ED7">
              <w:rPr>
                <w:rFonts w:cs="Arial"/>
              </w:rPr>
              <w:t>für Sonderabfälle</w:t>
            </w:r>
          </w:p>
        </w:tc>
        <w:tc>
          <w:tcPr>
            <w:tcW w:w="0" w:type="auto"/>
            <w:shd w:val="clear" w:color="auto" w:fill="FFFFFF"/>
          </w:tcPr>
          <w:p w:rsidR="00F50ED7" w:rsidRPr="00F50ED7" w:rsidRDefault="00F50ED7" w:rsidP="000A2F95">
            <w:pPr>
              <w:spacing w:before="60"/>
              <w:rPr>
                <w:rFonts w:cs="Arial"/>
                <w:szCs w:val="10"/>
              </w:rPr>
            </w:pPr>
          </w:p>
        </w:tc>
        <w:tc>
          <w:tcPr>
            <w:tcW w:w="0" w:type="auto"/>
            <w:tcBorders>
              <w:bottom w:val="single" w:sz="4" w:space="0" w:color="auto"/>
            </w:tcBorders>
            <w:shd w:val="clear" w:color="auto" w:fill="FFFFFF"/>
          </w:tcPr>
          <w:p w:rsidR="00F50ED7" w:rsidRPr="00F50ED7" w:rsidRDefault="00F50ED7" w:rsidP="000A2F95">
            <w:pPr>
              <w:spacing w:before="60"/>
              <w:jc w:val="right"/>
              <w:rPr>
                <w:rFonts w:cs="Arial"/>
              </w:rPr>
            </w:pPr>
            <w:r w:rsidRPr="00F50ED7">
              <w:rPr>
                <w:rFonts w:cs="Arial"/>
              </w:rPr>
              <w:t>90 000</w:t>
            </w:r>
          </w:p>
        </w:tc>
      </w:tr>
      <w:tr w:rsidR="00F50ED7" w:rsidRPr="00F50ED7" w:rsidTr="000A2F95">
        <w:trPr>
          <w:trHeight w:val="283"/>
        </w:trPr>
        <w:tc>
          <w:tcPr>
            <w:tcW w:w="0" w:type="auto"/>
            <w:shd w:val="clear" w:color="auto" w:fill="FFFFFF"/>
          </w:tcPr>
          <w:p w:rsidR="00F50ED7" w:rsidRPr="00F50ED7" w:rsidRDefault="00F50ED7" w:rsidP="000A2F95">
            <w:pPr>
              <w:spacing w:before="60"/>
              <w:rPr>
                <w:rFonts w:cs="Arial"/>
              </w:rPr>
            </w:pPr>
            <w:r w:rsidRPr="00F50ED7">
              <w:rPr>
                <w:rFonts w:cs="Arial"/>
              </w:rPr>
              <w:t>Insgesamt Mehraufwendungen</w:t>
            </w:r>
          </w:p>
        </w:tc>
        <w:tc>
          <w:tcPr>
            <w:tcW w:w="0" w:type="auto"/>
            <w:tcBorders>
              <w:top w:val="single" w:sz="4" w:space="0" w:color="auto"/>
            </w:tcBorders>
            <w:shd w:val="clear" w:color="auto" w:fill="FFFFFF"/>
          </w:tcPr>
          <w:p w:rsidR="00F50ED7" w:rsidRPr="00F50ED7" w:rsidRDefault="00F50ED7" w:rsidP="000A2F95">
            <w:pPr>
              <w:spacing w:before="60"/>
              <w:rPr>
                <w:rFonts w:cs="Arial"/>
                <w:szCs w:val="10"/>
              </w:rPr>
            </w:pPr>
          </w:p>
        </w:tc>
        <w:tc>
          <w:tcPr>
            <w:tcW w:w="0" w:type="auto"/>
            <w:tcBorders>
              <w:top w:val="single" w:sz="4" w:space="0" w:color="auto"/>
              <w:bottom w:val="single" w:sz="4" w:space="0" w:color="auto"/>
            </w:tcBorders>
            <w:shd w:val="clear" w:color="auto" w:fill="FFFFFF"/>
          </w:tcPr>
          <w:p w:rsidR="00F50ED7" w:rsidRPr="00F50ED7" w:rsidRDefault="00F50ED7" w:rsidP="000A2F95">
            <w:pPr>
              <w:spacing w:before="60"/>
              <w:jc w:val="right"/>
              <w:rPr>
                <w:rFonts w:cs="Arial"/>
              </w:rPr>
            </w:pPr>
            <w:r w:rsidRPr="00F50ED7">
              <w:rPr>
                <w:rFonts w:cs="Arial"/>
              </w:rPr>
              <w:t>155 000</w:t>
            </w:r>
          </w:p>
        </w:tc>
      </w:tr>
    </w:tbl>
    <w:p w:rsidR="00F50ED7" w:rsidRPr="00F50ED7" w:rsidRDefault="00F50ED7" w:rsidP="00F50ED7">
      <w:pPr>
        <w:spacing w:before="60"/>
        <w:rPr>
          <w:rFonts w:cs="Arial"/>
        </w:rPr>
      </w:pPr>
      <w:r w:rsidRPr="00F50ED7">
        <w:rPr>
          <w:rFonts w:cs="Arial"/>
        </w:rPr>
        <w:t>Da es sich beim Projekt um eine Pilotanlage handelt, für welche nicht auf gesicherte Erfahrungen zurückgegriffen werden konnte, waren Projektanpassungen und Verbesserungen während der Bauausführung unvermeidlich. Hiebei entstanden Mehrkosten, die zu einem grossen Teil mit der Position für Unvorhergesehenes gedeckt, aber dennoch nicht in vollem Umfang aufgefangen werden konnten.</w:t>
      </w:r>
    </w:p>
    <w:p w:rsidR="00F50ED7" w:rsidRPr="00F50ED7" w:rsidRDefault="00F50ED7" w:rsidP="00F50ED7">
      <w:pPr>
        <w:spacing w:before="60"/>
        <w:rPr>
          <w:rFonts w:cs="Arial"/>
        </w:rPr>
      </w:pPr>
      <w:r w:rsidRPr="00F50ED7">
        <w:rPr>
          <w:rFonts w:cs="Arial"/>
        </w:rPr>
        <w:t>Nicht gedeckt sind im wesentlichen die Mehrkosten als Folge des schlechten Baugrundes sowie der nachträglichen Anpassungen der Mulden an die neuen Euro-Norm-Masse. Sie setzen sich wie folgt zusammen:</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6503"/>
        <w:gridCol w:w="119"/>
        <w:gridCol w:w="1904"/>
      </w:tblGrid>
      <w:tr w:rsidR="00F50ED7" w:rsidRPr="00F50ED7" w:rsidTr="000A2F95">
        <w:trPr>
          <w:trHeight w:val="283"/>
        </w:trPr>
        <w:tc>
          <w:tcPr>
            <w:tcW w:w="0" w:type="auto"/>
            <w:shd w:val="clear" w:color="auto" w:fill="FFFFFF"/>
          </w:tcPr>
          <w:p w:rsidR="00F50ED7" w:rsidRPr="00F50ED7" w:rsidRDefault="00F50ED7" w:rsidP="000A2F95">
            <w:pPr>
              <w:spacing w:before="60"/>
              <w:rPr>
                <w:rFonts w:cs="Arial"/>
                <w:szCs w:val="10"/>
              </w:rPr>
            </w:pPr>
          </w:p>
        </w:tc>
        <w:tc>
          <w:tcPr>
            <w:tcW w:w="0" w:type="auto"/>
            <w:gridSpan w:val="2"/>
            <w:shd w:val="clear" w:color="auto" w:fill="FFFFFF"/>
          </w:tcPr>
          <w:p w:rsidR="00F50ED7" w:rsidRPr="00F50ED7" w:rsidRDefault="00F50ED7" w:rsidP="000A2F95">
            <w:pPr>
              <w:spacing w:before="60"/>
              <w:jc w:val="right"/>
              <w:rPr>
                <w:rFonts w:cs="Arial"/>
              </w:rPr>
            </w:pPr>
            <w:r w:rsidRPr="00F50ED7">
              <w:rPr>
                <w:rFonts w:cs="Arial"/>
              </w:rPr>
              <w:t>Mehraufwendungen</w:t>
            </w:r>
          </w:p>
        </w:tc>
      </w:tr>
      <w:tr w:rsidR="00F50ED7" w:rsidRPr="00F50ED7" w:rsidTr="000A2F95">
        <w:trPr>
          <w:trHeight w:val="283"/>
        </w:trPr>
        <w:tc>
          <w:tcPr>
            <w:tcW w:w="0" w:type="auto"/>
            <w:shd w:val="clear" w:color="auto" w:fill="FFFFFF"/>
          </w:tcPr>
          <w:p w:rsidR="00F50ED7" w:rsidRPr="00F50ED7" w:rsidRDefault="00F50ED7" w:rsidP="000A2F95">
            <w:pPr>
              <w:spacing w:before="60"/>
              <w:rPr>
                <w:rFonts w:cs="Arial"/>
              </w:rPr>
            </w:pPr>
            <w:r w:rsidRPr="00F50ED7">
              <w:rPr>
                <w:rFonts w:cs="Arial"/>
              </w:rPr>
              <w:t>1. Baugrubenaushub</w:t>
            </w:r>
          </w:p>
        </w:tc>
        <w:tc>
          <w:tcPr>
            <w:tcW w:w="0" w:type="auto"/>
            <w:shd w:val="clear" w:color="auto" w:fill="FFFFFF"/>
          </w:tcPr>
          <w:p w:rsidR="00F50ED7" w:rsidRPr="00F50ED7" w:rsidRDefault="00F50ED7" w:rsidP="000A2F95">
            <w:pPr>
              <w:spacing w:before="60"/>
              <w:rPr>
                <w:rFonts w:cs="Arial"/>
                <w:szCs w:val="10"/>
              </w:rPr>
            </w:pPr>
          </w:p>
        </w:tc>
        <w:tc>
          <w:tcPr>
            <w:tcW w:w="0" w:type="auto"/>
            <w:shd w:val="clear" w:color="auto" w:fill="FFFFFF"/>
          </w:tcPr>
          <w:p w:rsidR="00F50ED7" w:rsidRPr="00F50ED7" w:rsidRDefault="00F50ED7" w:rsidP="000A2F95">
            <w:pPr>
              <w:spacing w:before="60"/>
              <w:jc w:val="right"/>
              <w:rPr>
                <w:rFonts w:cs="Arial"/>
              </w:rPr>
            </w:pPr>
            <w:r w:rsidRPr="00F50ED7">
              <w:rPr>
                <w:rFonts w:cs="Arial"/>
              </w:rPr>
              <w:t>rund Fr.</w:t>
            </w:r>
          </w:p>
        </w:tc>
      </w:tr>
      <w:tr w:rsidR="00F50ED7" w:rsidRPr="00F50ED7" w:rsidTr="000A2F95">
        <w:trPr>
          <w:trHeight w:val="283"/>
        </w:trPr>
        <w:tc>
          <w:tcPr>
            <w:tcW w:w="0" w:type="auto"/>
            <w:gridSpan w:val="2"/>
            <w:shd w:val="clear" w:color="auto" w:fill="FFFFFF"/>
          </w:tcPr>
          <w:p w:rsidR="00F50ED7" w:rsidRPr="00F50ED7" w:rsidRDefault="00F50ED7" w:rsidP="000A2F95">
            <w:pPr>
              <w:spacing w:before="60"/>
              <w:rPr>
                <w:rFonts w:cs="Arial"/>
              </w:rPr>
            </w:pPr>
            <w:r w:rsidRPr="00F50ED7">
              <w:rPr>
                <w:rFonts w:cs="Arial"/>
              </w:rPr>
              <w:t>Der Baugrund stellte sich als schlechter heraus, als es aufgrund der Erfahrungen bei der benachbarten Einstellhalle erwartet wurde. Dies bewirkte einen beträchtlichen Mehraushub und zusätzlichen Materialaustausch auf der ganzen Gebäudefläche.</w:t>
            </w:r>
          </w:p>
        </w:tc>
        <w:tc>
          <w:tcPr>
            <w:tcW w:w="0" w:type="auto"/>
            <w:shd w:val="clear" w:color="auto" w:fill="FFFFFF"/>
          </w:tcPr>
          <w:p w:rsidR="00F50ED7" w:rsidRPr="00F50ED7" w:rsidRDefault="00F50ED7" w:rsidP="000A2F95">
            <w:pPr>
              <w:spacing w:before="60"/>
              <w:jc w:val="right"/>
              <w:rPr>
                <w:rFonts w:cs="Arial"/>
              </w:rPr>
            </w:pPr>
            <w:r w:rsidRPr="00F50ED7">
              <w:rPr>
                <w:rFonts w:cs="Arial"/>
              </w:rPr>
              <w:t>19 000</w:t>
            </w:r>
          </w:p>
        </w:tc>
      </w:tr>
      <w:tr w:rsidR="00F50ED7" w:rsidRPr="00F50ED7" w:rsidTr="000A2F95">
        <w:trPr>
          <w:trHeight w:val="283"/>
        </w:trPr>
        <w:tc>
          <w:tcPr>
            <w:tcW w:w="0" w:type="auto"/>
            <w:gridSpan w:val="2"/>
            <w:shd w:val="clear" w:color="auto" w:fill="FFFFFF"/>
          </w:tcPr>
          <w:p w:rsidR="00F50ED7" w:rsidRPr="00F50ED7" w:rsidRDefault="00F50ED7" w:rsidP="000A2F95">
            <w:pPr>
              <w:spacing w:before="60"/>
              <w:rPr>
                <w:rFonts w:cs="Arial"/>
              </w:rPr>
            </w:pPr>
            <w:r w:rsidRPr="00F50ED7">
              <w:rPr>
                <w:rFonts w:cs="Arial"/>
              </w:rPr>
              <w:t>2. Baumeisterarbeiten</w:t>
            </w:r>
          </w:p>
          <w:p w:rsidR="00F50ED7" w:rsidRPr="00F50ED7" w:rsidRDefault="00F50ED7" w:rsidP="000A2F95">
            <w:pPr>
              <w:spacing w:before="60"/>
              <w:rPr>
                <w:rFonts w:cs="Arial"/>
              </w:rPr>
            </w:pPr>
            <w:r w:rsidRPr="00F50ED7">
              <w:rPr>
                <w:rFonts w:cs="Arial"/>
              </w:rPr>
              <w:t>Im Zusammenhang mit der Vorbereitung der Bauausführung ergab sich die Notwendigkeit, die ursprünglich geplanten Muldenabmessungen den neuen Euro-Normen anzupassen. Daher waren auch die Betonaussenmulden entsprechend zu vergrössern.</w:t>
            </w:r>
          </w:p>
        </w:tc>
        <w:tc>
          <w:tcPr>
            <w:tcW w:w="0" w:type="auto"/>
            <w:shd w:val="clear" w:color="auto" w:fill="FFFFFF"/>
          </w:tcPr>
          <w:p w:rsidR="00F50ED7" w:rsidRPr="00F50ED7" w:rsidRDefault="00F50ED7" w:rsidP="000A2F95">
            <w:pPr>
              <w:spacing w:before="60"/>
              <w:jc w:val="right"/>
              <w:rPr>
                <w:rFonts w:cs="Arial"/>
              </w:rPr>
            </w:pPr>
            <w:r w:rsidRPr="00F50ED7">
              <w:rPr>
                <w:rFonts w:cs="Arial"/>
              </w:rPr>
              <w:t>7 000</w:t>
            </w:r>
          </w:p>
        </w:tc>
      </w:tr>
      <w:tr w:rsidR="00F50ED7" w:rsidRPr="00F50ED7" w:rsidTr="000A2F95">
        <w:trPr>
          <w:trHeight w:val="283"/>
        </w:trPr>
        <w:tc>
          <w:tcPr>
            <w:tcW w:w="0" w:type="auto"/>
            <w:gridSpan w:val="2"/>
            <w:shd w:val="clear" w:color="auto" w:fill="FFFFFF"/>
          </w:tcPr>
          <w:p w:rsidR="00F50ED7" w:rsidRPr="00F50ED7" w:rsidRDefault="00F50ED7" w:rsidP="000A2F95">
            <w:pPr>
              <w:spacing w:before="60"/>
              <w:rPr>
                <w:rFonts w:cs="Arial"/>
              </w:rPr>
            </w:pPr>
            <w:r w:rsidRPr="00F50ED7">
              <w:rPr>
                <w:rFonts w:cs="Arial"/>
              </w:rPr>
              <w:t>3. Bodenbeschichtung</w:t>
            </w:r>
          </w:p>
          <w:p w:rsidR="00F50ED7" w:rsidRPr="00F50ED7" w:rsidRDefault="00F50ED7" w:rsidP="000A2F95">
            <w:pPr>
              <w:spacing w:before="60"/>
              <w:rPr>
                <w:rFonts w:cs="Arial"/>
              </w:rPr>
            </w:pPr>
            <w:r w:rsidRPr="00F50ED7">
              <w:rPr>
                <w:rFonts w:cs="Arial"/>
              </w:rPr>
              <w:t>Aufgrund von Auflagen des AGW war eine besondere Bodenbeschichtung als Schutz gegen aggressive Stoffe auszuführen.</w:t>
            </w:r>
          </w:p>
        </w:tc>
        <w:tc>
          <w:tcPr>
            <w:tcW w:w="0" w:type="auto"/>
            <w:shd w:val="clear" w:color="auto" w:fill="FFFFFF"/>
          </w:tcPr>
          <w:p w:rsidR="00F50ED7" w:rsidRPr="00F50ED7" w:rsidRDefault="00F50ED7" w:rsidP="000A2F95">
            <w:pPr>
              <w:spacing w:before="60"/>
              <w:jc w:val="right"/>
              <w:rPr>
                <w:rFonts w:cs="Arial"/>
              </w:rPr>
            </w:pPr>
            <w:r w:rsidRPr="00F50ED7">
              <w:rPr>
                <w:rFonts w:cs="Arial"/>
              </w:rPr>
              <w:t>5 000</w:t>
            </w:r>
          </w:p>
        </w:tc>
      </w:tr>
      <w:tr w:rsidR="00F50ED7" w:rsidRPr="00F50ED7" w:rsidTr="000A2F95">
        <w:trPr>
          <w:trHeight w:val="283"/>
        </w:trPr>
        <w:tc>
          <w:tcPr>
            <w:tcW w:w="0" w:type="auto"/>
            <w:gridSpan w:val="2"/>
            <w:shd w:val="clear" w:color="auto" w:fill="FFFFFF"/>
          </w:tcPr>
          <w:p w:rsidR="00F50ED7" w:rsidRPr="00F50ED7" w:rsidRDefault="00F50ED7" w:rsidP="000A2F95">
            <w:pPr>
              <w:spacing w:before="60"/>
              <w:rPr>
                <w:rFonts w:cs="Arial"/>
              </w:rPr>
            </w:pPr>
            <w:r w:rsidRPr="00F50ED7">
              <w:rPr>
                <w:rFonts w:cs="Arial"/>
              </w:rPr>
              <w:t>4. Schlosserarbeiten</w:t>
            </w:r>
          </w:p>
          <w:p w:rsidR="00F50ED7" w:rsidRPr="00F50ED7" w:rsidRDefault="00F50ED7" w:rsidP="000A2F95">
            <w:pPr>
              <w:spacing w:before="60"/>
              <w:rPr>
                <w:rFonts w:cs="Arial"/>
              </w:rPr>
            </w:pPr>
            <w:r w:rsidRPr="00F50ED7">
              <w:rPr>
                <w:rFonts w:cs="Arial"/>
              </w:rPr>
              <w:t>4.1 Als Folge der Anpassung der Aussen- und Innenmulden an die grösseren Euro-Norm-Masse waren zusätzliche Rollen, Z-Profile und Abdeckbleche nötig.</w:t>
            </w:r>
          </w:p>
        </w:tc>
        <w:tc>
          <w:tcPr>
            <w:tcW w:w="0" w:type="auto"/>
            <w:shd w:val="clear" w:color="auto" w:fill="FFFFFF"/>
          </w:tcPr>
          <w:p w:rsidR="00F50ED7" w:rsidRPr="00F50ED7" w:rsidRDefault="00F50ED7" w:rsidP="000A2F95">
            <w:pPr>
              <w:spacing w:before="60"/>
              <w:jc w:val="right"/>
              <w:rPr>
                <w:rFonts w:cs="Arial"/>
              </w:rPr>
            </w:pPr>
            <w:r w:rsidRPr="00F50ED7">
              <w:rPr>
                <w:rFonts w:cs="Arial"/>
              </w:rPr>
              <w:t>12 000</w:t>
            </w:r>
          </w:p>
        </w:tc>
      </w:tr>
      <w:tr w:rsidR="00F50ED7" w:rsidRPr="00F50ED7" w:rsidTr="000A2F95">
        <w:trPr>
          <w:trHeight w:val="283"/>
        </w:trPr>
        <w:tc>
          <w:tcPr>
            <w:tcW w:w="0" w:type="auto"/>
            <w:gridSpan w:val="2"/>
            <w:shd w:val="clear" w:color="auto" w:fill="FFFFFF"/>
          </w:tcPr>
          <w:p w:rsidR="00F50ED7" w:rsidRPr="00F50ED7" w:rsidRDefault="00F50ED7" w:rsidP="000A2F95">
            <w:pPr>
              <w:spacing w:before="60"/>
              <w:rPr>
                <w:rFonts w:cs="Arial"/>
              </w:rPr>
            </w:pPr>
            <w:r w:rsidRPr="00F50ED7">
              <w:rPr>
                <w:rFonts w:cs="Arial"/>
              </w:rPr>
              <w:t>4.2 Mehrpreis für die grösseren Euro-Norm-Mulden (ca. 7,5 x 2,7 m), insgesamt drei Stück</w:t>
            </w:r>
          </w:p>
        </w:tc>
        <w:tc>
          <w:tcPr>
            <w:tcW w:w="0" w:type="auto"/>
            <w:shd w:val="clear" w:color="auto" w:fill="FFFFFF"/>
          </w:tcPr>
          <w:p w:rsidR="00F50ED7" w:rsidRPr="00F50ED7" w:rsidRDefault="00F50ED7" w:rsidP="000A2F95">
            <w:pPr>
              <w:spacing w:before="60"/>
              <w:jc w:val="right"/>
              <w:rPr>
                <w:rFonts w:cs="Arial"/>
              </w:rPr>
            </w:pPr>
            <w:r w:rsidRPr="00F50ED7">
              <w:rPr>
                <w:rFonts w:cs="Arial"/>
              </w:rPr>
              <w:t>17 000</w:t>
            </w:r>
          </w:p>
        </w:tc>
      </w:tr>
      <w:tr w:rsidR="00F50ED7" w:rsidRPr="00F50ED7" w:rsidTr="000A2F95">
        <w:trPr>
          <w:trHeight w:val="283"/>
        </w:trPr>
        <w:tc>
          <w:tcPr>
            <w:tcW w:w="0" w:type="auto"/>
            <w:shd w:val="clear" w:color="auto" w:fill="FFFFFF"/>
          </w:tcPr>
          <w:p w:rsidR="00F50ED7" w:rsidRPr="00F50ED7" w:rsidRDefault="00F50ED7" w:rsidP="000A2F95">
            <w:pPr>
              <w:spacing w:before="60"/>
              <w:rPr>
                <w:rFonts w:cs="Arial"/>
              </w:rPr>
            </w:pPr>
            <w:r w:rsidRPr="00F50ED7">
              <w:rPr>
                <w:rFonts w:cs="Arial"/>
              </w:rPr>
              <w:t>5. Einbauwaage</w:t>
            </w:r>
          </w:p>
          <w:p w:rsidR="00F50ED7" w:rsidRPr="00F50ED7" w:rsidRDefault="00F50ED7" w:rsidP="000A2F95">
            <w:pPr>
              <w:spacing w:before="60"/>
              <w:rPr>
                <w:rFonts w:cs="Arial"/>
              </w:rPr>
            </w:pPr>
            <w:r w:rsidRPr="00F50ED7">
              <w:rPr>
                <w:rFonts w:cs="Arial"/>
              </w:rPr>
              <w:t>Zusätzliche Software für die Einbauwaage</w:t>
            </w:r>
          </w:p>
        </w:tc>
        <w:tc>
          <w:tcPr>
            <w:tcW w:w="0" w:type="auto"/>
            <w:shd w:val="clear" w:color="auto" w:fill="FFFFFF"/>
          </w:tcPr>
          <w:p w:rsidR="00F50ED7" w:rsidRPr="00F50ED7" w:rsidRDefault="00F50ED7" w:rsidP="000A2F95">
            <w:pPr>
              <w:spacing w:before="60"/>
              <w:rPr>
                <w:rFonts w:cs="Arial"/>
                <w:szCs w:val="10"/>
              </w:rPr>
            </w:pPr>
          </w:p>
        </w:tc>
        <w:tc>
          <w:tcPr>
            <w:tcW w:w="0" w:type="auto"/>
            <w:tcBorders>
              <w:bottom w:val="single" w:sz="4" w:space="0" w:color="auto"/>
            </w:tcBorders>
            <w:shd w:val="clear" w:color="auto" w:fill="FFFFFF"/>
          </w:tcPr>
          <w:p w:rsidR="00F50ED7" w:rsidRPr="00F50ED7" w:rsidRDefault="00F50ED7" w:rsidP="000A2F95">
            <w:pPr>
              <w:spacing w:before="60"/>
              <w:jc w:val="right"/>
              <w:rPr>
                <w:rFonts w:cs="Arial"/>
              </w:rPr>
            </w:pPr>
            <w:r w:rsidRPr="00F50ED7">
              <w:rPr>
                <w:rFonts w:cs="Arial"/>
              </w:rPr>
              <w:t>5 000</w:t>
            </w:r>
          </w:p>
        </w:tc>
      </w:tr>
      <w:tr w:rsidR="00F50ED7" w:rsidRPr="00F50ED7" w:rsidTr="000A2F95">
        <w:trPr>
          <w:trHeight w:val="283"/>
        </w:trPr>
        <w:tc>
          <w:tcPr>
            <w:tcW w:w="0" w:type="auto"/>
            <w:shd w:val="clear" w:color="auto" w:fill="FFFFFF"/>
          </w:tcPr>
          <w:p w:rsidR="00F50ED7" w:rsidRPr="00F50ED7" w:rsidRDefault="00F50ED7" w:rsidP="000A2F95">
            <w:pPr>
              <w:spacing w:before="60"/>
              <w:rPr>
                <w:rFonts w:cs="Arial"/>
              </w:rPr>
            </w:pPr>
            <w:r w:rsidRPr="00F50ED7">
              <w:rPr>
                <w:rFonts w:cs="Arial"/>
              </w:rPr>
              <w:t>Mehraufwendungen (Projektanpassungen)</w:t>
            </w:r>
          </w:p>
        </w:tc>
        <w:tc>
          <w:tcPr>
            <w:tcW w:w="0" w:type="auto"/>
            <w:tcBorders>
              <w:top w:val="single" w:sz="4" w:space="0" w:color="auto"/>
            </w:tcBorders>
            <w:shd w:val="clear" w:color="auto" w:fill="FFFFFF"/>
          </w:tcPr>
          <w:p w:rsidR="00F50ED7" w:rsidRPr="00F50ED7" w:rsidRDefault="00F50ED7" w:rsidP="000A2F95">
            <w:pPr>
              <w:spacing w:before="60"/>
              <w:rPr>
                <w:rFonts w:cs="Arial"/>
                <w:szCs w:val="10"/>
              </w:rPr>
            </w:pPr>
          </w:p>
        </w:tc>
        <w:tc>
          <w:tcPr>
            <w:tcW w:w="0" w:type="auto"/>
            <w:tcBorders>
              <w:top w:val="single" w:sz="4" w:space="0" w:color="auto"/>
            </w:tcBorders>
            <w:shd w:val="clear" w:color="auto" w:fill="FFFFFF"/>
          </w:tcPr>
          <w:p w:rsidR="00F50ED7" w:rsidRPr="00F50ED7" w:rsidRDefault="00F50ED7" w:rsidP="000A2F95">
            <w:pPr>
              <w:spacing w:before="60"/>
              <w:jc w:val="right"/>
              <w:rPr>
                <w:rFonts w:cs="Arial"/>
              </w:rPr>
            </w:pPr>
            <w:r w:rsidRPr="00F50ED7">
              <w:rPr>
                <w:rFonts w:cs="Arial"/>
              </w:rPr>
              <w:t>65 000</w:t>
            </w:r>
          </w:p>
        </w:tc>
      </w:tr>
      <w:tr w:rsidR="00F50ED7" w:rsidRPr="00F50ED7" w:rsidTr="000A2F95">
        <w:trPr>
          <w:trHeight w:val="283"/>
        </w:trPr>
        <w:tc>
          <w:tcPr>
            <w:tcW w:w="0" w:type="auto"/>
            <w:gridSpan w:val="2"/>
            <w:shd w:val="clear" w:color="auto" w:fill="FFFFFF"/>
          </w:tcPr>
          <w:p w:rsidR="00F50ED7" w:rsidRPr="00F50ED7" w:rsidRDefault="00F50ED7" w:rsidP="000A2F95">
            <w:pPr>
              <w:spacing w:before="60"/>
              <w:rPr>
                <w:rFonts w:cs="Arial"/>
              </w:rPr>
            </w:pPr>
            <w:r w:rsidRPr="00F50ED7">
              <w:rPr>
                <w:rFonts w:cs="Arial"/>
              </w:rPr>
              <w:t>Nach Inbetriebnahme der gedeckten Sammelboxen zeigte es sich, dass die Tragböden für die zu lagernden Sonderabfälle zu schwach sind und den hohen Nutzlasten nicht standhalten. Die Unterkonstruktion muss daher verstärkt und der Abstand der Träger auf die Hälfte verringert werden; die darauf liegenden Roste selbst können jedoch wiederverwendet werden. Die Mehraufwendungen belaufen sich gemäss Kostenzusammenstellung vom 19. August 1993 der WAP Bauingenieure AG, Zürich, auf</w:t>
            </w:r>
          </w:p>
        </w:tc>
        <w:tc>
          <w:tcPr>
            <w:tcW w:w="0" w:type="auto"/>
            <w:tcBorders>
              <w:bottom w:val="single" w:sz="4" w:space="0" w:color="auto"/>
            </w:tcBorders>
            <w:shd w:val="clear" w:color="auto" w:fill="FFFFFF"/>
          </w:tcPr>
          <w:p w:rsidR="00F50ED7" w:rsidRPr="00F50ED7" w:rsidRDefault="00F50ED7" w:rsidP="000A2F95">
            <w:pPr>
              <w:spacing w:before="60"/>
              <w:jc w:val="right"/>
              <w:rPr>
                <w:rFonts w:cs="Arial"/>
              </w:rPr>
            </w:pPr>
            <w:r w:rsidRPr="00F50ED7">
              <w:rPr>
                <w:rFonts w:cs="Arial"/>
              </w:rPr>
              <w:t>90 000</w:t>
            </w:r>
          </w:p>
        </w:tc>
      </w:tr>
      <w:tr w:rsidR="00F50ED7" w:rsidRPr="00F50ED7" w:rsidTr="000A2F95">
        <w:trPr>
          <w:trHeight w:val="283"/>
        </w:trPr>
        <w:tc>
          <w:tcPr>
            <w:tcW w:w="0" w:type="auto"/>
            <w:shd w:val="clear" w:color="auto" w:fill="FFFFFF"/>
          </w:tcPr>
          <w:p w:rsidR="00F50ED7" w:rsidRPr="00F50ED7" w:rsidRDefault="00F50ED7" w:rsidP="000A2F95">
            <w:pPr>
              <w:spacing w:before="60"/>
              <w:rPr>
                <w:rFonts w:cs="Arial"/>
              </w:rPr>
            </w:pPr>
            <w:r w:rsidRPr="00F50ED7">
              <w:rPr>
                <w:rFonts w:cs="Arial"/>
              </w:rPr>
              <w:t>Total Mehraufwendungen</w:t>
            </w:r>
          </w:p>
        </w:tc>
        <w:tc>
          <w:tcPr>
            <w:tcW w:w="0" w:type="auto"/>
            <w:shd w:val="clear" w:color="auto" w:fill="FFFFFF"/>
          </w:tcPr>
          <w:p w:rsidR="00F50ED7" w:rsidRPr="00F50ED7" w:rsidRDefault="00F50ED7" w:rsidP="000A2F95">
            <w:pPr>
              <w:spacing w:before="60"/>
              <w:rPr>
                <w:rFonts w:cs="Arial"/>
                <w:szCs w:val="10"/>
              </w:rPr>
            </w:pPr>
          </w:p>
        </w:tc>
        <w:tc>
          <w:tcPr>
            <w:tcW w:w="0" w:type="auto"/>
            <w:tcBorders>
              <w:bottom w:val="single" w:sz="4" w:space="0" w:color="auto"/>
            </w:tcBorders>
            <w:shd w:val="clear" w:color="auto" w:fill="FFFFFF"/>
          </w:tcPr>
          <w:p w:rsidR="00F50ED7" w:rsidRPr="00F50ED7" w:rsidRDefault="00F50ED7" w:rsidP="000A2F95">
            <w:pPr>
              <w:spacing w:before="60"/>
              <w:jc w:val="right"/>
              <w:rPr>
                <w:rFonts w:cs="Arial"/>
              </w:rPr>
            </w:pPr>
            <w:r w:rsidRPr="00F50ED7">
              <w:rPr>
                <w:rFonts w:cs="Arial"/>
              </w:rPr>
              <w:t>155 000</w:t>
            </w:r>
          </w:p>
        </w:tc>
      </w:tr>
    </w:tbl>
    <w:p w:rsidR="00F50ED7" w:rsidRPr="00F50ED7" w:rsidRDefault="00F50ED7" w:rsidP="00F50ED7">
      <w:pPr>
        <w:spacing w:before="60"/>
        <w:rPr>
          <w:rFonts w:cs="Arial"/>
        </w:rPr>
      </w:pPr>
      <w:r w:rsidRPr="00F50ED7">
        <w:rPr>
          <w:rFonts w:cs="Arial"/>
        </w:rPr>
        <w:t>Die Mehrausgaben sind unvermeidlich; sie sind aber durchwegs zweckmässig, weshalb ihnen zugestimmt werden kann. Auf dem Konto 2616.01.5030, Erwerb und Erstellung von Liegenschaften; Sammelkonto, sind die Mehrausgaben von Fr. 155 000 nicht berücksichtigt. Die Volkswirtschaftsdirektion ist zu ermächtigen, Fr. 90000 (Verstärkung der Unterkonstruktion) mit der I. Serie der Nachtragskreditbegehren 1994 anzufordern und für Fr. 65 000 (Projektanpassungen) den Kredit zu überschreiten.</w:t>
      </w:r>
    </w:p>
    <w:p w:rsidR="00F50ED7" w:rsidRPr="00F50ED7" w:rsidRDefault="00F50ED7" w:rsidP="00F50ED7">
      <w:pPr>
        <w:pStyle w:val="00Vorgabetext"/>
        <w:rPr>
          <w:rFonts w:cs="Arial"/>
        </w:rPr>
      </w:pPr>
      <w:r w:rsidRPr="00F50ED7">
        <w:rPr>
          <w:rFonts w:cs="Arial"/>
        </w:rPr>
        <w:t>Der Investitionsplafond für das Jahr 1994 kann eingehalten werden, da auf dem Konto 2616.5028 entsprechende Einsparungen erzielt werden können.</w:t>
      </w:r>
      <w:r w:rsidRPr="00F50ED7">
        <w:rPr>
          <w:rFonts w:cs="Arial"/>
        </w:rPr>
        <w:t xml:space="preserve"> // [</w:t>
      </w:r>
      <w:r w:rsidRPr="00F50ED7">
        <w:rPr>
          <w:rFonts w:cs="Arial"/>
          <w:i/>
        </w:rPr>
        <w:t>p. 620</w:t>
      </w:r>
      <w:r w:rsidRPr="00F50ED7">
        <w:rPr>
          <w:rFonts w:cs="Arial"/>
        </w:rPr>
        <w:t>]</w:t>
      </w:r>
    </w:p>
    <w:p w:rsidR="00F50ED7" w:rsidRPr="00F50ED7" w:rsidRDefault="00F50ED7" w:rsidP="00F50ED7">
      <w:pPr>
        <w:spacing w:before="60"/>
        <w:rPr>
          <w:rFonts w:cs="Arial"/>
        </w:rPr>
      </w:pPr>
      <w:r w:rsidRPr="00F50ED7">
        <w:rPr>
          <w:rFonts w:cs="Arial"/>
        </w:rPr>
        <w:t>Auf Antrag der Direktionen der Volkswirtschaft und der öffentlichen Bauten</w:t>
      </w:r>
    </w:p>
    <w:p w:rsidR="00F50ED7" w:rsidRPr="00F50ED7" w:rsidRDefault="00F50ED7" w:rsidP="00F50ED7">
      <w:pPr>
        <w:spacing w:before="60"/>
        <w:jc w:val="center"/>
        <w:rPr>
          <w:rFonts w:cs="Arial"/>
        </w:rPr>
      </w:pPr>
      <w:r w:rsidRPr="00F50ED7">
        <w:rPr>
          <w:rFonts w:cs="Arial"/>
        </w:rPr>
        <w:t>beschliesst der Regierungsrat:</w:t>
      </w:r>
    </w:p>
    <w:p w:rsidR="00F50ED7" w:rsidRPr="00F50ED7" w:rsidRDefault="00F50ED7" w:rsidP="00F50ED7">
      <w:pPr>
        <w:tabs>
          <w:tab w:val="left" w:pos="491"/>
        </w:tabs>
        <w:spacing w:before="60"/>
        <w:rPr>
          <w:rFonts w:cs="Arial"/>
        </w:rPr>
      </w:pPr>
      <w:r w:rsidRPr="00F50ED7">
        <w:rPr>
          <w:rFonts w:cs="Arial"/>
        </w:rPr>
        <w:t>I. Für den Neubau einer kombinierten Sammelstelle im Werkhof des Flughafens wird der Objektkredit in teilweiser Änderung von RRB Nr. 27/1992 von Fr. 1 670000 um Fr. 155 000 auf Fr. 1 825 000 erhöht. Die Mehrkosten gehen zu Lasten des Kontos 2616.01.5030, Erwerb und Erstellung von Liegenschaften.</w:t>
      </w:r>
    </w:p>
    <w:p w:rsidR="00F50ED7" w:rsidRPr="00F50ED7" w:rsidRDefault="00F50ED7" w:rsidP="00F50ED7">
      <w:pPr>
        <w:tabs>
          <w:tab w:val="left" w:pos="519"/>
        </w:tabs>
        <w:spacing w:before="60"/>
        <w:rPr>
          <w:rFonts w:cs="Arial"/>
        </w:rPr>
      </w:pPr>
      <w:r w:rsidRPr="00F50ED7">
        <w:rPr>
          <w:rFonts w:cs="Arial"/>
        </w:rPr>
        <w:t>II. Die Volkswirtschaftsdirektion wird ermächtigt, mit der 1. Serie der Nachtragskreditbegehren 1994 zu Lasten des Kontos 2616.01.5030, Erwerb und Erstellung von Liegenschaften, einen Nachtragskredit von Fr. 90000 anzufordern und nach der Beschlussfassung durch den Kantonsrat darüber zu verfügen.</w:t>
      </w:r>
    </w:p>
    <w:p w:rsidR="00F50ED7" w:rsidRPr="00F50ED7" w:rsidRDefault="00F50ED7" w:rsidP="00F50ED7">
      <w:pPr>
        <w:tabs>
          <w:tab w:val="left" w:pos="606"/>
        </w:tabs>
        <w:spacing w:before="60"/>
        <w:rPr>
          <w:rFonts w:cs="Arial"/>
        </w:rPr>
      </w:pPr>
      <w:r w:rsidRPr="00F50ED7">
        <w:rPr>
          <w:rFonts w:cs="Arial"/>
        </w:rPr>
        <w:t>III. Die Volkswirtschaftsdirektion wird ermächtigt, auf Konto 2616.01.5030, Erwerb und Erstellung von Liegenschaften, den Kredit um höchstens Fr. 65 000 zu überschreiten.</w:t>
      </w:r>
    </w:p>
    <w:p w:rsidR="00F50ED7" w:rsidRPr="00F50ED7" w:rsidRDefault="00F50ED7" w:rsidP="00F50ED7">
      <w:pPr>
        <w:pStyle w:val="00Vorgabetext"/>
        <w:keepNext/>
        <w:keepLines/>
        <w:rPr>
          <w:rFonts w:cs="Arial"/>
        </w:rPr>
      </w:pPr>
      <w:r w:rsidRPr="00F50ED7">
        <w:rPr>
          <w:rFonts w:cs="Arial"/>
        </w:rPr>
        <w:t>IV. Mitteilung an die Direktionen der Finanzen, der Volkswirtschaft und der öffentlichen Bauten.</w:t>
      </w:r>
    </w:p>
    <w:p w:rsidR="00F50ED7" w:rsidRPr="00F50ED7" w:rsidRDefault="00F50ED7" w:rsidP="00F50ED7">
      <w:pPr>
        <w:pStyle w:val="00Vorgabetext"/>
        <w:keepNext/>
        <w:keepLines/>
        <w:rPr>
          <w:rFonts w:cs="Arial"/>
        </w:rPr>
      </w:pPr>
    </w:p>
    <w:p w:rsidR="00F50ED7" w:rsidRPr="00F50ED7" w:rsidRDefault="00F50ED7" w:rsidP="00F50ED7">
      <w:pPr>
        <w:pStyle w:val="00Vorgabetext"/>
        <w:keepNext/>
        <w:keepLines/>
        <w:rPr>
          <w:rFonts w:cs="Arial"/>
        </w:rPr>
      </w:pPr>
    </w:p>
    <w:p w:rsidR="00BE768B" w:rsidRPr="00F50ED7" w:rsidRDefault="00F50ED7" w:rsidP="00F50ED7">
      <w:pPr>
        <w:pStyle w:val="00Vorgabetext"/>
        <w:keepNext/>
        <w:keepLines/>
      </w:pPr>
      <w:r w:rsidRPr="00F50ED7">
        <w:rPr>
          <w:rFonts w:cs="Arial"/>
        </w:rPr>
        <w:t>[</w:t>
      </w:r>
      <w:r w:rsidRPr="00F50ED7">
        <w:rPr>
          <w:rFonts w:cs="Arial"/>
          <w:i/>
        </w:rPr>
        <w:t>Transkript: OCR (Überarbeitung: Team TKR)/14.09.2017</w:t>
      </w:r>
      <w:bookmarkStart w:id="1" w:name="_GoBack"/>
      <w:r w:rsidRPr="00F50ED7">
        <w:rPr>
          <w:rFonts w:cs="Arial"/>
        </w:rPr>
        <w:t xml:space="preserve">] </w:t>
      </w:r>
      <w:bookmarkEnd w:id="1"/>
    </w:p>
    <w:sectPr w:rsidR="00BE768B" w:rsidRPr="00F50ED7"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0ED7" w:rsidRDefault="00F50ED7">
      <w:r>
        <w:separator/>
      </w:r>
    </w:p>
    <w:p w:rsidR="00F50ED7" w:rsidRDefault="00F50ED7"/>
    <w:p w:rsidR="00F50ED7" w:rsidRDefault="00F50ED7"/>
  </w:endnote>
  <w:endnote w:type="continuationSeparator" w:id="0">
    <w:p w:rsidR="00F50ED7" w:rsidRDefault="00F50ED7">
      <w:r>
        <w:continuationSeparator/>
      </w:r>
    </w:p>
    <w:p w:rsidR="00F50ED7" w:rsidRDefault="00F50ED7"/>
    <w:p w:rsidR="00F50ED7" w:rsidRDefault="00F50E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0ED7" w:rsidRDefault="00F50ED7">
      <w:r>
        <w:separator/>
      </w:r>
    </w:p>
    <w:p w:rsidR="00F50ED7" w:rsidRDefault="00F50ED7"/>
    <w:p w:rsidR="00F50ED7" w:rsidRDefault="00F50ED7"/>
  </w:footnote>
  <w:footnote w:type="continuationSeparator" w:id="0">
    <w:p w:rsidR="00F50ED7" w:rsidRDefault="00F50ED7">
      <w:r>
        <w:continuationSeparator/>
      </w:r>
    </w:p>
    <w:p w:rsidR="00F50ED7" w:rsidRDefault="00F50ED7"/>
    <w:p w:rsidR="00F50ED7" w:rsidRDefault="00F50E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F50ED7">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F50ED7"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ED7"/>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0ED7"/>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DBE6BC4-E599-4292-8399-55B647D4B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F50E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41D38-731A-4F03-9B1F-B358F3C84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625</Words>
  <Characters>4020</Characters>
  <Application>Microsoft Office Word</Application>
  <DocSecurity>0</DocSecurity>
  <PresentationFormat/>
  <Lines>365</Lines>
  <Paragraphs>357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4288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Flughafen (Werkhof, kombinierte Sammelstelle)</dc:subject>
  <dc:creator>Staatsarchiv des Kantons Zürich</dc:creator>
  <cp:lastModifiedBy>Mirjam Stadler</cp:lastModifiedBy>
  <cp:revision>1</cp:revision>
  <cp:lastPrinted>2012-06-15T14:37:00Z</cp:lastPrinted>
  <dcterms:created xsi:type="dcterms:W3CDTF">2017-09-14T06:46:00Z</dcterms:created>
  <dcterms:modified xsi:type="dcterms:W3CDTF">2017-09-14T06:46:00Z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