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8F339C" w:rsidTr="00C80ABA">
        <w:trPr>
          <w:trHeight w:val="454"/>
        </w:trPr>
        <w:tc>
          <w:tcPr>
            <w:tcW w:w="1668" w:type="dxa"/>
          </w:tcPr>
          <w:p w:rsidR="00A43AE4" w:rsidRPr="008F339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F339C">
              <w:t>Signatur</w:t>
            </w:r>
          </w:p>
        </w:tc>
        <w:tc>
          <w:tcPr>
            <w:tcW w:w="6721" w:type="dxa"/>
          </w:tcPr>
          <w:p w:rsidR="00A43AE4" w:rsidRPr="008F339C" w:rsidRDefault="008F339C" w:rsidP="00931B1F">
            <w:pPr>
              <w:pStyle w:val="70SignaturX"/>
            </w:pPr>
            <w:r w:rsidRPr="008F339C">
              <w:t>StAZH MM 3.204 RRB 1994/1432</w:t>
            </w:r>
          </w:p>
        </w:tc>
      </w:tr>
      <w:tr w:rsidR="00A43AE4" w:rsidRPr="008F339C" w:rsidTr="00C80ABA">
        <w:trPr>
          <w:trHeight w:val="454"/>
        </w:trPr>
        <w:tc>
          <w:tcPr>
            <w:tcW w:w="1668" w:type="dxa"/>
          </w:tcPr>
          <w:p w:rsidR="00A43AE4" w:rsidRPr="008F339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F339C">
              <w:t>Titel</w:t>
            </w:r>
          </w:p>
        </w:tc>
        <w:tc>
          <w:tcPr>
            <w:tcW w:w="6721" w:type="dxa"/>
          </w:tcPr>
          <w:p w:rsidR="006C59EA" w:rsidRPr="008F339C" w:rsidRDefault="008F339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8F339C">
              <w:rPr>
                <w:rFonts w:ascii="Arial Black" w:hAnsi="Arial Black"/>
              </w:rPr>
              <w:t>Liegenschaften</w:t>
            </w:r>
          </w:p>
        </w:tc>
      </w:tr>
      <w:tr w:rsidR="00BC0931" w:rsidRPr="008F339C" w:rsidTr="00C80ABA">
        <w:trPr>
          <w:trHeight w:val="454"/>
        </w:trPr>
        <w:tc>
          <w:tcPr>
            <w:tcW w:w="1668" w:type="dxa"/>
          </w:tcPr>
          <w:p w:rsidR="00BC0931" w:rsidRPr="008F339C"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F339C">
              <w:t>Datum</w:t>
            </w:r>
          </w:p>
        </w:tc>
        <w:tc>
          <w:tcPr>
            <w:tcW w:w="6721" w:type="dxa"/>
          </w:tcPr>
          <w:p w:rsidR="00BC0931" w:rsidRPr="008F339C" w:rsidRDefault="008F339C" w:rsidP="00931B1F">
            <w:pPr>
              <w:pStyle w:val="71DatumX"/>
            </w:pPr>
            <w:r w:rsidRPr="008F339C">
              <w:t>25.05.1994</w:t>
            </w:r>
          </w:p>
        </w:tc>
      </w:tr>
      <w:tr w:rsidR="00A43AE4" w:rsidRPr="008F339C" w:rsidTr="00C80ABA">
        <w:trPr>
          <w:trHeight w:val="454"/>
        </w:trPr>
        <w:tc>
          <w:tcPr>
            <w:tcW w:w="1668" w:type="dxa"/>
          </w:tcPr>
          <w:p w:rsidR="00A43AE4" w:rsidRPr="008F339C"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F339C">
              <w:t>P.</w:t>
            </w:r>
          </w:p>
        </w:tc>
        <w:tc>
          <w:tcPr>
            <w:tcW w:w="6721" w:type="dxa"/>
          </w:tcPr>
          <w:p w:rsidR="00A43AE4" w:rsidRPr="008F339C" w:rsidRDefault="008F339C" w:rsidP="00931B1F">
            <w:pPr>
              <w:pStyle w:val="00Vorgabetext"/>
            </w:pPr>
            <w:r w:rsidRPr="008F339C">
              <w:t>654</w:t>
            </w:r>
          </w:p>
        </w:tc>
      </w:tr>
    </w:tbl>
    <w:p w:rsidR="00616641" w:rsidRPr="008F339C" w:rsidRDefault="00616641" w:rsidP="0077655B">
      <w:pPr>
        <w:pStyle w:val="00Vorgabetext"/>
        <w:spacing w:before="0" w:after="60"/>
      </w:pPr>
    </w:p>
    <w:p w:rsidR="008F339C" w:rsidRPr="008F339C" w:rsidRDefault="008F339C" w:rsidP="008F339C">
      <w:pPr>
        <w:spacing w:before="60"/>
        <w:rPr>
          <w:rFonts w:cs="Arial"/>
        </w:rPr>
      </w:pPr>
      <w:bookmarkStart w:id="0" w:name="ContentText"/>
      <w:bookmarkEnd w:id="0"/>
      <w:r w:rsidRPr="008F339C">
        <w:t>[</w:t>
      </w:r>
      <w:r w:rsidRPr="008F339C">
        <w:rPr>
          <w:i/>
        </w:rPr>
        <w:t>p. 654</w:t>
      </w:r>
      <w:r w:rsidRPr="008F339C">
        <w:t xml:space="preserve">] </w:t>
      </w:r>
      <w:r w:rsidRPr="008F339C">
        <w:rPr>
          <w:rFonts w:cs="Arial"/>
        </w:rPr>
        <w:t>Die Stadt Zürich hat das Mietverhältnis über Archiv- und Büroräume in der Fiskalliegenschaft Stampfenbachstrasse 63, Zürich, gekündigt. Die Büroräume im 1.-3. Obergeschoss und der Archivkeller im 2. Untergeschoss stehen ab 1. Juli 1994 für eine Neubelegung zur Verfügung. Es ist vorgesehen, darin die bisher in der Fremdliegenschaft Nüschelerstrasse 44 eingemietete Beamtenversicherungskasse (BVK) unterzubringen.</w:t>
      </w:r>
    </w:p>
    <w:p w:rsidR="008F339C" w:rsidRPr="008F339C" w:rsidRDefault="008F339C" w:rsidP="008F339C">
      <w:pPr>
        <w:spacing w:before="60"/>
        <w:rPr>
          <w:rFonts w:cs="Arial"/>
        </w:rPr>
      </w:pPr>
      <w:r w:rsidRPr="008F339C">
        <w:rPr>
          <w:rFonts w:cs="Arial"/>
        </w:rPr>
        <w:t>Das Mietangebot der Liegenschaftenverwaltung für den die BVK betreffenden Teil der Liegenschaft Stampfenbachstrasse 63 setzt sich wie folgt zusammen: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4191"/>
        <w:gridCol w:w="583"/>
        <w:gridCol w:w="710"/>
        <w:gridCol w:w="816"/>
      </w:tblGrid>
      <w:tr w:rsidR="008F339C" w:rsidRPr="008F339C" w:rsidTr="000A2F95">
        <w:trPr>
          <w:cantSplit/>
          <w:trHeight w:val="283"/>
        </w:trPr>
        <w:tc>
          <w:tcPr>
            <w:tcW w:w="0" w:type="auto"/>
            <w:shd w:val="clear" w:color="auto" w:fill="FFFFFF"/>
          </w:tcPr>
          <w:p w:rsidR="008F339C" w:rsidRPr="008F339C" w:rsidRDefault="008F339C" w:rsidP="000A2F95">
            <w:pPr>
              <w:spacing w:before="60"/>
              <w:rPr>
                <w:rFonts w:cs="Arial"/>
                <w:szCs w:val="10"/>
              </w:rPr>
            </w:pPr>
          </w:p>
        </w:tc>
        <w:tc>
          <w:tcPr>
            <w:tcW w:w="0" w:type="auto"/>
            <w:shd w:val="clear" w:color="auto" w:fill="FFFFFF"/>
          </w:tcPr>
          <w:p w:rsidR="008F339C" w:rsidRPr="008F339C" w:rsidRDefault="008F339C" w:rsidP="000A2F95">
            <w:pPr>
              <w:spacing w:before="60"/>
              <w:rPr>
                <w:rFonts w:cs="Arial"/>
                <w:szCs w:val="10"/>
              </w:rPr>
            </w:pPr>
          </w:p>
        </w:tc>
        <w:tc>
          <w:tcPr>
            <w:tcW w:w="0" w:type="auto"/>
            <w:shd w:val="clear" w:color="auto" w:fill="FFFFFF"/>
          </w:tcPr>
          <w:p w:rsidR="008F339C" w:rsidRPr="008F339C" w:rsidRDefault="008F339C" w:rsidP="000A2F95">
            <w:pPr>
              <w:spacing w:before="60"/>
              <w:jc w:val="right"/>
              <w:rPr>
                <w:rFonts w:cs="Arial"/>
                <w:szCs w:val="10"/>
              </w:rPr>
            </w:pPr>
          </w:p>
        </w:tc>
        <w:tc>
          <w:tcPr>
            <w:tcW w:w="0" w:type="auto"/>
            <w:shd w:val="clear" w:color="auto" w:fill="FFFFFF"/>
          </w:tcPr>
          <w:p w:rsidR="008F339C" w:rsidRPr="008F339C" w:rsidRDefault="008F339C" w:rsidP="000A2F95">
            <w:pPr>
              <w:spacing w:before="60"/>
              <w:jc w:val="right"/>
              <w:rPr>
                <w:rFonts w:cs="Arial"/>
              </w:rPr>
            </w:pPr>
            <w:r w:rsidRPr="008F339C">
              <w:rPr>
                <w:rFonts w:cs="Arial"/>
              </w:rPr>
              <w:t>Fr.</w:t>
            </w:r>
          </w:p>
        </w:tc>
      </w:tr>
      <w:tr w:rsidR="008F339C" w:rsidRPr="008F339C" w:rsidTr="000A2F95">
        <w:trPr>
          <w:cantSplit/>
          <w:trHeight w:val="283"/>
        </w:trPr>
        <w:tc>
          <w:tcPr>
            <w:tcW w:w="0" w:type="auto"/>
            <w:shd w:val="clear" w:color="auto" w:fill="FFFFFF"/>
          </w:tcPr>
          <w:p w:rsidR="008F339C" w:rsidRPr="008F339C" w:rsidRDefault="008F339C" w:rsidP="000A2F95">
            <w:pPr>
              <w:spacing w:before="60"/>
              <w:rPr>
                <w:rFonts w:cs="Arial"/>
              </w:rPr>
            </w:pPr>
            <w:r w:rsidRPr="008F339C">
              <w:rPr>
                <w:rFonts w:cs="Arial"/>
              </w:rPr>
              <w:t>15 m</w:t>
            </w:r>
            <w:r w:rsidRPr="008F339C">
              <w:rPr>
                <w:rFonts w:cs="Arial"/>
                <w:vertAlign w:val="superscript"/>
              </w:rPr>
              <w:t>2</w:t>
            </w:r>
            <w:r w:rsidRPr="008F339C">
              <w:rPr>
                <w:rFonts w:cs="Arial"/>
              </w:rPr>
              <w:t xml:space="preserve"> Kommunikationszentrale im 2. UG</w:t>
            </w:r>
          </w:p>
        </w:tc>
        <w:tc>
          <w:tcPr>
            <w:tcW w:w="0" w:type="auto"/>
            <w:shd w:val="clear" w:color="auto" w:fill="FFFFFF"/>
          </w:tcPr>
          <w:p w:rsidR="008F339C" w:rsidRPr="008F339C" w:rsidRDefault="008F339C" w:rsidP="000A2F95">
            <w:pPr>
              <w:spacing w:before="60"/>
              <w:rPr>
                <w:rFonts w:cs="Arial"/>
              </w:rPr>
            </w:pPr>
            <w:r w:rsidRPr="008F339C">
              <w:rPr>
                <w:rFonts w:cs="Arial"/>
              </w:rPr>
              <w:t>zu Fr.</w:t>
            </w:r>
          </w:p>
        </w:tc>
        <w:tc>
          <w:tcPr>
            <w:tcW w:w="0" w:type="auto"/>
            <w:shd w:val="clear" w:color="auto" w:fill="FFFFFF"/>
          </w:tcPr>
          <w:p w:rsidR="008F339C" w:rsidRPr="008F339C" w:rsidRDefault="008F339C" w:rsidP="000A2F95">
            <w:pPr>
              <w:spacing w:before="60"/>
              <w:jc w:val="right"/>
              <w:rPr>
                <w:rFonts w:cs="Arial"/>
              </w:rPr>
            </w:pPr>
            <w:r w:rsidRPr="008F339C">
              <w:rPr>
                <w:rFonts w:cs="Arial"/>
              </w:rPr>
              <w:t>50/m</w:t>
            </w:r>
            <w:r w:rsidRPr="008F339C">
              <w:rPr>
                <w:rFonts w:cs="Arial"/>
                <w:vertAlign w:val="superscript"/>
              </w:rPr>
              <w:t>2</w:t>
            </w:r>
          </w:p>
        </w:tc>
        <w:tc>
          <w:tcPr>
            <w:tcW w:w="0" w:type="auto"/>
            <w:shd w:val="clear" w:color="auto" w:fill="FFFFFF"/>
          </w:tcPr>
          <w:p w:rsidR="008F339C" w:rsidRPr="008F339C" w:rsidRDefault="008F339C" w:rsidP="000A2F95">
            <w:pPr>
              <w:spacing w:before="60"/>
              <w:jc w:val="right"/>
              <w:rPr>
                <w:rFonts w:cs="Arial"/>
              </w:rPr>
            </w:pPr>
            <w:r w:rsidRPr="008F339C">
              <w:rPr>
                <w:rFonts w:cs="Arial"/>
              </w:rPr>
              <w:t>750</w:t>
            </w:r>
          </w:p>
        </w:tc>
      </w:tr>
      <w:tr w:rsidR="008F339C" w:rsidRPr="008F339C" w:rsidTr="000A2F95">
        <w:trPr>
          <w:cantSplit/>
          <w:trHeight w:val="283"/>
        </w:trPr>
        <w:tc>
          <w:tcPr>
            <w:tcW w:w="0" w:type="auto"/>
            <w:shd w:val="clear" w:color="auto" w:fill="FFFFFF"/>
          </w:tcPr>
          <w:p w:rsidR="008F339C" w:rsidRPr="008F339C" w:rsidRDefault="008F339C" w:rsidP="000A2F95">
            <w:pPr>
              <w:spacing w:before="60"/>
              <w:rPr>
                <w:rFonts w:cs="Arial"/>
              </w:rPr>
            </w:pPr>
            <w:r w:rsidRPr="008F339C">
              <w:rPr>
                <w:rFonts w:cs="Arial"/>
              </w:rPr>
              <w:t>110 m</w:t>
            </w:r>
            <w:r w:rsidRPr="008F339C">
              <w:rPr>
                <w:rFonts w:cs="Arial"/>
                <w:vertAlign w:val="superscript"/>
              </w:rPr>
              <w:t>2</w:t>
            </w:r>
            <w:r w:rsidRPr="008F339C">
              <w:rPr>
                <w:rFonts w:cs="Arial"/>
              </w:rPr>
              <w:t xml:space="preserve"> Archiv im 1. UG</w:t>
            </w:r>
          </w:p>
        </w:tc>
        <w:tc>
          <w:tcPr>
            <w:tcW w:w="0" w:type="auto"/>
            <w:shd w:val="clear" w:color="auto" w:fill="FFFFFF"/>
          </w:tcPr>
          <w:p w:rsidR="008F339C" w:rsidRPr="008F339C" w:rsidRDefault="008F339C" w:rsidP="000A2F95">
            <w:pPr>
              <w:spacing w:before="60"/>
              <w:rPr>
                <w:rFonts w:cs="Arial"/>
              </w:rPr>
            </w:pPr>
            <w:r w:rsidRPr="008F339C">
              <w:rPr>
                <w:rFonts w:cs="Arial"/>
              </w:rPr>
              <w:t>zu Fr.</w:t>
            </w:r>
          </w:p>
        </w:tc>
        <w:tc>
          <w:tcPr>
            <w:tcW w:w="0" w:type="auto"/>
            <w:shd w:val="clear" w:color="auto" w:fill="FFFFFF"/>
          </w:tcPr>
          <w:p w:rsidR="008F339C" w:rsidRPr="008F339C" w:rsidRDefault="008F339C" w:rsidP="000A2F95">
            <w:pPr>
              <w:spacing w:before="60"/>
              <w:jc w:val="right"/>
              <w:rPr>
                <w:rFonts w:cs="Arial"/>
              </w:rPr>
            </w:pPr>
            <w:r w:rsidRPr="008F339C">
              <w:rPr>
                <w:rFonts w:cs="Arial"/>
              </w:rPr>
              <w:t>100/m</w:t>
            </w:r>
            <w:r w:rsidRPr="008F339C">
              <w:rPr>
                <w:rFonts w:cs="Arial"/>
                <w:vertAlign w:val="superscript"/>
              </w:rPr>
              <w:t>2</w:t>
            </w:r>
          </w:p>
        </w:tc>
        <w:tc>
          <w:tcPr>
            <w:tcW w:w="0" w:type="auto"/>
            <w:shd w:val="clear" w:color="auto" w:fill="FFFFFF"/>
          </w:tcPr>
          <w:p w:rsidR="008F339C" w:rsidRPr="008F339C" w:rsidRDefault="008F339C" w:rsidP="000A2F95">
            <w:pPr>
              <w:spacing w:before="60"/>
              <w:jc w:val="right"/>
              <w:rPr>
                <w:rFonts w:cs="Arial"/>
              </w:rPr>
            </w:pPr>
            <w:r w:rsidRPr="008F339C">
              <w:rPr>
                <w:rFonts w:cs="Arial"/>
              </w:rPr>
              <w:t>11 100</w:t>
            </w:r>
          </w:p>
        </w:tc>
      </w:tr>
      <w:tr w:rsidR="008F339C" w:rsidRPr="008F339C" w:rsidTr="000A2F95">
        <w:trPr>
          <w:cantSplit/>
          <w:trHeight w:val="45"/>
        </w:trPr>
        <w:tc>
          <w:tcPr>
            <w:tcW w:w="0" w:type="auto"/>
            <w:shd w:val="clear" w:color="auto" w:fill="FFFFFF"/>
          </w:tcPr>
          <w:p w:rsidR="008F339C" w:rsidRPr="008F339C" w:rsidRDefault="008F339C" w:rsidP="000A2F95">
            <w:pPr>
              <w:spacing w:before="60"/>
              <w:rPr>
                <w:rFonts w:cs="Arial"/>
              </w:rPr>
            </w:pPr>
            <w:r w:rsidRPr="008F339C">
              <w:rPr>
                <w:rFonts w:cs="Arial"/>
              </w:rPr>
              <w:t>803 m</w:t>
            </w:r>
            <w:r w:rsidRPr="008F339C">
              <w:rPr>
                <w:rFonts w:cs="Arial"/>
                <w:vertAlign w:val="superscript"/>
              </w:rPr>
              <w:t>2</w:t>
            </w:r>
            <w:r w:rsidRPr="008F339C">
              <w:rPr>
                <w:rFonts w:cs="Arial"/>
              </w:rPr>
              <w:t xml:space="preserve"> Büroraum im 1., 2. und 3. OG</w:t>
            </w:r>
          </w:p>
        </w:tc>
        <w:tc>
          <w:tcPr>
            <w:tcW w:w="0" w:type="auto"/>
            <w:shd w:val="clear" w:color="auto" w:fill="FFFFFF"/>
          </w:tcPr>
          <w:p w:rsidR="008F339C" w:rsidRPr="008F339C" w:rsidRDefault="008F339C" w:rsidP="000A2F95">
            <w:pPr>
              <w:spacing w:before="60"/>
              <w:rPr>
                <w:rFonts w:cs="Arial"/>
              </w:rPr>
            </w:pPr>
            <w:r w:rsidRPr="008F339C">
              <w:rPr>
                <w:rFonts w:cs="Arial"/>
              </w:rPr>
              <w:t>zu Fr.</w:t>
            </w:r>
          </w:p>
        </w:tc>
        <w:tc>
          <w:tcPr>
            <w:tcW w:w="0" w:type="auto"/>
            <w:shd w:val="clear" w:color="auto" w:fill="FFFFFF"/>
            <w:vAlign w:val="bottom"/>
          </w:tcPr>
          <w:p w:rsidR="008F339C" w:rsidRPr="008F339C" w:rsidRDefault="008F339C" w:rsidP="000A2F95">
            <w:pPr>
              <w:spacing w:before="60"/>
              <w:jc w:val="right"/>
              <w:rPr>
                <w:rFonts w:cs="Arial"/>
              </w:rPr>
            </w:pPr>
            <w:r w:rsidRPr="008F339C">
              <w:rPr>
                <w:rFonts w:cs="Arial"/>
              </w:rPr>
              <w:t>320 m</w:t>
            </w:r>
            <w:r w:rsidRPr="008F339C">
              <w:rPr>
                <w:rFonts w:cs="Arial"/>
                <w:vertAlign w:val="superscript"/>
              </w:rPr>
              <w:t>2</w:t>
            </w:r>
          </w:p>
        </w:tc>
        <w:tc>
          <w:tcPr>
            <w:tcW w:w="0" w:type="auto"/>
            <w:shd w:val="clear" w:color="auto" w:fill="FFFFFF"/>
          </w:tcPr>
          <w:p w:rsidR="008F339C" w:rsidRPr="008F339C" w:rsidRDefault="008F339C" w:rsidP="000A2F95">
            <w:pPr>
              <w:spacing w:before="60"/>
              <w:jc w:val="right"/>
              <w:rPr>
                <w:rFonts w:cs="Arial"/>
              </w:rPr>
            </w:pPr>
            <w:r w:rsidRPr="008F339C">
              <w:rPr>
                <w:rFonts w:cs="Arial"/>
              </w:rPr>
              <w:t>256 960</w:t>
            </w:r>
          </w:p>
        </w:tc>
      </w:tr>
      <w:tr w:rsidR="008F339C" w:rsidRPr="008F339C" w:rsidTr="000A2F95">
        <w:trPr>
          <w:cantSplit/>
          <w:trHeight w:val="283"/>
        </w:trPr>
        <w:tc>
          <w:tcPr>
            <w:tcW w:w="0" w:type="auto"/>
            <w:shd w:val="clear" w:color="auto" w:fill="FFFFFF"/>
          </w:tcPr>
          <w:p w:rsidR="008F339C" w:rsidRPr="008F339C" w:rsidRDefault="008F339C" w:rsidP="000A2F95">
            <w:pPr>
              <w:spacing w:before="60"/>
              <w:rPr>
                <w:rFonts w:cs="Arial"/>
              </w:rPr>
            </w:pPr>
            <w:r w:rsidRPr="008F339C">
              <w:rPr>
                <w:rFonts w:cs="Arial"/>
              </w:rPr>
              <w:t>160 m</w:t>
            </w:r>
            <w:r w:rsidRPr="008F339C">
              <w:rPr>
                <w:rFonts w:cs="Arial"/>
                <w:vertAlign w:val="superscript"/>
              </w:rPr>
              <w:t>2</w:t>
            </w:r>
            <w:r w:rsidRPr="008F339C">
              <w:rPr>
                <w:rFonts w:cs="Arial"/>
              </w:rPr>
              <w:t xml:space="preserve"> Mehrzweckraum im 6. OG*</w:t>
            </w:r>
          </w:p>
        </w:tc>
        <w:tc>
          <w:tcPr>
            <w:tcW w:w="0" w:type="auto"/>
            <w:shd w:val="clear" w:color="auto" w:fill="FFFFFF"/>
          </w:tcPr>
          <w:p w:rsidR="008F339C" w:rsidRPr="008F339C" w:rsidRDefault="008F339C" w:rsidP="000A2F95">
            <w:pPr>
              <w:spacing w:before="60"/>
              <w:rPr>
                <w:rFonts w:cs="Arial"/>
              </w:rPr>
            </w:pPr>
            <w:r w:rsidRPr="008F339C">
              <w:rPr>
                <w:rFonts w:cs="Arial"/>
              </w:rPr>
              <w:t>zu Fr.</w:t>
            </w:r>
          </w:p>
        </w:tc>
        <w:tc>
          <w:tcPr>
            <w:tcW w:w="0" w:type="auto"/>
            <w:shd w:val="clear" w:color="auto" w:fill="FFFFFF"/>
          </w:tcPr>
          <w:p w:rsidR="008F339C" w:rsidRPr="008F339C" w:rsidRDefault="008F339C" w:rsidP="000A2F95">
            <w:pPr>
              <w:spacing w:before="60"/>
              <w:jc w:val="right"/>
              <w:rPr>
                <w:rFonts w:cs="Arial"/>
              </w:rPr>
            </w:pPr>
            <w:r w:rsidRPr="008F339C">
              <w:rPr>
                <w:rFonts w:cs="Arial"/>
              </w:rPr>
              <w:t>120/m</w:t>
            </w:r>
            <w:r w:rsidRPr="008F339C">
              <w:rPr>
                <w:rFonts w:cs="Arial"/>
                <w:vertAlign w:val="superscript"/>
              </w:rPr>
              <w:t>2</w:t>
            </w:r>
          </w:p>
        </w:tc>
        <w:tc>
          <w:tcPr>
            <w:tcW w:w="0" w:type="auto"/>
            <w:shd w:val="clear" w:color="auto" w:fill="FFFFFF"/>
          </w:tcPr>
          <w:p w:rsidR="008F339C" w:rsidRPr="008F339C" w:rsidRDefault="008F339C" w:rsidP="000A2F95">
            <w:pPr>
              <w:spacing w:before="60"/>
              <w:jc w:val="right"/>
              <w:rPr>
                <w:rFonts w:cs="Arial"/>
              </w:rPr>
            </w:pPr>
            <w:r w:rsidRPr="008F339C">
              <w:rPr>
                <w:rFonts w:cs="Arial"/>
              </w:rPr>
              <w:t>19 200</w:t>
            </w:r>
          </w:p>
        </w:tc>
      </w:tr>
      <w:tr w:rsidR="008F339C" w:rsidRPr="008F339C" w:rsidTr="000A2F95">
        <w:trPr>
          <w:cantSplit/>
          <w:trHeight w:val="283"/>
        </w:trPr>
        <w:tc>
          <w:tcPr>
            <w:tcW w:w="0" w:type="auto"/>
            <w:shd w:val="clear" w:color="auto" w:fill="FFFFFF"/>
          </w:tcPr>
          <w:p w:rsidR="008F339C" w:rsidRPr="008F339C" w:rsidRDefault="008F339C" w:rsidP="000A2F95">
            <w:pPr>
              <w:spacing w:before="60"/>
              <w:rPr>
                <w:rFonts w:cs="Arial"/>
                <w:szCs w:val="10"/>
              </w:rPr>
            </w:pPr>
          </w:p>
        </w:tc>
        <w:tc>
          <w:tcPr>
            <w:tcW w:w="0" w:type="auto"/>
            <w:gridSpan w:val="2"/>
            <w:shd w:val="clear" w:color="auto" w:fill="FFFFFF"/>
          </w:tcPr>
          <w:p w:rsidR="008F339C" w:rsidRPr="008F339C" w:rsidRDefault="008F339C" w:rsidP="000A2F95">
            <w:pPr>
              <w:spacing w:before="60"/>
              <w:rPr>
                <w:rFonts w:cs="Arial"/>
              </w:rPr>
            </w:pPr>
            <w:r w:rsidRPr="008F339C">
              <w:rPr>
                <w:rFonts w:cs="Arial"/>
              </w:rPr>
              <w:t>Rundung</w:t>
            </w:r>
          </w:p>
        </w:tc>
        <w:tc>
          <w:tcPr>
            <w:tcW w:w="0" w:type="auto"/>
            <w:tcBorders>
              <w:bottom w:val="single" w:sz="4" w:space="0" w:color="auto"/>
            </w:tcBorders>
            <w:shd w:val="clear" w:color="auto" w:fill="FFFFFF"/>
          </w:tcPr>
          <w:p w:rsidR="008F339C" w:rsidRPr="008F339C" w:rsidRDefault="008F339C" w:rsidP="000A2F95">
            <w:pPr>
              <w:spacing w:before="60"/>
              <w:jc w:val="right"/>
              <w:rPr>
                <w:rFonts w:cs="Arial"/>
              </w:rPr>
            </w:pPr>
            <w:r w:rsidRPr="008F339C">
              <w:rPr>
                <w:rFonts w:cs="Arial"/>
              </w:rPr>
              <w:t>2</w:t>
            </w:r>
          </w:p>
        </w:tc>
      </w:tr>
      <w:tr w:rsidR="008F339C" w:rsidRPr="008F339C" w:rsidTr="000A2F95">
        <w:trPr>
          <w:cantSplit/>
          <w:trHeight w:val="283"/>
        </w:trPr>
        <w:tc>
          <w:tcPr>
            <w:tcW w:w="0" w:type="auto"/>
            <w:shd w:val="clear" w:color="auto" w:fill="FFFFFF"/>
          </w:tcPr>
          <w:p w:rsidR="008F339C" w:rsidRPr="008F339C" w:rsidRDefault="008F339C" w:rsidP="000A2F95">
            <w:pPr>
              <w:spacing w:before="60"/>
              <w:rPr>
                <w:rFonts w:cs="Arial"/>
              </w:rPr>
            </w:pPr>
            <w:r w:rsidRPr="008F339C">
              <w:rPr>
                <w:rFonts w:cs="Arial"/>
              </w:rPr>
              <w:t>Mietzins netto pro Jahr ab 1. Oktober 1994</w:t>
            </w:r>
          </w:p>
        </w:tc>
        <w:tc>
          <w:tcPr>
            <w:tcW w:w="0" w:type="auto"/>
            <w:gridSpan w:val="2"/>
            <w:shd w:val="clear" w:color="auto" w:fill="FFFFFF"/>
          </w:tcPr>
          <w:p w:rsidR="008F339C" w:rsidRPr="008F339C" w:rsidRDefault="008F339C" w:rsidP="000A2F95">
            <w:pPr>
              <w:spacing w:before="60"/>
              <w:rPr>
                <w:rFonts w:cs="Arial"/>
                <w:szCs w:val="10"/>
              </w:rPr>
            </w:pPr>
          </w:p>
        </w:tc>
        <w:tc>
          <w:tcPr>
            <w:tcW w:w="0" w:type="auto"/>
            <w:tcBorders>
              <w:bottom w:val="single" w:sz="4" w:space="0" w:color="auto"/>
            </w:tcBorders>
            <w:shd w:val="clear" w:color="auto" w:fill="FFFFFF"/>
          </w:tcPr>
          <w:p w:rsidR="008F339C" w:rsidRPr="008F339C" w:rsidRDefault="008F339C" w:rsidP="000A2F95">
            <w:pPr>
              <w:spacing w:before="60"/>
              <w:jc w:val="right"/>
              <w:rPr>
                <w:rFonts w:cs="Arial"/>
              </w:rPr>
            </w:pPr>
            <w:r w:rsidRPr="008F339C">
              <w:rPr>
                <w:rFonts w:cs="Arial"/>
              </w:rPr>
              <w:t>288 012</w:t>
            </w:r>
          </w:p>
        </w:tc>
      </w:tr>
    </w:tbl>
    <w:p w:rsidR="008F339C" w:rsidRPr="008F339C" w:rsidRDefault="008F339C" w:rsidP="00BE768B">
      <w:pPr>
        <w:pStyle w:val="00Vorgabetext"/>
        <w:rPr>
          <w:rFonts w:cs="Arial"/>
        </w:rPr>
      </w:pPr>
      <w:r w:rsidRPr="008F339C">
        <w:rPr>
          <w:rFonts w:cs="Arial"/>
        </w:rPr>
        <w:t>* Seminar-, Sitzungs- und Aufenthaltsraum, welcher von der Universität und vom Amt für Informatikdienste mitbenützt wird.</w:t>
      </w:r>
    </w:p>
    <w:p w:rsidR="008F339C" w:rsidRPr="008F339C" w:rsidRDefault="008F339C" w:rsidP="008F339C">
      <w:pPr>
        <w:tabs>
          <w:tab w:val="left" w:pos="5174"/>
        </w:tabs>
        <w:spacing w:before="60"/>
        <w:rPr>
          <w:rFonts w:cs="Arial"/>
        </w:rPr>
      </w:pPr>
      <w:r w:rsidRPr="008F339C">
        <w:rPr>
          <w:rFonts w:cs="Arial"/>
        </w:rPr>
        <w:t>Nebenkosten pro Jahr (Heiz- und Betriebskosten) Fr. 13 680</w:t>
      </w:r>
    </w:p>
    <w:p w:rsidR="008F339C" w:rsidRPr="008F339C" w:rsidRDefault="008F339C" w:rsidP="008F339C">
      <w:pPr>
        <w:spacing w:before="60"/>
        <w:rPr>
          <w:rFonts w:cs="Arial"/>
        </w:rPr>
      </w:pPr>
      <w:r w:rsidRPr="008F339C">
        <w:rPr>
          <w:rFonts w:cs="Arial"/>
        </w:rPr>
        <w:t>Im Hinblick auf die Verlegung der BVK wurde die Fremdmiete an der Nüschelerstrasse 44 mit einem jährlichen Nettomietzins von Fr. 382 163.60 per 30. September 1994 gekündigt. Die Mietzinseinsparung beträgt somit Fr. 94 151.60/Jahr.</w:t>
      </w:r>
    </w:p>
    <w:p w:rsidR="008F339C" w:rsidRPr="008F339C" w:rsidRDefault="008F339C" w:rsidP="008F339C">
      <w:pPr>
        <w:spacing w:before="60"/>
        <w:rPr>
          <w:rFonts w:cs="Arial"/>
        </w:rPr>
      </w:pPr>
      <w:r w:rsidRPr="008F339C">
        <w:rPr>
          <w:rFonts w:cs="Arial"/>
        </w:rPr>
        <w:t>Das im Auftrag des Hochbauamtes vom Architekturbüro H. P. und R. Merkli, Zürich, in Zusammenarbeit mit der Oerlikon-Bührle Immobilien AG, Zürich, ausgearbeitete Bauprojekt für den mieterseitigen Ausbau der BVK und gleichzeitig notwendige Gebäudesanierungsmassnahmen sieht einschliesslich Fr. 90000 für Unvorhergesehenes Gesamtaufwendungen von insgesamt Fr. 3 900000 vor. In diesen Kosten enthalten sind die Erneuerung der Elektroinstallationen gemäss den geltenden Vorschriften, die Installation eines durchgehenden Brüstungskanals und neuer Leuchten, Telefoninstallationen, Trennwände, Boden- und Deckenbeläge, die Erneuerung der Malerarbeiten und der Toilettenanlagen, der Ersatz der beiden alten Lifte durch einen behindertengerechten Lift, die Sanierung des Treppenhauses, der Vordächer, der Fassaden, des Terrassenbelags sowie im Lichthof neue Fenster einschliesslich wärmetechnischer Massnahmen. Diese Kosten setzen sich wie folgt zusammen: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3555"/>
        <w:gridCol w:w="999"/>
        <w:gridCol w:w="2014"/>
        <w:gridCol w:w="1353"/>
      </w:tblGrid>
      <w:tr w:rsidR="008F339C" w:rsidRPr="008F339C" w:rsidTr="000A2F95">
        <w:trPr>
          <w:trHeight w:val="283"/>
        </w:trPr>
        <w:tc>
          <w:tcPr>
            <w:tcW w:w="0" w:type="auto"/>
            <w:shd w:val="clear" w:color="auto" w:fill="FFFFFF"/>
          </w:tcPr>
          <w:p w:rsidR="008F339C" w:rsidRPr="008F339C" w:rsidRDefault="008F339C" w:rsidP="000A2F95">
            <w:pPr>
              <w:spacing w:before="60"/>
              <w:rPr>
                <w:rFonts w:cs="Arial"/>
                <w:szCs w:val="10"/>
              </w:rPr>
            </w:pPr>
          </w:p>
        </w:tc>
        <w:tc>
          <w:tcPr>
            <w:tcW w:w="0" w:type="auto"/>
            <w:shd w:val="clear" w:color="auto" w:fill="FFFFFF"/>
          </w:tcPr>
          <w:p w:rsidR="008F339C" w:rsidRPr="008F339C" w:rsidRDefault="008F339C" w:rsidP="000A2F95">
            <w:pPr>
              <w:spacing w:before="60"/>
              <w:jc w:val="right"/>
              <w:rPr>
                <w:rFonts w:cs="Arial"/>
              </w:rPr>
            </w:pPr>
            <w:r w:rsidRPr="008F339C">
              <w:rPr>
                <w:rFonts w:cs="Arial"/>
              </w:rPr>
              <w:t>Total</w:t>
            </w:r>
          </w:p>
          <w:p w:rsidR="008F339C" w:rsidRPr="008F339C" w:rsidRDefault="008F339C" w:rsidP="000A2F95">
            <w:pPr>
              <w:spacing w:before="60"/>
              <w:jc w:val="right"/>
              <w:rPr>
                <w:rFonts w:cs="Arial"/>
              </w:rPr>
            </w:pPr>
            <w:r w:rsidRPr="008F339C">
              <w:rPr>
                <w:rFonts w:cs="Arial"/>
              </w:rPr>
              <w:t>Fr.</w:t>
            </w:r>
          </w:p>
        </w:tc>
        <w:tc>
          <w:tcPr>
            <w:tcW w:w="0" w:type="auto"/>
            <w:shd w:val="clear" w:color="auto" w:fill="FFFFFF"/>
          </w:tcPr>
          <w:p w:rsidR="008F339C" w:rsidRPr="008F339C" w:rsidRDefault="008F339C" w:rsidP="000A2F95">
            <w:pPr>
              <w:spacing w:before="60"/>
              <w:jc w:val="right"/>
              <w:rPr>
                <w:rFonts w:cs="Arial"/>
              </w:rPr>
            </w:pPr>
            <w:r w:rsidRPr="008F339C">
              <w:rPr>
                <w:rFonts w:cs="Arial"/>
              </w:rPr>
              <w:t>davon Grundausbau</w:t>
            </w:r>
          </w:p>
          <w:p w:rsidR="008F339C" w:rsidRPr="008F339C" w:rsidRDefault="008F339C" w:rsidP="000A2F95">
            <w:pPr>
              <w:spacing w:before="60"/>
              <w:jc w:val="right"/>
              <w:rPr>
                <w:rFonts w:cs="Arial"/>
              </w:rPr>
            </w:pPr>
            <w:r w:rsidRPr="008F339C">
              <w:rPr>
                <w:rFonts w:cs="Arial"/>
              </w:rPr>
              <w:t>Fr.</w:t>
            </w:r>
          </w:p>
        </w:tc>
        <w:tc>
          <w:tcPr>
            <w:tcW w:w="0" w:type="auto"/>
            <w:shd w:val="clear" w:color="auto" w:fill="FFFFFF"/>
          </w:tcPr>
          <w:p w:rsidR="008F339C" w:rsidRPr="008F339C" w:rsidRDefault="008F339C" w:rsidP="000A2F95">
            <w:pPr>
              <w:spacing w:before="60"/>
              <w:jc w:val="right"/>
              <w:rPr>
                <w:rFonts w:cs="Arial"/>
              </w:rPr>
            </w:pPr>
            <w:r w:rsidRPr="008F339C">
              <w:rPr>
                <w:rFonts w:cs="Arial"/>
              </w:rPr>
              <w:t>Mieterausbau</w:t>
            </w:r>
          </w:p>
          <w:p w:rsidR="008F339C" w:rsidRPr="008F339C" w:rsidRDefault="008F339C" w:rsidP="000A2F95">
            <w:pPr>
              <w:spacing w:before="60"/>
              <w:jc w:val="right"/>
              <w:rPr>
                <w:rFonts w:cs="Arial"/>
              </w:rPr>
            </w:pPr>
            <w:r w:rsidRPr="008F339C">
              <w:rPr>
                <w:rFonts w:cs="Arial"/>
              </w:rPr>
              <w:t>Fr.</w:t>
            </w:r>
          </w:p>
        </w:tc>
      </w:tr>
      <w:tr w:rsidR="008F339C" w:rsidRPr="008F339C" w:rsidTr="000A2F95">
        <w:trPr>
          <w:trHeight w:val="283"/>
        </w:trPr>
        <w:tc>
          <w:tcPr>
            <w:tcW w:w="0" w:type="auto"/>
            <w:shd w:val="clear" w:color="auto" w:fill="FFFFFF"/>
          </w:tcPr>
          <w:p w:rsidR="008F339C" w:rsidRPr="008F339C" w:rsidRDefault="008F339C" w:rsidP="000A2F95">
            <w:pPr>
              <w:spacing w:before="60"/>
              <w:rPr>
                <w:rFonts w:cs="Arial"/>
              </w:rPr>
            </w:pPr>
            <w:r w:rsidRPr="008F339C">
              <w:rPr>
                <w:rFonts w:cs="Arial"/>
              </w:rPr>
              <w:t>Innensanierung</w:t>
            </w:r>
          </w:p>
        </w:tc>
        <w:tc>
          <w:tcPr>
            <w:tcW w:w="0" w:type="auto"/>
            <w:shd w:val="clear" w:color="auto" w:fill="FFFFFF"/>
          </w:tcPr>
          <w:p w:rsidR="008F339C" w:rsidRPr="008F339C" w:rsidRDefault="008F339C" w:rsidP="000A2F95">
            <w:pPr>
              <w:spacing w:before="60"/>
              <w:jc w:val="right"/>
              <w:rPr>
                <w:rFonts w:cs="Arial"/>
              </w:rPr>
            </w:pPr>
            <w:r w:rsidRPr="008F339C">
              <w:rPr>
                <w:rFonts w:cs="Arial"/>
              </w:rPr>
              <w:t>3 200 000</w:t>
            </w:r>
          </w:p>
        </w:tc>
        <w:tc>
          <w:tcPr>
            <w:tcW w:w="0" w:type="auto"/>
            <w:shd w:val="clear" w:color="auto" w:fill="FFFFFF"/>
          </w:tcPr>
          <w:p w:rsidR="008F339C" w:rsidRPr="008F339C" w:rsidRDefault="008F339C" w:rsidP="000A2F95">
            <w:pPr>
              <w:spacing w:before="60"/>
              <w:jc w:val="right"/>
              <w:rPr>
                <w:rFonts w:cs="Arial"/>
              </w:rPr>
            </w:pPr>
            <w:r w:rsidRPr="008F339C">
              <w:rPr>
                <w:rFonts w:cs="Arial"/>
              </w:rPr>
              <w:t>1 840 000</w:t>
            </w:r>
          </w:p>
        </w:tc>
        <w:tc>
          <w:tcPr>
            <w:tcW w:w="0" w:type="auto"/>
            <w:shd w:val="clear" w:color="auto" w:fill="FFFFFF"/>
          </w:tcPr>
          <w:p w:rsidR="008F339C" w:rsidRPr="008F339C" w:rsidRDefault="008F339C" w:rsidP="000A2F95">
            <w:pPr>
              <w:spacing w:before="60"/>
              <w:jc w:val="right"/>
              <w:rPr>
                <w:rFonts w:cs="Arial"/>
              </w:rPr>
            </w:pPr>
            <w:r w:rsidRPr="008F339C">
              <w:rPr>
                <w:rFonts w:cs="Arial"/>
              </w:rPr>
              <w:t>1 360 000</w:t>
            </w:r>
          </w:p>
        </w:tc>
      </w:tr>
      <w:tr w:rsidR="008F339C" w:rsidRPr="008F339C" w:rsidTr="000A2F95">
        <w:trPr>
          <w:trHeight w:val="283"/>
        </w:trPr>
        <w:tc>
          <w:tcPr>
            <w:tcW w:w="0" w:type="auto"/>
            <w:shd w:val="clear" w:color="auto" w:fill="FFFFFF"/>
          </w:tcPr>
          <w:p w:rsidR="008F339C" w:rsidRPr="008F339C" w:rsidRDefault="008F339C" w:rsidP="000A2F95">
            <w:pPr>
              <w:spacing w:before="60"/>
              <w:rPr>
                <w:rFonts w:cs="Arial"/>
              </w:rPr>
            </w:pPr>
            <w:r w:rsidRPr="008F339C">
              <w:rPr>
                <w:rFonts w:cs="Arial"/>
              </w:rPr>
              <w:t>Treppenhaus/Liftersatz</w:t>
            </w:r>
          </w:p>
        </w:tc>
        <w:tc>
          <w:tcPr>
            <w:tcW w:w="0" w:type="auto"/>
            <w:shd w:val="clear" w:color="auto" w:fill="FFFFFF"/>
          </w:tcPr>
          <w:p w:rsidR="008F339C" w:rsidRPr="008F339C" w:rsidRDefault="008F339C" w:rsidP="000A2F95">
            <w:pPr>
              <w:spacing w:before="60"/>
              <w:jc w:val="right"/>
              <w:rPr>
                <w:rFonts w:cs="Arial"/>
              </w:rPr>
            </w:pPr>
            <w:r w:rsidRPr="008F339C">
              <w:rPr>
                <w:rFonts w:cs="Arial"/>
              </w:rPr>
              <w:t>340 000</w:t>
            </w:r>
          </w:p>
        </w:tc>
        <w:tc>
          <w:tcPr>
            <w:tcW w:w="0" w:type="auto"/>
            <w:shd w:val="clear" w:color="auto" w:fill="FFFFFF"/>
          </w:tcPr>
          <w:p w:rsidR="008F339C" w:rsidRPr="008F339C" w:rsidRDefault="008F339C" w:rsidP="000A2F95">
            <w:pPr>
              <w:spacing w:before="60"/>
              <w:jc w:val="right"/>
              <w:rPr>
                <w:rFonts w:cs="Arial"/>
              </w:rPr>
            </w:pPr>
            <w:r w:rsidRPr="008F339C">
              <w:rPr>
                <w:rFonts w:cs="Arial"/>
              </w:rPr>
              <w:t>340 000</w:t>
            </w:r>
          </w:p>
        </w:tc>
        <w:tc>
          <w:tcPr>
            <w:tcW w:w="0" w:type="auto"/>
            <w:shd w:val="clear" w:color="auto" w:fill="FFFFFF"/>
          </w:tcPr>
          <w:p w:rsidR="008F339C" w:rsidRPr="008F339C" w:rsidRDefault="008F339C" w:rsidP="000A2F95">
            <w:pPr>
              <w:spacing w:before="60"/>
              <w:jc w:val="right"/>
              <w:rPr>
                <w:rFonts w:cs="Arial"/>
                <w:szCs w:val="10"/>
              </w:rPr>
            </w:pPr>
          </w:p>
        </w:tc>
      </w:tr>
      <w:tr w:rsidR="008F339C" w:rsidRPr="008F339C" w:rsidTr="000A2F95">
        <w:trPr>
          <w:trHeight w:val="283"/>
        </w:trPr>
        <w:tc>
          <w:tcPr>
            <w:tcW w:w="0" w:type="auto"/>
            <w:shd w:val="clear" w:color="auto" w:fill="FFFFFF"/>
          </w:tcPr>
          <w:p w:rsidR="008F339C" w:rsidRPr="008F339C" w:rsidRDefault="008F339C" w:rsidP="000A2F95">
            <w:pPr>
              <w:spacing w:before="60"/>
              <w:rPr>
                <w:rFonts w:cs="Arial"/>
              </w:rPr>
            </w:pPr>
            <w:r w:rsidRPr="008F339C">
              <w:rPr>
                <w:rFonts w:cs="Arial"/>
              </w:rPr>
              <w:t>Sanierung Fassaden und Vordächer</w:t>
            </w:r>
          </w:p>
        </w:tc>
        <w:tc>
          <w:tcPr>
            <w:tcW w:w="0" w:type="auto"/>
            <w:shd w:val="clear" w:color="auto" w:fill="FFFFFF"/>
          </w:tcPr>
          <w:p w:rsidR="008F339C" w:rsidRPr="008F339C" w:rsidRDefault="008F339C" w:rsidP="000A2F95">
            <w:pPr>
              <w:spacing w:before="60"/>
              <w:jc w:val="right"/>
              <w:rPr>
                <w:rFonts w:cs="Arial"/>
              </w:rPr>
            </w:pPr>
            <w:r w:rsidRPr="008F339C">
              <w:rPr>
                <w:rFonts w:cs="Arial"/>
              </w:rPr>
              <w:t>200 000</w:t>
            </w:r>
          </w:p>
        </w:tc>
        <w:tc>
          <w:tcPr>
            <w:tcW w:w="0" w:type="auto"/>
            <w:shd w:val="clear" w:color="auto" w:fill="FFFFFF"/>
          </w:tcPr>
          <w:p w:rsidR="008F339C" w:rsidRPr="008F339C" w:rsidRDefault="008F339C" w:rsidP="000A2F95">
            <w:pPr>
              <w:spacing w:before="60"/>
              <w:jc w:val="right"/>
              <w:rPr>
                <w:rFonts w:cs="Arial"/>
              </w:rPr>
            </w:pPr>
            <w:r w:rsidRPr="008F339C">
              <w:rPr>
                <w:rFonts w:cs="Arial"/>
              </w:rPr>
              <w:t>200 000</w:t>
            </w:r>
          </w:p>
        </w:tc>
        <w:tc>
          <w:tcPr>
            <w:tcW w:w="0" w:type="auto"/>
            <w:shd w:val="clear" w:color="auto" w:fill="FFFFFF"/>
          </w:tcPr>
          <w:p w:rsidR="008F339C" w:rsidRPr="008F339C" w:rsidRDefault="008F339C" w:rsidP="000A2F95">
            <w:pPr>
              <w:spacing w:before="60"/>
              <w:jc w:val="right"/>
              <w:rPr>
                <w:rFonts w:cs="Arial"/>
                <w:szCs w:val="10"/>
              </w:rPr>
            </w:pPr>
          </w:p>
        </w:tc>
      </w:tr>
      <w:tr w:rsidR="008F339C" w:rsidRPr="008F339C" w:rsidTr="000A2F95">
        <w:trPr>
          <w:trHeight w:val="283"/>
        </w:trPr>
        <w:tc>
          <w:tcPr>
            <w:tcW w:w="0" w:type="auto"/>
            <w:shd w:val="clear" w:color="auto" w:fill="FFFFFF"/>
          </w:tcPr>
          <w:p w:rsidR="008F339C" w:rsidRPr="008F339C" w:rsidRDefault="008F339C" w:rsidP="000A2F95">
            <w:pPr>
              <w:spacing w:before="60"/>
              <w:rPr>
                <w:rFonts w:cs="Arial"/>
              </w:rPr>
            </w:pPr>
            <w:r w:rsidRPr="008F339C">
              <w:rPr>
                <w:rFonts w:cs="Arial"/>
              </w:rPr>
              <w:t>Terrassensanierung</w:t>
            </w:r>
          </w:p>
        </w:tc>
        <w:tc>
          <w:tcPr>
            <w:tcW w:w="0" w:type="auto"/>
            <w:tcBorders>
              <w:bottom w:val="single" w:sz="4" w:space="0" w:color="auto"/>
            </w:tcBorders>
            <w:shd w:val="clear" w:color="auto" w:fill="FFFFFF"/>
          </w:tcPr>
          <w:p w:rsidR="008F339C" w:rsidRPr="008F339C" w:rsidRDefault="008F339C" w:rsidP="000A2F95">
            <w:pPr>
              <w:spacing w:before="60"/>
              <w:jc w:val="right"/>
              <w:rPr>
                <w:rFonts w:cs="Arial"/>
              </w:rPr>
            </w:pPr>
            <w:r w:rsidRPr="008F339C">
              <w:rPr>
                <w:rFonts w:cs="Arial"/>
              </w:rPr>
              <w:t>30 000</w:t>
            </w:r>
          </w:p>
        </w:tc>
        <w:tc>
          <w:tcPr>
            <w:tcW w:w="0" w:type="auto"/>
            <w:tcBorders>
              <w:bottom w:val="single" w:sz="4" w:space="0" w:color="auto"/>
            </w:tcBorders>
            <w:shd w:val="clear" w:color="auto" w:fill="FFFFFF"/>
          </w:tcPr>
          <w:p w:rsidR="008F339C" w:rsidRPr="008F339C" w:rsidRDefault="008F339C" w:rsidP="000A2F95">
            <w:pPr>
              <w:spacing w:before="60"/>
              <w:jc w:val="right"/>
              <w:rPr>
                <w:rFonts w:cs="Arial"/>
              </w:rPr>
            </w:pPr>
            <w:r w:rsidRPr="008F339C">
              <w:rPr>
                <w:rFonts w:cs="Arial"/>
              </w:rPr>
              <w:t>30 000</w:t>
            </w:r>
          </w:p>
        </w:tc>
        <w:tc>
          <w:tcPr>
            <w:tcW w:w="0" w:type="auto"/>
            <w:tcBorders>
              <w:bottom w:val="single" w:sz="4" w:space="0" w:color="auto"/>
            </w:tcBorders>
            <w:shd w:val="clear" w:color="auto" w:fill="FFFFFF"/>
          </w:tcPr>
          <w:p w:rsidR="008F339C" w:rsidRPr="008F339C" w:rsidRDefault="008F339C" w:rsidP="000A2F95">
            <w:pPr>
              <w:spacing w:before="60"/>
              <w:jc w:val="right"/>
              <w:rPr>
                <w:rFonts w:cs="Arial"/>
                <w:szCs w:val="10"/>
              </w:rPr>
            </w:pPr>
          </w:p>
        </w:tc>
      </w:tr>
      <w:tr w:rsidR="008F339C" w:rsidRPr="008F339C" w:rsidTr="000A2F95">
        <w:trPr>
          <w:trHeight w:val="283"/>
        </w:trPr>
        <w:tc>
          <w:tcPr>
            <w:tcW w:w="0" w:type="auto"/>
            <w:shd w:val="clear" w:color="auto" w:fill="FFFFFF"/>
          </w:tcPr>
          <w:p w:rsidR="008F339C" w:rsidRPr="008F339C" w:rsidRDefault="008F339C" w:rsidP="000A2F95">
            <w:pPr>
              <w:spacing w:before="60"/>
              <w:rPr>
                <w:rFonts w:cs="Arial"/>
              </w:rPr>
            </w:pPr>
            <w:r w:rsidRPr="008F339C">
              <w:rPr>
                <w:rFonts w:cs="Arial"/>
              </w:rPr>
              <w:t>Baukosten</w:t>
            </w:r>
          </w:p>
        </w:tc>
        <w:tc>
          <w:tcPr>
            <w:tcW w:w="0" w:type="auto"/>
            <w:tcBorders>
              <w:top w:val="single" w:sz="4" w:space="0" w:color="auto"/>
            </w:tcBorders>
            <w:shd w:val="clear" w:color="auto" w:fill="FFFFFF"/>
          </w:tcPr>
          <w:p w:rsidR="008F339C" w:rsidRPr="008F339C" w:rsidRDefault="008F339C" w:rsidP="000A2F95">
            <w:pPr>
              <w:spacing w:before="60"/>
              <w:jc w:val="right"/>
              <w:rPr>
                <w:rFonts w:cs="Arial"/>
              </w:rPr>
            </w:pPr>
            <w:r w:rsidRPr="008F339C">
              <w:rPr>
                <w:rFonts w:cs="Arial"/>
              </w:rPr>
              <w:t>3 770 000</w:t>
            </w:r>
          </w:p>
        </w:tc>
        <w:tc>
          <w:tcPr>
            <w:tcW w:w="0" w:type="auto"/>
            <w:tcBorders>
              <w:top w:val="single" w:sz="4" w:space="0" w:color="auto"/>
            </w:tcBorders>
            <w:shd w:val="clear" w:color="auto" w:fill="FFFFFF"/>
          </w:tcPr>
          <w:p w:rsidR="008F339C" w:rsidRPr="008F339C" w:rsidRDefault="008F339C" w:rsidP="000A2F95">
            <w:pPr>
              <w:spacing w:before="60"/>
              <w:jc w:val="right"/>
              <w:rPr>
                <w:rFonts w:cs="Arial"/>
              </w:rPr>
            </w:pPr>
            <w:r w:rsidRPr="008F339C">
              <w:rPr>
                <w:rFonts w:cs="Arial"/>
              </w:rPr>
              <w:t>2 410 000</w:t>
            </w:r>
          </w:p>
        </w:tc>
        <w:tc>
          <w:tcPr>
            <w:tcW w:w="0" w:type="auto"/>
            <w:tcBorders>
              <w:top w:val="single" w:sz="4" w:space="0" w:color="auto"/>
            </w:tcBorders>
            <w:shd w:val="clear" w:color="auto" w:fill="FFFFFF"/>
          </w:tcPr>
          <w:p w:rsidR="008F339C" w:rsidRPr="008F339C" w:rsidRDefault="008F339C" w:rsidP="000A2F95">
            <w:pPr>
              <w:spacing w:before="60"/>
              <w:jc w:val="right"/>
              <w:rPr>
                <w:rFonts w:cs="Arial"/>
              </w:rPr>
            </w:pPr>
            <w:r w:rsidRPr="008F339C">
              <w:rPr>
                <w:rFonts w:cs="Arial"/>
              </w:rPr>
              <w:t>1 360 000</w:t>
            </w:r>
          </w:p>
        </w:tc>
      </w:tr>
      <w:tr w:rsidR="008F339C" w:rsidRPr="008F339C" w:rsidTr="000A2F95">
        <w:trPr>
          <w:trHeight w:val="283"/>
        </w:trPr>
        <w:tc>
          <w:tcPr>
            <w:tcW w:w="0" w:type="auto"/>
            <w:shd w:val="clear" w:color="auto" w:fill="FFFFFF"/>
          </w:tcPr>
          <w:p w:rsidR="008F339C" w:rsidRPr="008F339C" w:rsidRDefault="008F339C" w:rsidP="000A2F95">
            <w:pPr>
              <w:spacing w:before="60"/>
              <w:rPr>
                <w:rFonts w:cs="Arial"/>
              </w:rPr>
            </w:pPr>
            <w:r w:rsidRPr="008F339C">
              <w:rPr>
                <w:rFonts w:cs="Arial"/>
              </w:rPr>
              <w:t>Umzug</w:t>
            </w:r>
          </w:p>
        </w:tc>
        <w:tc>
          <w:tcPr>
            <w:tcW w:w="0" w:type="auto"/>
            <w:tcBorders>
              <w:bottom w:val="single" w:sz="4" w:space="0" w:color="auto"/>
            </w:tcBorders>
            <w:shd w:val="clear" w:color="auto" w:fill="FFFFFF"/>
          </w:tcPr>
          <w:p w:rsidR="008F339C" w:rsidRPr="008F339C" w:rsidRDefault="008F339C" w:rsidP="000A2F95">
            <w:pPr>
              <w:spacing w:before="60"/>
              <w:jc w:val="right"/>
              <w:rPr>
                <w:rFonts w:cs="Arial"/>
              </w:rPr>
            </w:pPr>
            <w:r w:rsidRPr="008F339C">
              <w:rPr>
                <w:rFonts w:cs="Arial"/>
              </w:rPr>
              <w:t>40 000</w:t>
            </w:r>
          </w:p>
        </w:tc>
        <w:tc>
          <w:tcPr>
            <w:tcW w:w="0" w:type="auto"/>
            <w:tcBorders>
              <w:bottom w:val="single" w:sz="4" w:space="0" w:color="auto"/>
            </w:tcBorders>
            <w:shd w:val="clear" w:color="auto" w:fill="FFFFFF"/>
          </w:tcPr>
          <w:p w:rsidR="008F339C" w:rsidRPr="008F339C" w:rsidRDefault="008F339C" w:rsidP="000A2F95">
            <w:pPr>
              <w:spacing w:before="60"/>
              <w:jc w:val="right"/>
              <w:rPr>
                <w:rFonts w:cs="Arial"/>
                <w:szCs w:val="10"/>
              </w:rPr>
            </w:pPr>
          </w:p>
        </w:tc>
        <w:tc>
          <w:tcPr>
            <w:tcW w:w="0" w:type="auto"/>
            <w:tcBorders>
              <w:bottom w:val="single" w:sz="4" w:space="0" w:color="auto"/>
            </w:tcBorders>
            <w:shd w:val="clear" w:color="auto" w:fill="FFFFFF"/>
          </w:tcPr>
          <w:p w:rsidR="008F339C" w:rsidRPr="008F339C" w:rsidRDefault="008F339C" w:rsidP="000A2F95">
            <w:pPr>
              <w:spacing w:before="60"/>
              <w:jc w:val="right"/>
              <w:rPr>
                <w:rFonts w:cs="Arial"/>
              </w:rPr>
            </w:pPr>
            <w:r w:rsidRPr="008F339C">
              <w:rPr>
                <w:rFonts w:cs="Arial"/>
              </w:rPr>
              <w:t>40 000</w:t>
            </w:r>
          </w:p>
        </w:tc>
      </w:tr>
      <w:tr w:rsidR="008F339C" w:rsidRPr="008F339C" w:rsidTr="000A2F95">
        <w:trPr>
          <w:trHeight w:val="283"/>
        </w:trPr>
        <w:tc>
          <w:tcPr>
            <w:tcW w:w="0" w:type="auto"/>
            <w:shd w:val="clear" w:color="auto" w:fill="FFFFFF"/>
          </w:tcPr>
          <w:p w:rsidR="008F339C" w:rsidRPr="008F339C" w:rsidRDefault="008F339C" w:rsidP="000A2F95">
            <w:pPr>
              <w:spacing w:before="60"/>
              <w:rPr>
                <w:rFonts w:cs="Arial"/>
              </w:rPr>
            </w:pPr>
            <w:r w:rsidRPr="008F339C">
              <w:rPr>
                <w:rFonts w:cs="Arial"/>
              </w:rPr>
              <w:t>Vergebungskosten</w:t>
            </w:r>
          </w:p>
        </w:tc>
        <w:tc>
          <w:tcPr>
            <w:tcW w:w="0" w:type="auto"/>
            <w:tcBorders>
              <w:top w:val="single" w:sz="4" w:space="0" w:color="auto"/>
            </w:tcBorders>
            <w:shd w:val="clear" w:color="auto" w:fill="FFFFFF"/>
          </w:tcPr>
          <w:p w:rsidR="008F339C" w:rsidRPr="008F339C" w:rsidRDefault="008F339C" w:rsidP="000A2F95">
            <w:pPr>
              <w:spacing w:before="60"/>
              <w:jc w:val="right"/>
              <w:rPr>
                <w:rFonts w:cs="Arial"/>
              </w:rPr>
            </w:pPr>
            <w:r w:rsidRPr="008F339C">
              <w:rPr>
                <w:rFonts w:cs="Arial"/>
              </w:rPr>
              <w:t>3 810 000</w:t>
            </w:r>
          </w:p>
        </w:tc>
        <w:tc>
          <w:tcPr>
            <w:tcW w:w="0" w:type="auto"/>
            <w:tcBorders>
              <w:top w:val="single" w:sz="4" w:space="0" w:color="auto"/>
            </w:tcBorders>
            <w:shd w:val="clear" w:color="auto" w:fill="FFFFFF"/>
          </w:tcPr>
          <w:p w:rsidR="008F339C" w:rsidRPr="008F339C" w:rsidRDefault="008F339C" w:rsidP="000A2F95">
            <w:pPr>
              <w:spacing w:before="60"/>
              <w:jc w:val="right"/>
              <w:rPr>
                <w:rFonts w:cs="Arial"/>
              </w:rPr>
            </w:pPr>
            <w:r w:rsidRPr="008F339C">
              <w:rPr>
                <w:rFonts w:cs="Arial"/>
              </w:rPr>
              <w:t>2 410 000</w:t>
            </w:r>
          </w:p>
        </w:tc>
        <w:tc>
          <w:tcPr>
            <w:tcW w:w="0" w:type="auto"/>
            <w:tcBorders>
              <w:top w:val="single" w:sz="4" w:space="0" w:color="auto"/>
            </w:tcBorders>
            <w:shd w:val="clear" w:color="auto" w:fill="FFFFFF"/>
          </w:tcPr>
          <w:p w:rsidR="008F339C" w:rsidRPr="008F339C" w:rsidRDefault="008F339C" w:rsidP="000A2F95">
            <w:pPr>
              <w:spacing w:before="60"/>
              <w:jc w:val="right"/>
              <w:rPr>
                <w:rFonts w:cs="Arial"/>
              </w:rPr>
            </w:pPr>
            <w:r w:rsidRPr="008F339C">
              <w:rPr>
                <w:rFonts w:cs="Arial"/>
              </w:rPr>
              <w:t>1 400 000</w:t>
            </w:r>
          </w:p>
        </w:tc>
      </w:tr>
      <w:tr w:rsidR="008F339C" w:rsidRPr="008F339C" w:rsidTr="000A2F95">
        <w:trPr>
          <w:trHeight w:val="283"/>
        </w:trPr>
        <w:tc>
          <w:tcPr>
            <w:tcW w:w="0" w:type="auto"/>
            <w:shd w:val="clear" w:color="auto" w:fill="FFFFFF"/>
          </w:tcPr>
          <w:p w:rsidR="008F339C" w:rsidRPr="008F339C" w:rsidRDefault="008F339C" w:rsidP="000A2F95">
            <w:pPr>
              <w:spacing w:before="60"/>
              <w:rPr>
                <w:rFonts w:cs="Arial"/>
              </w:rPr>
            </w:pPr>
            <w:r w:rsidRPr="008F339C">
              <w:rPr>
                <w:rFonts w:cs="Arial"/>
              </w:rPr>
              <w:t>Unvorhergesehenes</w:t>
            </w:r>
          </w:p>
        </w:tc>
        <w:tc>
          <w:tcPr>
            <w:tcW w:w="0" w:type="auto"/>
            <w:tcBorders>
              <w:bottom w:val="single" w:sz="4" w:space="0" w:color="auto"/>
            </w:tcBorders>
            <w:shd w:val="clear" w:color="auto" w:fill="FFFFFF"/>
          </w:tcPr>
          <w:p w:rsidR="008F339C" w:rsidRPr="008F339C" w:rsidRDefault="008F339C" w:rsidP="000A2F95">
            <w:pPr>
              <w:spacing w:before="60"/>
              <w:jc w:val="right"/>
              <w:rPr>
                <w:rFonts w:cs="Arial"/>
              </w:rPr>
            </w:pPr>
            <w:r w:rsidRPr="008F339C">
              <w:rPr>
                <w:rFonts w:cs="Arial"/>
              </w:rPr>
              <w:t>90 000</w:t>
            </w:r>
          </w:p>
        </w:tc>
        <w:tc>
          <w:tcPr>
            <w:tcW w:w="0" w:type="auto"/>
            <w:tcBorders>
              <w:bottom w:val="single" w:sz="4" w:space="0" w:color="auto"/>
            </w:tcBorders>
            <w:shd w:val="clear" w:color="auto" w:fill="FFFFFF"/>
          </w:tcPr>
          <w:p w:rsidR="008F339C" w:rsidRPr="008F339C" w:rsidRDefault="008F339C" w:rsidP="000A2F95">
            <w:pPr>
              <w:spacing w:before="60"/>
              <w:jc w:val="right"/>
              <w:rPr>
                <w:rFonts w:cs="Arial"/>
              </w:rPr>
            </w:pPr>
            <w:r w:rsidRPr="008F339C">
              <w:rPr>
                <w:rFonts w:cs="Arial"/>
              </w:rPr>
              <w:t>50 000</w:t>
            </w:r>
          </w:p>
        </w:tc>
        <w:tc>
          <w:tcPr>
            <w:tcW w:w="0" w:type="auto"/>
            <w:tcBorders>
              <w:bottom w:val="single" w:sz="4" w:space="0" w:color="auto"/>
            </w:tcBorders>
            <w:shd w:val="clear" w:color="auto" w:fill="FFFFFF"/>
          </w:tcPr>
          <w:p w:rsidR="008F339C" w:rsidRPr="008F339C" w:rsidRDefault="008F339C" w:rsidP="000A2F95">
            <w:pPr>
              <w:spacing w:before="60"/>
              <w:jc w:val="right"/>
              <w:rPr>
                <w:rFonts w:cs="Arial"/>
              </w:rPr>
            </w:pPr>
            <w:r w:rsidRPr="008F339C">
              <w:rPr>
                <w:rFonts w:cs="Arial"/>
              </w:rPr>
              <w:t>40 000</w:t>
            </w:r>
          </w:p>
        </w:tc>
      </w:tr>
      <w:tr w:rsidR="008F339C" w:rsidRPr="008F339C" w:rsidTr="000A2F95">
        <w:trPr>
          <w:trHeight w:val="283"/>
        </w:trPr>
        <w:tc>
          <w:tcPr>
            <w:tcW w:w="0" w:type="auto"/>
            <w:shd w:val="clear" w:color="auto" w:fill="FFFFFF"/>
          </w:tcPr>
          <w:p w:rsidR="008F339C" w:rsidRPr="008F339C" w:rsidRDefault="008F339C" w:rsidP="000A2F95">
            <w:pPr>
              <w:spacing w:before="60"/>
              <w:rPr>
                <w:rFonts w:cs="Arial"/>
              </w:rPr>
            </w:pPr>
            <w:r w:rsidRPr="008F339C">
              <w:rPr>
                <w:rFonts w:cs="Arial"/>
              </w:rPr>
              <w:t>Objektkredit</w:t>
            </w:r>
          </w:p>
        </w:tc>
        <w:tc>
          <w:tcPr>
            <w:tcW w:w="0" w:type="auto"/>
            <w:tcBorders>
              <w:top w:val="single" w:sz="4" w:space="0" w:color="auto"/>
              <w:bottom w:val="single" w:sz="4" w:space="0" w:color="auto"/>
            </w:tcBorders>
            <w:shd w:val="clear" w:color="auto" w:fill="FFFFFF"/>
          </w:tcPr>
          <w:p w:rsidR="008F339C" w:rsidRPr="008F339C" w:rsidRDefault="008F339C" w:rsidP="000A2F95">
            <w:pPr>
              <w:spacing w:before="60"/>
              <w:jc w:val="right"/>
              <w:rPr>
                <w:rFonts w:cs="Arial"/>
              </w:rPr>
            </w:pPr>
            <w:r w:rsidRPr="008F339C">
              <w:rPr>
                <w:rFonts w:cs="Arial"/>
              </w:rPr>
              <w:t>3 900 000</w:t>
            </w:r>
          </w:p>
        </w:tc>
        <w:tc>
          <w:tcPr>
            <w:tcW w:w="0" w:type="auto"/>
            <w:tcBorders>
              <w:top w:val="single" w:sz="4" w:space="0" w:color="auto"/>
              <w:bottom w:val="single" w:sz="4" w:space="0" w:color="auto"/>
            </w:tcBorders>
            <w:shd w:val="clear" w:color="auto" w:fill="FFFFFF"/>
          </w:tcPr>
          <w:p w:rsidR="008F339C" w:rsidRPr="008F339C" w:rsidRDefault="008F339C" w:rsidP="000A2F95">
            <w:pPr>
              <w:spacing w:before="60"/>
              <w:jc w:val="right"/>
              <w:rPr>
                <w:rFonts w:cs="Arial"/>
              </w:rPr>
            </w:pPr>
            <w:r w:rsidRPr="008F339C">
              <w:rPr>
                <w:rFonts w:cs="Arial"/>
              </w:rPr>
              <w:t>2 460 000</w:t>
            </w:r>
          </w:p>
        </w:tc>
        <w:tc>
          <w:tcPr>
            <w:tcW w:w="0" w:type="auto"/>
            <w:tcBorders>
              <w:top w:val="single" w:sz="4" w:space="0" w:color="auto"/>
              <w:bottom w:val="single" w:sz="4" w:space="0" w:color="auto"/>
            </w:tcBorders>
            <w:shd w:val="clear" w:color="auto" w:fill="FFFFFF"/>
          </w:tcPr>
          <w:p w:rsidR="008F339C" w:rsidRPr="008F339C" w:rsidRDefault="008F339C" w:rsidP="000A2F95">
            <w:pPr>
              <w:spacing w:before="60"/>
              <w:jc w:val="right"/>
              <w:rPr>
                <w:rFonts w:cs="Arial"/>
              </w:rPr>
            </w:pPr>
            <w:r w:rsidRPr="008F339C">
              <w:rPr>
                <w:rFonts w:cs="Arial"/>
              </w:rPr>
              <w:t>1 440 000</w:t>
            </w:r>
          </w:p>
        </w:tc>
      </w:tr>
    </w:tbl>
    <w:p w:rsidR="008F339C" w:rsidRPr="008F339C" w:rsidRDefault="008F339C" w:rsidP="008F339C">
      <w:pPr>
        <w:spacing w:before="60"/>
        <w:rPr>
          <w:rFonts w:cs="Arial"/>
        </w:rPr>
      </w:pPr>
      <w:r w:rsidRPr="008F339C">
        <w:rPr>
          <w:rFonts w:cs="Arial"/>
        </w:rPr>
        <w:t>Von den Gesamtaufwendungen von Fr. 3 900 000 können Fr. 1 600 000 aktiviert und Fr. 860000 der Laufenden Rechnung belastet werden. Weitere Fr. 1 440 000 können über die Investitionsrechnung der Beamtenversicherungskasse beglichen werden. Die Aufwendungen sind im Staatsvoranschlag 1994 enthalten und im Finanzplan 1995 anteilmässig vorgemerkt.</w:t>
      </w:r>
    </w:p>
    <w:p w:rsidR="008F339C" w:rsidRPr="008F339C" w:rsidRDefault="008F339C" w:rsidP="008F339C">
      <w:pPr>
        <w:spacing w:before="60"/>
        <w:rPr>
          <w:rFonts w:cs="Arial"/>
        </w:rPr>
      </w:pPr>
      <w:r w:rsidRPr="008F339C">
        <w:rPr>
          <w:rFonts w:cs="Arial"/>
        </w:rPr>
        <w:t>Unter Berücksichtigung des neuen Inventarwerts und der gegenwärtigen Mietzinse ergibt sich für die Fiskalliegenschaft Stampfenbachstrasse 63 ab 1995 eine Bruttorendite von 5,4%.</w:t>
      </w:r>
    </w:p>
    <w:p w:rsidR="008F339C" w:rsidRPr="008F339C" w:rsidRDefault="008F339C" w:rsidP="008F339C">
      <w:pPr>
        <w:spacing w:before="60"/>
        <w:rPr>
          <w:rFonts w:cs="Arial"/>
        </w:rPr>
      </w:pPr>
      <w:r w:rsidRPr="008F339C">
        <w:rPr>
          <w:rFonts w:cs="Arial"/>
        </w:rPr>
        <w:t>Nachdem der Regierungsrat mit Beschlüssen Nrn. 78/1994 und 941/ 1994 die Umbauarbeiten im Gebäude Stampfenbachstrasse 63 für die Universität und für die Schulungsräume der Aus- und Weiterbildung bereits an die Oerlikon-Bührle Immobilien AG, Zürich, vergeben hat, ist es sinnvoll, die vorgesehenen Sanierungs- und Ausbauarbeiten an die gleiche Generalunternehmung zu vergeben. Die Baudirektion beantragt die Vergebung der Arbeiten an die Oerlikon-Bührle Immobilien AG, Zürich, aufgrund der Offerte (Kostendach mit offener Abrechnung) vom 2. Mai 1994 im Betrag von Fr. 3 810000. Die Vergebungssumme erhöht sich für Unvorhergesehenes um Fr. 90000 auf Fr. 3 900000.</w:t>
      </w:r>
    </w:p>
    <w:p w:rsidR="008F339C" w:rsidRPr="008F339C" w:rsidRDefault="008F339C" w:rsidP="008F339C">
      <w:pPr>
        <w:spacing w:before="60"/>
        <w:rPr>
          <w:rFonts w:cs="Arial"/>
        </w:rPr>
      </w:pPr>
      <w:r w:rsidRPr="008F339C">
        <w:rPr>
          <w:rFonts w:cs="Arial"/>
        </w:rPr>
        <w:t>Auf Antrag der Direktionen der Finanzen und der öffentlichen Bauten</w:t>
      </w:r>
    </w:p>
    <w:p w:rsidR="008F339C" w:rsidRPr="008F339C" w:rsidRDefault="008F339C" w:rsidP="008F339C">
      <w:pPr>
        <w:spacing w:before="60"/>
        <w:jc w:val="center"/>
        <w:rPr>
          <w:rFonts w:cs="Arial"/>
        </w:rPr>
      </w:pPr>
      <w:r w:rsidRPr="008F339C">
        <w:rPr>
          <w:rFonts w:cs="Arial"/>
        </w:rPr>
        <w:t>beschliesst der Regierungsrat:</w:t>
      </w:r>
    </w:p>
    <w:p w:rsidR="008F339C" w:rsidRPr="008F339C" w:rsidRDefault="008F339C" w:rsidP="008F339C">
      <w:pPr>
        <w:tabs>
          <w:tab w:val="left" w:pos="687"/>
        </w:tabs>
        <w:spacing w:before="60"/>
        <w:rPr>
          <w:rFonts w:cs="Arial"/>
        </w:rPr>
      </w:pPr>
      <w:r w:rsidRPr="008F339C">
        <w:rPr>
          <w:rFonts w:cs="Arial"/>
        </w:rPr>
        <w:t>I. Für Archiv- und Büroräume der Beamtenversicherungskasse im 1. und 2. Untergeschoss, im 1.-3. Obergeschoss und im Dachgeschoss der Fiskalliegenschaft Stampfenbachstrasse 63, Zürich, wird eine Ausnahme vom Neumietenstopp gemäss RRB Nr. 3797/1991 bewilligt.</w:t>
      </w:r>
    </w:p>
    <w:p w:rsidR="008F339C" w:rsidRPr="008F339C" w:rsidRDefault="008F339C" w:rsidP="008F339C">
      <w:pPr>
        <w:tabs>
          <w:tab w:val="left" w:pos="529"/>
        </w:tabs>
        <w:spacing w:before="60"/>
        <w:rPr>
          <w:rFonts w:cs="Arial"/>
        </w:rPr>
      </w:pPr>
      <w:r w:rsidRPr="008F339C">
        <w:rPr>
          <w:rFonts w:cs="Arial"/>
        </w:rPr>
        <w:t>II. Die Finanzdirektion wird ermächtigt, einen Mietvertrag über die in Dispositiv I erwähnten Räumlichkeiten mit einer Jahresmiete von Fr. 288 012 zuzüglich Nebenkosten abzuschliessen.</w:t>
      </w:r>
    </w:p>
    <w:p w:rsidR="008F339C" w:rsidRPr="008F339C" w:rsidRDefault="008F339C" w:rsidP="008F339C">
      <w:pPr>
        <w:spacing w:before="60"/>
        <w:rPr>
          <w:rFonts w:cs="Arial"/>
        </w:rPr>
      </w:pPr>
      <w:r w:rsidRPr="008F339C">
        <w:rPr>
          <w:rFonts w:cs="Arial"/>
        </w:rPr>
        <w:t>Der Mietzins geht zu Lasten des Kontos 9101.3160, Miete und Pacht von Liegenschaften; die Nebenkosten gehen zu Lasten des Kontos 9101.3120, Wasser, Energie, Heizmaterialien.</w:t>
      </w:r>
    </w:p>
    <w:p w:rsidR="008F339C" w:rsidRPr="008F339C" w:rsidRDefault="008F339C" w:rsidP="008F339C">
      <w:pPr>
        <w:tabs>
          <w:tab w:val="left" w:pos="606"/>
        </w:tabs>
        <w:spacing w:before="60"/>
        <w:rPr>
          <w:rFonts w:cs="Arial"/>
        </w:rPr>
      </w:pPr>
      <w:r w:rsidRPr="008F339C">
        <w:rPr>
          <w:rFonts w:cs="Arial"/>
        </w:rPr>
        <w:t>III. Für den Grund- und mieterseitigen Ausbau sowie die Sanierung von Fassaden, Lichthof, Treppenhaus und Terrasse der Liegenschaft Stampfenbachstrasse 63, Zürich, wird ein Objektkredit von Fr. 3 900 000 bewilligt. Davon gehen Fr. 1 600 000 zu Lasten des Kontos B 1023.101, Liegenschaften des Finanzvermögens, Fr. 860 000 zu Lasten des Kontos 2513.3142, Unterhalt der Liegenschaften des Finanzvermögens, und Fr. 1 440 000 zu Lasten der Beamtenversicherungskasse, Konto 19101.5037, Umbau-, Einrichtungs- und Transportkosten (Innenausbau Stampfenbachstrasse 63).</w:t>
      </w:r>
    </w:p>
    <w:p w:rsidR="008F339C" w:rsidRPr="008F339C" w:rsidRDefault="008F339C" w:rsidP="008F339C">
      <w:pPr>
        <w:tabs>
          <w:tab w:val="left" w:pos="610"/>
        </w:tabs>
        <w:spacing w:before="60"/>
        <w:rPr>
          <w:rFonts w:cs="Arial"/>
        </w:rPr>
      </w:pPr>
      <w:r w:rsidRPr="008F339C">
        <w:rPr>
          <w:rFonts w:cs="Arial"/>
        </w:rPr>
        <w:t>IV. Die Ausführung der Grund- und Ausbauten sowie der Sanierungen gemäss Dispositiv III wird an die Oerlikon-Bührle Immobilien AG, Zürich, vergeben. Die Vergebungssumme von Fr. 3 810 000 kann sich für Unvorhergesehenes bis auf Fr. 3 900 000 erhöhen.</w:t>
      </w:r>
    </w:p>
    <w:p w:rsidR="008F339C" w:rsidRPr="008F339C" w:rsidRDefault="008F339C" w:rsidP="008F339C">
      <w:pPr>
        <w:pStyle w:val="00Vorgabetext"/>
        <w:keepNext/>
        <w:keepLines/>
        <w:rPr>
          <w:rFonts w:cs="Arial"/>
        </w:rPr>
      </w:pPr>
      <w:r w:rsidRPr="008F339C">
        <w:rPr>
          <w:rFonts w:cs="Arial"/>
        </w:rPr>
        <w:t>V. Mitteilung an die Direktionen der Finanzen und der öffentlichen Bauten sowie an die Staatskanzlei.</w:t>
      </w:r>
    </w:p>
    <w:p w:rsidR="008F339C" w:rsidRPr="008F339C" w:rsidRDefault="008F339C" w:rsidP="008F339C">
      <w:pPr>
        <w:pStyle w:val="00Vorgabetext"/>
        <w:keepNext/>
        <w:keepLines/>
        <w:rPr>
          <w:rFonts w:cs="Arial"/>
        </w:rPr>
      </w:pPr>
    </w:p>
    <w:p w:rsidR="008F339C" w:rsidRPr="008F339C" w:rsidRDefault="008F339C" w:rsidP="008F339C">
      <w:pPr>
        <w:pStyle w:val="00Vorgabetext"/>
        <w:keepNext/>
        <w:keepLines/>
        <w:rPr>
          <w:rFonts w:cs="Arial"/>
        </w:rPr>
      </w:pPr>
    </w:p>
    <w:p w:rsidR="00BE768B" w:rsidRPr="008F339C" w:rsidRDefault="008F339C" w:rsidP="008F339C">
      <w:pPr>
        <w:pStyle w:val="00Vorgabetext"/>
        <w:keepNext/>
        <w:keepLines/>
      </w:pPr>
      <w:r w:rsidRPr="008F339C">
        <w:rPr>
          <w:rFonts w:cs="Arial"/>
        </w:rPr>
        <w:t>[</w:t>
      </w:r>
      <w:r w:rsidRPr="008F339C">
        <w:rPr>
          <w:rFonts w:cs="Arial"/>
          <w:i/>
        </w:rPr>
        <w:t>Transkript: OCR (Überarbeitung: Team TKR)/14.09.2017</w:t>
      </w:r>
      <w:bookmarkStart w:id="1" w:name="_GoBack"/>
      <w:r w:rsidRPr="008F339C">
        <w:rPr>
          <w:rFonts w:cs="Arial"/>
        </w:rPr>
        <w:t xml:space="preserve">] </w:t>
      </w:r>
      <w:bookmarkEnd w:id="1"/>
    </w:p>
    <w:sectPr w:rsidR="00BE768B" w:rsidRPr="008F339C"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39C" w:rsidRDefault="008F339C">
      <w:r>
        <w:separator/>
      </w:r>
    </w:p>
    <w:p w:rsidR="008F339C" w:rsidRDefault="008F339C"/>
    <w:p w:rsidR="008F339C" w:rsidRDefault="008F339C"/>
  </w:endnote>
  <w:endnote w:type="continuationSeparator" w:id="0">
    <w:p w:rsidR="008F339C" w:rsidRDefault="008F339C">
      <w:r>
        <w:continuationSeparator/>
      </w:r>
    </w:p>
    <w:p w:rsidR="008F339C" w:rsidRDefault="008F339C"/>
    <w:p w:rsidR="008F339C" w:rsidRDefault="008F33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39C" w:rsidRDefault="008F339C">
      <w:r>
        <w:separator/>
      </w:r>
    </w:p>
    <w:p w:rsidR="008F339C" w:rsidRDefault="008F339C"/>
    <w:p w:rsidR="008F339C" w:rsidRDefault="008F339C"/>
  </w:footnote>
  <w:footnote w:type="continuationSeparator" w:id="0">
    <w:p w:rsidR="008F339C" w:rsidRDefault="008F339C">
      <w:r>
        <w:continuationSeparator/>
      </w:r>
    </w:p>
    <w:p w:rsidR="008F339C" w:rsidRDefault="008F339C"/>
    <w:p w:rsidR="008F339C" w:rsidRDefault="008F33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F339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F339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39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39C"/>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B6A7B56-5481-4609-B2C3-3CFDFB23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F3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60B21-398A-4701-BC9A-543ABE394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809</Words>
  <Characters>4787</Characters>
  <Application>Microsoft Office Word</Application>
  <DocSecurity>0</DocSecurity>
  <PresentationFormat/>
  <Lines>683</Lines>
  <Paragraphs>621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4975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Liegenschaften</dc:subject>
  <dc:creator>Staatsarchiv des Kantons Zürich</dc:creator>
  <cp:lastModifiedBy>Mirjam Stadler</cp:lastModifiedBy>
  <cp:revision>1</cp:revision>
  <cp:lastPrinted>2012-06-15T14:37:00Z</cp:lastPrinted>
  <dcterms:created xsi:type="dcterms:W3CDTF">2017-09-14T06:48:00Z</dcterms:created>
  <dcterms:modified xsi:type="dcterms:W3CDTF">2017-09-14T06:48:00Z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