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B339C7" w:rsidTr="00C80ABA">
        <w:trPr>
          <w:trHeight w:val="454"/>
        </w:trPr>
        <w:tc>
          <w:tcPr>
            <w:tcW w:w="1668" w:type="dxa"/>
          </w:tcPr>
          <w:p w:rsidR="00A43AE4" w:rsidRPr="00B339C7"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B339C7">
              <w:t>Signatur</w:t>
            </w:r>
          </w:p>
        </w:tc>
        <w:tc>
          <w:tcPr>
            <w:tcW w:w="6721" w:type="dxa"/>
          </w:tcPr>
          <w:p w:rsidR="00A43AE4" w:rsidRPr="00B339C7" w:rsidRDefault="00B339C7" w:rsidP="00931B1F">
            <w:pPr>
              <w:pStyle w:val="70SignaturX"/>
            </w:pPr>
            <w:r w:rsidRPr="00B339C7">
              <w:t>StAZH MM 3.204 RRB 1994/1472</w:t>
            </w:r>
          </w:p>
        </w:tc>
      </w:tr>
      <w:tr w:rsidR="00A43AE4" w:rsidRPr="00B339C7" w:rsidTr="00C80ABA">
        <w:trPr>
          <w:trHeight w:val="454"/>
        </w:trPr>
        <w:tc>
          <w:tcPr>
            <w:tcW w:w="1668" w:type="dxa"/>
          </w:tcPr>
          <w:p w:rsidR="00A43AE4" w:rsidRPr="00B339C7"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B339C7">
              <w:t>Titel</w:t>
            </w:r>
          </w:p>
        </w:tc>
        <w:tc>
          <w:tcPr>
            <w:tcW w:w="6721" w:type="dxa"/>
          </w:tcPr>
          <w:p w:rsidR="006C59EA" w:rsidRPr="00B339C7" w:rsidRDefault="00B339C7"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B339C7">
              <w:rPr>
                <w:rFonts w:ascii="Arial Black" w:hAnsi="Arial Black"/>
              </w:rPr>
              <w:t>Kanalisation</w:t>
            </w:r>
          </w:p>
        </w:tc>
      </w:tr>
      <w:tr w:rsidR="00BC0931" w:rsidRPr="00B339C7" w:rsidTr="00C80ABA">
        <w:trPr>
          <w:trHeight w:val="454"/>
        </w:trPr>
        <w:tc>
          <w:tcPr>
            <w:tcW w:w="1668" w:type="dxa"/>
          </w:tcPr>
          <w:p w:rsidR="00BC0931" w:rsidRPr="00B339C7"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B339C7">
              <w:t>Datum</w:t>
            </w:r>
          </w:p>
        </w:tc>
        <w:tc>
          <w:tcPr>
            <w:tcW w:w="6721" w:type="dxa"/>
          </w:tcPr>
          <w:p w:rsidR="00BC0931" w:rsidRPr="00B339C7" w:rsidRDefault="00B339C7" w:rsidP="00931B1F">
            <w:pPr>
              <w:pStyle w:val="71DatumX"/>
            </w:pPr>
            <w:r w:rsidRPr="00B339C7">
              <w:t>25.05.1994</w:t>
            </w:r>
          </w:p>
        </w:tc>
      </w:tr>
      <w:tr w:rsidR="00A43AE4" w:rsidRPr="00B339C7" w:rsidTr="00C80ABA">
        <w:trPr>
          <w:trHeight w:val="454"/>
        </w:trPr>
        <w:tc>
          <w:tcPr>
            <w:tcW w:w="1668" w:type="dxa"/>
          </w:tcPr>
          <w:p w:rsidR="00A43AE4" w:rsidRPr="00B339C7"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B339C7">
              <w:t>P.</w:t>
            </w:r>
          </w:p>
        </w:tc>
        <w:tc>
          <w:tcPr>
            <w:tcW w:w="6721" w:type="dxa"/>
          </w:tcPr>
          <w:p w:rsidR="00A43AE4" w:rsidRPr="00B339C7" w:rsidRDefault="00B339C7" w:rsidP="00931B1F">
            <w:pPr>
              <w:pStyle w:val="00Vorgabetext"/>
            </w:pPr>
            <w:r w:rsidRPr="00B339C7">
              <w:t>667</w:t>
            </w:r>
          </w:p>
        </w:tc>
      </w:tr>
    </w:tbl>
    <w:p w:rsidR="00616641" w:rsidRPr="00B339C7" w:rsidRDefault="00616641" w:rsidP="0077655B">
      <w:pPr>
        <w:pStyle w:val="00Vorgabetext"/>
        <w:spacing w:before="0" w:after="60"/>
      </w:pPr>
    </w:p>
    <w:p w:rsidR="00B339C7" w:rsidRPr="00B339C7" w:rsidRDefault="00B339C7" w:rsidP="00B339C7">
      <w:pPr>
        <w:spacing w:before="60"/>
        <w:rPr>
          <w:rFonts w:cs="Arial"/>
        </w:rPr>
      </w:pPr>
      <w:bookmarkStart w:id="0" w:name="ContentText"/>
      <w:bookmarkEnd w:id="0"/>
      <w:r w:rsidRPr="00B339C7">
        <w:t>[</w:t>
      </w:r>
      <w:r w:rsidRPr="00B339C7">
        <w:rPr>
          <w:i/>
        </w:rPr>
        <w:t>p. 667</w:t>
      </w:r>
      <w:r w:rsidRPr="00B339C7">
        <w:t xml:space="preserve">] </w:t>
      </w:r>
      <w:r w:rsidRPr="00B339C7">
        <w:rPr>
          <w:rFonts w:cs="Arial"/>
        </w:rPr>
        <w:t>Am 19. November 1993 ersuchte der Gemeinderat Wetzikon um Zusicherung eines Staatsbeitrags an die auf Fr. 2258 000 veranschlagten Erstellungskosten für die Kanalisation Schornäglen.</w:t>
      </w:r>
    </w:p>
    <w:p w:rsidR="00B339C7" w:rsidRPr="00B339C7" w:rsidRDefault="00B339C7" w:rsidP="00B339C7">
      <w:pPr>
        <w:spacing w:before="60"/>
        <w:rPr>
          <w:rFonts w:cs="Arial"/>
        </w:rPr>
      </w:pPr>
      <w:r w:rsidRPr="00B339C7">
        <w:rPr>
          <w:rFonts w:cs="Arial"/>
        </w:rPr>
        <w:t>Das Projekt dieser Abwasseranlage wurde in abwassertechnischer Hinsicht vom Amt für Gewässerschutz und Wasserbau (AGW) mit Verfügung Nr. 568 vom 2. März 1994 genehmigt (AWR E 10 Wetzikon).</w:t>
      </w:r>
    </w:p>
    <w:p w:rsidR="00B339C7" w:rsidRPr="00B339C7" w:rsidRDefault="00B339C7" w:rsidP="00B339C7">
      <w:pPr>
        <w:spacing w:before="60"/>
        <w:rPr>
          <w:rFonts w:cs="Arial"/>
        </w:rPr>
      </w:pPr>
      <w:r w:rsidRPr="00B339C7">
        <w:rPr>
          <w:rFonts w:cs="Arial"/>
        </w:rPr>
        <w:t>Von der geplanten Trennsystemkanalisation Schornäglen, Abschnitt Pfäffikerstrasse-Industriestrasse, kann die Schmutzwasserkanalisation (KS 1372-KS 1362) gemäss § 46 des Einführungsgesetzes zum Gewässerschutzgesetz (EG GSchG) als kostenanteilsberechtigt anerkannt werden. Aufgrund eines Anschlussvertrags mit den Gemeinden Pfäffikon, Hittnau und Bäretswil teilen sich die Bruttokosten von Fr. 1 025 600 (45,4% von Fr. 2 258 000, gemäss Berechnung Ingenieur) für diesen Abschnitt wie folgt auf:</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2320"/>
        <w:gridCol w:w="767"/>
        <w:gridCol w:w="962"/>
        <w:gridCol w:w="289"/>
        <w:gridCol w:w="999"/>
      </w:tblGrid>
      <w:tr w:rsidR="00B339C7" w:rsidRPr="00B339C7" w:rsidTr="000A2F95">
        <w:trPr>
          <w:trHeight w:val="283"/>
        </w:trPr>
        <w:tc>
          <w:tcPr>
            <w:tcW w:w="0" w:type="auto"/>
            <w:shd w:val="clear" w:color="auto" w:fill="FFFFFF"/>
          </w:tcPr>
          <w:p w:rsidR="00B339C7" w:rsidRPr="00B339C7" w:rsidRDefault="00B339C7" w:rsidP="000A2F95">
            <w:pPr>
              <w:spacing w:before="60"/>
              <w:rPr>
                <w:rFonts w:cs="Arial"/>
              </w:rPr>
            </w:pPr>
            <w:r w:rsidRPr="00B339C7">
              <w:rPr>
                <w:rFonts w:cs="Arial"/>
              </w:rPr>
              <w:t>Wetzikon</w:t>
            </w:r>
          </w:p>
        </w:tc>
        <w:tc>
          <w:tcPr>
            <w:tcW w:w="0" w:type="auto"/>
            <w:shd w:val="clear" w:color="auto" w:fill="FFFFFF"/>
          </w:tcPr>
          <w:p w:rsidR="00B339C7" w:rsidRPr="00B339C7" w:rsidRDefault="00B339C7" w:rsidP="000A2F95">
            <w:pPr>
              <w:spacing w:before="60"/>
              <w:jc w:val="right"/>
              <w:rPr>
                <w:rFonts w:cs="Arial"/>
              </w:rPr>
            </w:pPr>
            <w:r w:rsidRPr="00B339C7">
              <w:rPr>
                <w:rFonts w:cs="Arial"/>
              </w:rPr>
              <w:t>70,1%</w:t>
            </w:r>
          </w:p>
        </w:tc>
        <w:tc>
          <w:tcPr>
            <w:tcW w:w="0" w:type="auto"/>
            <w:shd w:val="clear" w:color="auto" w:fill="FFFFFF"/>
          </w:tcPr>
          <w:p w:rsidR="00B339C7" w:rsidRPr="00B339C7" w:rsidRDefault="00B339C7" w:rsidP="000A2F95">
            <w:pPr>
              <w:spacing w:before="60"/>
              <w:rPr>
                <w:rFonts w:cs="Arial"/>
              </w:rPr>
            </w:pPr>
            <w:r w:rsidRPr="00B339C7">
              <w:rPr>
                <w:rFonts w:cs="Arial"/>
              </w:rPr>
              <w:t>oder rund</w:t>
            </w:r>
          </w:p>
        </w:tc>
        <w:tc>
          <w:tcPr>
            <w:tcW w:w="0" w:type="auto"/>
            <w:shd w:val="clear" w:color="auto" w:fill="FFFFFF"/>
          </w:tcPr>
          <w:p w:rsidR="00B339C7" w:rsidRPr="00B339C7" w:rsidRDefault="00B339C7" w:rsidP="000A2F95">
            <w:pPr>
              <w:spacing w:before="60"/>
              <w:rPr>
                <w:rFonts w:cs="Arial"/>
              </w:rPr>
            </w:pPr>
            <w:r w:rsidRPr="00B339C7">
              <w:rPr>
                <w:rFonts w:cs="Arial"/>
              </w:rPr>
              <w:t>Fr.</w:t>
            </w:r>
          </w:p>
        </w:tc>
        <w:tc>
          <w:tcPr>
            <w:tcW w:w="0" w:type="auto"/>
            <w:shd w:val="clear" w:color="auto" w:fill="FFFFFF"/>
          </w:tcPr>
          <w:p w:rsidR="00B339C7" w:rsidRPr="00B339C7" w:rsidRDefault="00B339C7" w:rsidP="000A2F95">
            <w:pPr>
              <w:spacing w:before="60"/>
              <w:jc w:val="right"/>
              <w:rPr>
                <w:rFonts w:cs="Arial"/>
              </w:rPr>
            </w:pPr>
            <w:r w:rsidRPr="00B339C7">
              <w:rPr>
                <w:rFonts w:cs="Arial"/>
              </w:rPr>
              <w:t>718 946</w:t>
            </w:r>
          </w:p>
        </w:tc>
      </w:tr>
      <w:tr w:rsidR="00B339C7" w:rsidRPr="00B339C7" w:rsidTr="000A2F95">
        <w:trPr>
          <w:trHeight w:val="283"/>
        </w:trPr>
        <w:tc>
          <w:tcPr>
            <w:tcW w:w="0" w:type="auto"/>
            <w:shd w:val="clear" w:color="auto" w:fill="FFFFFF"/>
          </w:tcPr>
          <w:p w:rsidR="00B339C7" w:rsidRPr="00B339C7" w:rsidRDefault="00B339C7" w:rsidP="000A2F95">
            <w:pPr>
              <w:spacing w:before="60"/>
              <w:rPr>
                <w:rFonts w:cs="Arial"/>
              </w:rPr>
            </w:pPr>
            <w:r w:rsidRPr="00B339C7">
              <w:rPr>
                <w:rFonts w:cs="Arial"/>
              </w:rPr>
              <w:t>Pfäffikon</w:t>
            </w:r>
          </w:p>
        </w:tc>
        <w:tc>
          <w:tcPr>
            <w:tcW w:w="0" w:type="auto"/>
            <w:shd w:val="clear" w:color="auto" w:fill="FFFFFF"/>
          </w:tcPr>
          <w:p w:rsidR="00B339C7" w:rsidRPr="00B339C7" w:rsidRDefault="00B339C7" w:rsidP="000A2F95">
            <w:pPr>
              <w:spacing w:before="60"/>
              <w:jc w:val="right"/>
              <w:rPr>
                <w:rFonts w:cs="Arial"/>
              </w:rPr>
            </w:pPr>
            <w:r w:rsidRPr="00B339C7">
              <w:rPr>
                <w:rFonts w:cs="Arial"/>
              </w:rPr>
              <w:t>15,3%</w:t>
            </w:r>
          </w:p>
        </w:tc>
        <w:tc>
          <w:tcPr>
            <w:tcW w:w="0" w:type="auto"/>
            <w:shd w:val="clear" w:color="auto" w:fill="FFFFFF"/>
          </w:tcPr>
          <w:p w:rsidR="00B339C7" w:rsidRPr="00B339C7" w:rsidRDefault="00B339C7" w:rsidP="000A2F95">
            <w:pPr>
              <w:spacing w:before="60"/>
              <w:rPr>
                <w:rFonts w:cs="Arial"/>
              </w:rPr>
            </w:pPr>
            <w:r w:rsidRPr="00B339C7">
              <w:rPr>
                <w:rFonts w:cs="Arial"/>
              </w:rPr>
              <w:t>oder rund</w:t>
            </w:r>
          </w:p>
        </w:tc>
        <w:tc>
          <w:tcPr>
            <w:tcW w:w="0" w:type="auto"/>
            <w:shd w:val="clear" w:color="auto" w:fill="FFFFFF"/>
          </w:tcPr>
          <w:p w:rsidR="00B339C7" w:rsidRPr="00B339C7" w:rsidRDefault="00B339C7" w:rsidP="000A2F95">
            <w:pPr>
              <w:spacing w:before="60"/>
              <w:rPr>
                <w:rFonts w:cs="Arial"/>
              </w:rPr>
            </w:pPr>
            <w:r w:rsidRPr="00B339C7">
              <w:rPr>
                <w:rFonts w:cs="Arial"/>
              </w:rPr>
              <w:t>Fr.</w:t>
            </w:r>
          </w:p>
        </w:tc>
        <w:tc>
          <w:tcPr>
            <w:tcW w:w="0" w:type="auto"/>
            <w:shd w:val="clear" w:color="auto" w:fill="FFFFFF"/>
          </w:tcPr>
          <w:p w:rsidR="00B339C7" w:rsidRPr="00B339C7" w:rsidRDefault="00B339C7" w:rsidP="000A2F95">
            <w:pPr>
              <w:spacing w:before="60"/>
              <w:jc w:val="right"/>
              <w:rPr>
                <w:rFonts w:cs="Arial"/>
              </w:rPr>
            </w:pPr>
            <w:r w:rsidRPr="00B339C7">
              <w:rPr>
                <w:rFonts w:cs="Arial"/>
              </w:rPr>
              <w:t>156 917</w:t>
            </w:r>
          </w:p>
        </w:tc>
      </w:tr>
      <w:tr w:rsidR="00B339C7" w:rsidRPr="00B339C7" w:rsidTr="000A2F95">
        <w:trPr>
          <w:trHeight w:val="283"/>
        </w:trPr>
        <w:tc>
          <w:tcPr>
            <w:tcW w:w="0" w:type="auto"/>
            <w:shd w:val="clear" w:color="auto" w:fill="FFFFFF"/>
          </w:tcPr>
          <w:p w:rsidR="00B339C7" w:rsidRPr="00B339C7" w:rsidRDefault="00B339C7" w:rsidP="000A2F95">
            <w:pPr>
              <w:spacing w:before="60"/>
              <w:rPr>
                <w:rFonts w:cs="Arial"/>
              </w:rPr>
            </w:pPr>
            <w:r w:rsidRPr="00B339C7">
              <w:rPr>
                <w:rFonts w:cs="Arial"/>
              </w:rPr>
              <w:t>Hittnau</w:t>
            </w:r>
          </w:p>
        </w:tc>
        <w:tc>
          <w:tcPr>
            <w:tcW w:w="0" w:type="auto"/>
            <w:shd w:val="clear" w:color="auto" w:fill="FFFFFF"/>
          </w:tcPr>
          <w:p w:rsidR="00B339C7" w:rsidRPr="00B339C7" w:rsidRDefault="00B339C7" w:rsidP="000A2F95">
            <w:pPr>
              <w:spacing w:before="60"/>
              <w:jc w:val="right"/>
              <w:rPr>
                <w:rFonts w:cs="Arial"/>
              </w:rPr>
            </w:pPr>
            <w:r w:rsidRPr="00B339C7">
              <w:rPr>
                <w:rFonts w:cs="Arial"/>
              </w:rPr>
              <w:t>7,4%</w:t>
            </w:r>
          </w:p>
        </w:tc>
        <w:tc>
          <w:tcPr>
            <w:tcW w:w="0" w:type="auto"/>
            <w:shd w:val="clear" w:color="auto" w:fill="FFFFFF"/>
          </w:tcPr>
          <w:p w:rsidR="00B339C7" w:rsidRPr="00B339C7" w:rsidRDefault="00B339C7" w:rsidP="000A2F95">
            <w:pPr>
              <w:spacing w:before="60"/>
              <w:rPr>
                <w:rFonts w:cs="Arial"/>
              </w:rPr>
            </w:pPr>
            <w:r w:rsidRPr="00B339C7">
              <w:rPr>
                <w:rFonts w:cs="Arial"/>
              </w:rPr>
              <w:t>oder rund</w:t>
            </w:r>
          </w:p>
        </w:tc>
        <w:tc>
          <w:tcPr>
            <w:tcW w:w="0" w:type="auto"/>
            <w:shd w:val="clear" w:color="auto" w:fill="FFFFFF"/>
          </w:tcPr>
          <w:p w:rsidR="00B339C7" w:rsidRPr="00B339C7" w:rsidRDefault="00B339C7" w:rsidP="000A2F95">
            <w:pPr>
              <w:spacing w:before="60"/>
              <w:rPr>
                <w:rFonts w:cs="Arial"/>
              </w:rPr>
            </w:pPr>
            <w:r w:rsidRPr="00B339C7">
              <w:rPr>
                <w:rFonts w:cs="Arial"/>
              </w:rPr>
              <w:t>Fr.</w:t>
            </w:r>
          </w:p>
        </w:tc>
        <w:tc>
          <w:tcPr>
            <w:tcW w:w="0" w:type="auto"/>
            <w:shd w:val="clear" w:color="auto" w:fill="FFFFFF"/>
          </w:tcPr>
          <w:p w:rsidR="00B339C7" w:rsidRPr="00B339C7" w:rsidRDefault="00B339C7" w:rsidP="000A2F95">
            <w:pPr>
              <w:spacing w:before="60"/>
              <w:jc w:val="right"/>
              <w:rPr>
                <w:rFonts w:cs="Arial"/>
              </w:rPr>
            </w:pPr>
            <w:r w:rsidRPr="00B339C7">
              <w:rPr>
                <w:rFonts w:cs="Arial"/>
              </w:rPr>
              <w:t>75 894</w:t>
            </w:r>
          </w:p>
        </w:tc>
      </w:tr>
      <w:tr w:rsidR="00B339C7" w:rsidRPr="00B339C7" w:rsidTr="000A2F95">
        <w:trPr>
          <w:trHeight w:val="283"/>
        </w:trPr>
        <w:tc>
          <w:tcPr>
            <w:tcW w:w="0" w:type="auto"/>
            <w:shd w:val="clear" w:color="auto" w:fill="FFFFFF"/>
          </w:tcPr>
          <w:p w:rsidR="00B339C7" w:rsidRPr="00B339C7" w:rsidRDefault="00B339C7" w:rsidP="000A2F95">
            <w:pPr>
              <w:spacing w:before="60"/>
              <w:rPr>
                <w:rFonts w:cs="Arial"/>
              </w:rPr>
            </w:pPr>
            <w:r w:rsidRPr="00B339C7">
              <w:rPr>
                <w:rFonts w:cs="Arial"/>
              </w:rPr>
              <w:t>Bäretswil</w:t>
            </w:r>
          </w:p>
        </w:tc>
        <w:tc>
          <w:tcPr>
            <w:tcW w:w="0" w:type="auto"/>
            <w:tcBorders>
              <w:bottom w:val="single" w:sz="4" w:space="0" w:color="auto"/>
            </w:tcBorders>
            <w:shd w:val="clear" w:color="auto" w:fill="FFFFFF"/>
          </w:tcPr>
          <w:p w:rsidR="00B339C7" w:rsidRPr="00B339C7" w:rsidRDefault="00B339C7" w:rsidP="000A2F95">
            <w:pPr>
              <w:spacing w:before="60"/>
              <w:jc w:val="right"/>
              <w:rPr>
                <w:rFonts w:cs="Arial"/>
              </w:rPr>
            </w:pPr>
            <w:r w:rsidRPr="00B339C7">
              <w:rPr>
                <w:rFonts w:cs="Arial"/>
              </w:rPr>
              <w:t>7,2%</w:t>
            </w:r>
          </w:p>
        </w:tc>
        <w:tc>
          <w:tcPr>
            <w:tcW w:w="0" w:type="auto"/>
            <w:shd w:val="clear" w:color="auto" w:fill="FFFFFF"/>
          </w:tcPr>
          <w:p w:rsidR="00B339C7" w:rsidRPr="00B339C7" w:rsidRDefault="00B339C7" w:rsidP="000A2F95">
            <w:pPr>
              <w:spacing w:before="60"/>
              <w:rPr>
                <w:rFonts w:cs="Arial"/>
              </w:rPr>
            </w:pPr>
            <w:r w:rsidRPr="00B339C7">
              <w:rPr>
                <w:rFonts w:cs="Arial"/>
              </w:rPr>
              <w:t>oder rund</w:t>
            </w:r>
          </w:p>
        </w:tc>
        <w:tc>
          <w:tcPr>
            <w:tcW w:w="0" w:type="auto"/>
            <w:shd w:val="clear" w:color="auto" w:fill="FFFFFF"/>
          </w:tcPr>
          <w:p w:rsidR="00B339C7" w:rsidRPr="00B339C7" w:rsidRDefault="00B339C7" w:rsidP="000A2F95">
            <w:pPr>
              <w:spacing w:before="60"/>
              <w:rPr>
                <w:rFonts w:cs="Arial"/>
              </w:rPr>
            </w:pPr>
            <w:r w:rsidRPr="00B339C7">
              <w:rPr>
                <w:rFonts w:cs="Arial"/>
              </w:rPr>
              <w:t>Fr.</w:t>
            </w:r>
          </w:p>
        </w:tc>
        <w:tc>
          <w:tcPr>
            <w:tcW w:w="0" w:type="auto"/>
            <w:tcBorders>
              <w:bottom w:val="single" w:sz="4" w:space="0" w:color="auto"/>
            </w:tcBorders>
            <w:shd w:val="clear" w:color="auto" w:fill="FFFFFF"/>
          </w:tcPr>
          <w:p w:rsidR="00B339C7" w:rsidRPr="00B339C7" w:rsidRDefault="00B339C7" w:rsidP="000A2F95">
            <w:pPr>
              <w:spacing w:before="60"/>
              <w:jc w:val="right"/>
              <w:rPr>
                <w:rFonts w:cs="Arial"/>
              </w:rPr>
            </w:pPr>
            <w:r w:rsidRPr="00B339C7">
              <w:rPr>
                <w:rFonts w:cs="Arial"/>
              </w:rPr>
              <w:t>73 843</w:t>
            </w:r>
          </w:p>
        </w:tc>
      </w:tr>
      <w:tr w:rsidR="00B339C7" w:rsidRPr="00B339C7" w:rsidTr="000A2F95">
        <w:trPr>
          <w:trHeight w:val="283"/>
        </w:trPr>
        <w:tc>
          <w:tcPr>
            <w:tcW w:w="0" w:type="auto"/>
            <w:shd w:val="clear" w:color="auto" w:fill="FFFFFF"/>
          </w:tcPr>
          <w:p w:rsidR="00B339C7" w:rsidRPr="00B339C7" w:rsidRDefault="00B339C7" w:rsidP="000A2F95">
            <w:pPr>
              <w:spacing w:before="60"/>
              <w:rPr>
                <w:rFonts w:cs="Arial"/>
              </w:rPr>
            </w:pPr>
            <w:r w:rsidRPr="00B339C7">
              <w:rPr>
                <w:rFonts w:cs="Arial"/>
              </w:rPr>
              <w:t>Total beitragsberechtigt</w:t>
            </w:r>
          </w:p>
        </w:tc>
        <w:tc>
          <w:tcPr>
            <w:tcW w:w="0" w:type="auto"/>
            <w:tcBorders>
              <w:top w:val="single" w:sz="4" w:space="0" w:color="auto"/>
              <w:bottom w:val="single" w:sz="4" w:space="0" w:color="auto"/>
            </w:tcBorders>
            <w:shd w:val="clear" w:color="auto" w:fill="FFFFFF"/>
          </w:tcPr>
          <w:p w:rsidR="00B339C7" w:rsidRPr="00B339C7" w:rsidRDefault="00B339C7" w:rsidP="000A2F95">
            <w:pPr>
              <w:spacing w:before="60"/>
              <w:jc w:val="right"/>
              <w:rPr>
                <w:rFonts w:cs="Arial"/>
              </w:rPr>
            </w:pPr>
            <w:r w:rsidRPr="00B339C7">
              <w:rPr>
                <w:rFonts w:cs="Arial"/>
              </w:rPr>
              <w:t>100,0%</w:t>
            </w:r>
          </w:p>
        </w:tc>
        <w:tc>
          <w:tcPr>
            <w:tcW w:w="0" w:type="auto"/>
            <w:shd w:val="clear" w:color="auto" w:fill="FFFFFF"/>
          </w:tcPr>
          <w:p w:rsidR="00B339C7" w:rsidRPr="00B339C7" w:rsidRDefault="00B339C7" w:rsidP="000A2F95">
            <w:pPr>
              <w:spacing w:before="60"/>
              <w:rPr>
                <w:rFonts w:cs="Arial"/>
                <w:szCs w:val="10"/>
              </w:rPr>
            </w:pPr>
          </w:p>
        </w:tc>
        <w:tc>
          <w:tcPr>
            <w:tcW w:w="0" w:type="auto"/>
            <w:shd w:val="clear" w:color="auto" w:fill="FFFFFF"/>
          </w:tcPr>
          <w:p w:rsidR="00B339C7" w:rsidRPr="00B339C7" w:rsidRDefault="00B339C7" w:rsidP="000A2F95">
            <w:pPr>
              <w:spacing w:before="60"/>
              <w:rPr>
                <w:rFonts w:cs="Arial"/>
              </w:rPr>
            </w:pPr>
            <w:r w:rsidRPr="00B339C7">
              <w:rPr>
                <w:rFonts w:cs="Arial"/>
              </w:rPr>
              <w:t>Fr.</w:t>
            </w:r>
          </w:p>
        </w:tc>
        <w:tc>
          <w:tcPr>
            <w:tcW w:w="0" w:type="auto"/>
            <w:tcBorders>
              <w:top w:val="single" w:sz="4" w:space="0" w:color="auto"/>
              <w:bottom w:val="single" w:sz="4" w:space="0" w:color="auto"/>
            </w:tcBorders>
            <w:shd w:val="clear" w:color="auto" w:fill="FFFFFF"/>
          </w:tcPr>
          <w:p w:rsidR="00B339C7" w:rsidRPr="00B339C7" w:rsidRDefault="00B339C7" w:rsidP="000A2F95">
            <w:pPr>
              <w:spacing w:before="60"/>
              <w:jc w:val="right"/>
              <w:rPr>
                <w:rFonts w:cs="Arial"/>
              </w:rPr>
            </w:pPr>
            <w:r w:rsidRPr="00B339C7">
              <w:rPr>
                <w:rFonts w:cs="Arial"/>
              </w:rPr>
              <w:t>1 025 600</w:t>
            </w:r>
          </w:p>
        </w:tc>
      </w:tr>
    </w:tbl>
    <w:p w:rsidR="00B339C7" w:rsidRPr="00B339C7" w:rsidRDefault="00B339C7" w:rsidP="00BE768B">
      <w:pPr>
        <w:pStyle w:val="00Vorgabetext"/>
        <w:rPr>
          <w:rFonts w:cs="Arial"/>
        </w:rPr>
      </w:pPr>
      <w:r w:rsidRPr="00B339C7">
        <w:rPr>
          <w:rFonts w:cs="Arial"/>
        </w:rPr>
        <w:t>Den beteiligten Gemeinden können aufgrund ihrer Finanzkraftindizes (FKI) für das Jahr 1994 folgende Kostenanteile in Aussicht gestellt werden:</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925"/>
        <w:gridCol w:w="289"/>
        <w:gridCol w:w="816"/>
        <w:gridCol w:w="552"/>
        <w:gridCol w:w="388"/>
        <w:gridCol w:w="461"/>
        <w:gridCol w:w="962"/>
        <w:gridCol w:w="289"/>
        <w:gridCol w:w="816"/>
      </w:tblGrid>
      <w:tr w:rsidR="00B339C7" w:rsidRPr="00B339C7" w:rsidTr="000A2F95">
        <w:trPr>
          <w:trHeight w:val="283"/>
        </w:trPr>
        <w:tc>
          <w:tcPr>
            <w:tcW w:w="0" w:type="auto"/>
            <w:shd w:val="clear" w:color="auto" w:fill="FFFFFF"/>
          </w:tcPr>
          <w:p w:rsidR="00B339C7" w:rsidRPr="00B339C7" w:rsidRDefault="00B339C7" w:rsidP="000A2F95">
            <w:pPr>
              <w:spacing w:before="60"/>
              <w:rPr>
                <w:rFonts w:cs="Arial"/>
                <w:szCs w:val="10"/>
              </w:rPr>
            </w:pPr>
          </w:p>
        </w:tc>
        <w:tc>
          <w:tcPr>
            <w:tcW w:w="0" w:type="auto"/>
            <w:shd w:val="clear" w:color="auto" w:fill="FFFFFF"/>
          </w:tcPr>
          <w:p w:rsidR="00B339C7" w:rsidRPr="00B339C7" w:rsidRDefault="00B339C7" w:rsidP="000A2F95">
            <w:pPr>
              <w:spacing w:before="60"/>
              <w:rPr>
                <w:rFonts w:cs="Arial"/>
                <w:szCs w:val="10"/>
              </w:rPr>
            </w:pPr>
          </w:p>
        </w:tc>
        <w:tc>
          <w:tcPr>
            <w:tcW w:w="0" w:type="auto"/>
            <w:shd w:val="clear" w:color="auto" w:fill="FFFFFF"/>
          </w:tcPr>
          <w:p w:rsidR="00B339C7" w:rsidRPr="00B339C7" w:rsidRDefault="00B339C7" w:rsidP="000A2F95">
            <w:pPr>
              <w:spacing w:before="60"/>
              <w:jc w:val="right"/>
              <w:rPr>
                <w:rFonts w:cs="Arial"/>
                <w:szCs w:val="10"/>
              </w:rPr>
            </w:pPr>
          </w:p>
        </w:tc>
        <w:tc>
          <w:tcPr>
            <w:tcW w:w="0" w:type="auto"/>
            <w:shd w:val="clear" w:color="auto" w:fill="FFFFFF"/>
          </w:tcPr>
          <w:p w:rsidR="00B339C7" w:rsidRPr="00B339C7" w:rsidRDefault="00B339C7" w:rsidP="000A2F95">
            <w:pPr>
              <w:spacing w:before="60"/>
              <w:rPr>
                <w:rFonts w:cs="Arial"/>
                <w:szCs w:val="10"/>
              </w:rPr>
            </w:pPr>
          </w:p>
        </w:tc>
        <w:tc>
          <w:tcPr>
            <w:tcW w:w="0" w:type="auto"/>
            <w:shd w:val="clear" w:color="auto" w:fill="FFFFFF"/>
          </w:tcPr>
          <w:p w:rsidR="00B339C7" w:rsidRPr="00B339C7" w:rsidRDefault="00B339C7" w:rsidP="000A2F95">
            <w:pPr>
              <w:spacing w:before="60"/>
              <w:rPr>
                <w:rFonts w:cs="Arial"/>
                <w:szCs w:val="10"/>
              </w:rPr>
            </w:pPr>
          </w:p>
        </w:tc>
        <w:tc>
          <w:tcPr>
            <w:tcW w:w="0" w:type="auto"/>
            <w:gridSpan w:val="2"/>
            <w:shd w:val="clear" w:color="auto" w:fill="FFFFFF"/>
          </w:tcPr>
          <w:p w:rsidR="00B339C7" w:rsidRPr="00B339C7" w:rsidRDefault="00B339C7" w:rsidP="000A2F95">
            <w:pPr>
              <w:spacing w:before="60"/>
              <w:rPr>
                <w:rFonts w:cs="Arial"/>
              </w:rPr>
            </w:pPr>
            <w:r w:rsidRPr="00B339C7">
              <w:rPr>
                <w:rFonts w:cs="Arial"/>
              </w:rPr>
              <w:t>Kostenanteile</w:t>
            </w:r>
          </w:p>
        </w:tc>
        <w:tc>
          <w:tcPr>
            <w:tcW w:w="0" w:type="auto"/>
            <w:shd w:val="clear" w:color="auto" w:fill="FFFFFF"/>
          </w:tcPr>
          <w:p w:rsidR="00B339C7" w:rsidRPr="00B339C7" w:rsidRDefault="00B339C7" w:rsidP="000A2F95">
            <w:pPr>
              <w:spacing w:before="60"/>
              <w:rPr>
                <w:rFonts w:cs="Arial"/>
                <w:szCs w:val="10"/>
              </w:rPr>
            </w:pPr>
          </w:p>
        </w:tc>
        <w:tc>
          <w:tcPr>
            <w:tcW w:w="0" w:type="auto"/>
            <w:shd w:val="clear" w:color="auto" w:fill="FFFFFF"/>
          </w:tcPr>
          <w:p w:rsidR="00B339C7" w:rsidRPr="00B339C7" w:rsidRDefault="00B339C7" w:rsidP="000A2F95">
            <w:pPr>
              <w:spacing w:before="60"/>
              <w:jc w:val="right"/>
              <w:rPr>
                <w:rFonts w:cs="Arial"/>
                <w:szCs w:val="10"/>
              </w:rPr>
            </w:pPr>
          </w:p>
        </w:tc>
      </w:tr>
      <w:tr w:rsidR="00B339C7" w:rsidRPr="00B339C7" w:rsidTr="000A2F95">
        <w:trPr>
          <w:trHeight w:val="283"/>
        </w:trPr>
        <w:tc>
          <w:tcPr>
            <w:tcW w:w="0" w:type="auto"/>
            <w:shd w:val="clear" w:color="auto" w:fill="FFFFFF"/>
          </w:tcPr>
          <w:p w:rsidR="00B339C7" w:rsidRPr="00B339C7" w:rsidRDefault="00B339C7" w:rsidP="000A2F95">
            <w:pPr>
              <w:spacing w:before="60"/>
              <w:rPr>
                <w:rFonts w:cs="Arial"/>
              </w:rPr>
            </w:pPr>
            <w:r w:rsidRPr="00B339C7">
              <w:rPr>
                <w:rFonts w:cs="Arial"/>
              </w:rPr>
              <w:t>Wetzikon</w:t>
            </w:r>
          </w:p>
        </w:tc>
        <w:tc>
          <w:tcPr>
            <w:tcW w:w="0" w:type="auto"/>
            <w:shd w:val="clear" w:color="auto" w:fill="FFFFFF"/>
          </w:tcPr>
          <w:p w:rsidR="00B339C7" w:rsidRPr="00B339C7" w:rsidRDefault="00B339C7" w:rsidP="000A2F95">
            <w:pPr>
              <w:spacing w:before="60"/>
              <w:rPr>
                <w:rFonts w:cs="Arial"/>
              </w:rPr>
            </w:pPr>
            <w:r w:rsidRPr="00B339C7">
              <w:rPr>
                <w:rFonts w:cs="Arial"/>
              </w:rPr>
              <w:t>Fr.</w:t>
            </w:r>
          </w:p>
        </w:tc>
        <w:tc>
          <w:tcPr>
            <w:tcW w:w="0" w:type="auto"/>
            <w:shd w:val="clear" w:color="auto" w:fill="FFFFFF"/>
          </w:tcPr>
          <w:p w:rsidR="00B339C7" w:rsidRPr="00B339C7" w:rsidRDefault="00B339C7" w:rsidP="000A2F95">
            <w:pPr>
              <w:spacing w:before="60"/>
              <w:jc w:val="right"/>
              <w:rPr>
                <w:rFonts w:cs="Arial"/>
              </w:rPr>
            </w:pPr>
            <w:r w:rsidRPr="00B339C7">
              <w:rPr>
                <w:rFonts w:cs="Arial"/>
              </w:rPr>
              <w:t>718 946</w:t>
            </w:r>
          </w:p>
        </w:tc>
        <w:tc>
          <w:tcPr>
            <w:tcW w:w="0" w:type="auto"/>
            <w:shd w:val="clear" w:color="auto" w:fill="FFFFFF"/>
          </w:tcPr>
          <w:p w:rsidR="00B339C7" w:rsidRPr="00B339C7" w:rsidRDefault="00B339C7" w:rsidP="000A2F95">
            <w:pPr>
              <w:spacing w:before="60"/>
              <w:rPr>
                <w:rFonts w:cs="Arial"/>
              </w:rPr>
            </w:pPr>
            <w:r w:rsidRPr="00B339C7">
              <w:rPr>
                <w:rFonts w:cs="Arial"/>
              </w:rPr>
              <w:t>FKI =</w:t>
            </w:r>
          </w:p>
        </w:tc>
        <w:tc>
          <w:tcPr>
            <w:tcW w:w="0" w:type="auto"/>
            <w:shd w:val="clear" w:color="auto" w:fill="FFFFFF"/>
          </w:tcPr>
          <w:p w:rsidR="00B339C7" w:rsidRPr="00B339C7" w:rsidRDefault="00B339C7" w:rsidP="000A2F95">
            <w:pPr>
              <w:spacing w:before="60"/>
              <w:jc w:val="right"/>
              <w:rPr>
                <w:rFonts w:cs="Arial"/>
              </w:rPr>
            </w:pPr>
            <w:r w:rsidRPr="00B339C7">
              <w:rPr>
                <w:rFonts w:cs="Arial"/>
              </w:rPr>
              <w:t>113</w:t>
            </w:r>
          </w:p>
        </w:tc>
        <w:tc>
          <w:tcPr>
            <w:tcW w:w="0" w:type="auto"/>
            <w:shd w:val="clear" w:color="auto" w:fill="FFFFFF"/>
          </w:tcPr>
          <w:p w:rsidR="00B339C7" w:rsidRPr="00B339C7" w:rsidRDefault="00B339C7" w:rsidP="000A2F95">
            <w:pPr>
              <w:spacing w:before="60"/>
              <w:jc w:val="right"/>
              <w:rPr>
                <w:rFonts w:cs="Arial"/>
              </w:rPr>
            </w:pPr>
            <w:r w:rsidRPr="00B339C7">
              <w:rPr>
                <w:rFonts w:cs="Arial"/>
              </w:rPr>
              <w:t>10%</w:t>
            </w:r>
          </w:p>
        </w:tc>
        <w:tc>
          <w:tcPr>
            <w:tcW w:w="0" w:type="auto"/>
            <w:shd w:val="clear" w:color="auto" w:fill="FFFFFF"/>
          </w:tcPr>
          <w:p w:rsidR="00B339C7" w:rsidRPr="00B339C7" w:rsidRDefault="00B339C7" w:rsidP="000A2F95">
            <w:pPr>
              <w:spacing w:before="60"/>
              <w:rPr>
                <w:rFonts w:cs="Arial"/>
              </w:rPr>
            </w:pPr>
            <w:r w:rsidRPr="00B339C7">
              <w:rPr>
                <w:rFonts w:cs="Arial"/>
              </w:rPr>
              <w:t>oder rund</w:t>
            </w:r>
          </w:p>
        </w:tc>
        <w:tc>
          <w:tcPr>
            <w:tcW w:w="0" w:type="auto"/>
            <w:shd w:val="clear" w:color="auto" w:fill="FFFFFF"/>
          </w:tcPr>
          <w:p w:rsidR="00B339C7" w:rsidRPr="00B339C7" w:rsidRDefault="00B339C7" w:rsidP="000A2F95">
            <w:pPr>
              <w:spacing w:before="60"/>
              <w:rPr>
                <w:rFonts w:cs="Arial"/>
              </w:rPr>
            </w:pPr>
            <w:r w:rsidRPr="00B339C7">
              <w:rPr>
                <w:rFonts w:cs="Arial"/>
              </w:rPr>
              <w:t>Fr.</w:t>
            </w:r>
          </w:p>
        </w:tc>
        <w:tc>
          <w:tcPr>
            <w:tcW w:w="0" w:type="auto"/>
            <w:shd w:val="clear" w:color="auto" w:fill="FFFFFF"/>
          </w:tcPr>
          <w:p w:rsidR="00B339C7" w:rsidRPr="00B339C7" w:rsidRDefault="00B339C7" w:rsidP="000A2F95">
            <w:pPr>
              <w:spacing w:before="60"/>
              <w:jc w:val="right"/>
              <w:rPr>
                <w:rFonts w:cs="Arial"/>
              </w:rPr>
            </w:pPr>
            <w:r w:rsidRPr="00B339C7">
              <w:rPr>
                <w:rFonts w:cs="Arial"/>
              </w:rPr>
              <w:t>71 895</w:t>
            </w:r>
          </w:p>
        </w:tc>
      </w:tr>
      <w:tr w:rsidR="00B339C7" w:rsidRPr="00B339C7" w:rsidTr="000A2F95">
        <w:trPr>
          <w:trHeight w:val="283"/>
        </w:trPr>
        <w:tc>
          <w:tcPr>
            <w:tcW w:w="0" w:type="auto"/>
            <w:shd w:val="clear" w:color="auto" w:fill="FFFFFF"/>
          </w:tcPr>
          <w:p w:rsidR="00B339C7" w:rsidRPr="00B339C7" w:rsidRDefault="00B339C7" w:rsidP="000A2F95">
            <w:pPr>
              <w:spacing w:before="60"/>
              <w:rPr>
                <w:rFonts w:cs="Arial"/>
              </w:rPr>
            </w:pPr>
            <w:r w:rsidRPr="00B339C7">
              <w:rPr>
                <w:rFonts w:cs="Arial"/>
              </w:rPr>
              <w:t>Pfäffikon</w:t>
            </w:r>
          </w:p>
        </w:tc>
        <w:tc>
          <w:tcPr>
            <w:tcW w:w="0" w:type="auto"/>
            <w:shd w:val="clear" w:color="auto" w:fill="FFFFFF"/>
          </w:tcPr>
          <w:p w:rsidR="00B339C7" w:rsidRPr="00B339C7" w:rsidRDefault="00B339C7" w:rsidP="000A2F95">
            <w:pPr>
              <w:spacing w:before="60"/>
              <w:rPr>
                <w:rFonts w:cs="Arial"/>
              </w:rPr>
            </w:pPr>
            <w:r w:rsidRPr="00B339C7">
              <w:rPr>
                <w:rFonts w:cs="Arial"/>
              </w:rPr>
              <w:t>Fr.</w:t>
            </w:r>
          </w:p>
        </w:tc>
        <w:tc>
          <w:tcPr>
            <w:tcW w:w="0" w:type="auto"/>
            <w:shd w:val="clear" w:color="auto" w:fill="FFFFFF"/>
          </w:tcPr>
          <w:p w:rsidR="00B339C7" w:rsidRPr="00B339C7" w:rsidRDefault="00B339C7" w:rsidP="000A2F95">
            <w:pPr>
              <w:spacing w:before="60"/>
              <w:jc w:val="right"/>
              <w:rPr>
                <w:rFonts w:cs="Arial"/>
              </w:rPr>
            </w:pPr>
            <w:r w:rsidRPr="00B339C7">
              <w:rPr>
                <w:rFonts w:cs="Arial"/>
              </w:rPr>
              <w:t>156 917</w:t>
            </w:r>
          </w:p>
        </w:tc>
        <w:tc>
          <w:tcPr>
            <w:tcW w:w="0" w:type="auto"/>
            <w:shd w:val="clear" w:color="auto" w:fill="FFFFFF"/>
          </w:tcPr>
          <w:p w:rsidR="00B339C7" w:rsidRPr="00B339C7" w:rsidRDefault="00B339C7" w:rsidP="000A2F95">
            <w:pPr>
              <w:spacing w:before="60"/>
              <w:rPr>
                <w:rFonts w:cs="Arial"/>
              </w:rPr>
            </w:pPr>
            <w:r w:rsidRPr="00B339C7">
              <w:rPr>
                <w:rFonts w:cs="Arial"/>
              </w:rPr>
              <w:t>FKI =</w:t>
            </w:r>
          </w:p>
        </w:tc>
        <w:tc>
          <w:tcPr>
            <w:tcW w:w="0" w:type="auto"/>
            <w:shd w:val="clear" w:color="auto" w:fill="FFFFFF"/>
          </w:tcPr>
          <w:p w:rsidR="00B339C7" w:rsidRPr="00B339C7" w:rsidRDefault="00B339C7" w:rsidP="000A2F95">
            <w:pPr>
              <w:spacing w:before="60"/>
              <w:jc w:val="right"/>
              <w:rPr>
                <w:rFonts w:cs="Arial"/>
              </w:rPr>
            </w:pPr>
            <w:r w:rsidRPr="00B339C7">
              <w:rPr>
                <w:rFonts w:cs="Arial"/>
              </w:rPr>
              <w:t>105</w:t>
            </w:r>
          </w:p>
        </w:tc>
        <w:tc>
          <w:tcPr>
            <w:tcW w:w="0" w:type="auto"/>
            <w:shd w:val="clear" w:color="auto" w:fill="FFFFFF"/>
          </w:tcPr>
          <w:p w:rsidR="00B339C7" w:rsidRPr="00B339C7" w:rsidRDefault="00B339C7" w:rsidP="000A2F95">
            <w:pPr>
              <w:spacing w:before="60"/>
              <w:jc w:val="right"/>
              <w:rPr>
                <w:rFonts w:cs="Arial"/>
              </w:rPr>
            </w:pPr>
            <w:r w:rsidRPr="00B339C7">
              <w:rPr>
                <w:rFonts w:cs="Arial"/>
              </w:rPr>
              <w:t>35%</w:t>
            </w:r>
          </w:p>
        </w:tc>
        <w:tc>
          <w:tcPr>
            <w:tcW w:w="0" w:type="auto"/>
            <w:shd w:val="clear" w:color="auto" w:fill="FFFFFF"/>
          </w:tcPr>
          <w:p w:rsidR="00B339C7" w:rsidRPr="00B339C7" w:rsidRDefault="00B339C7" w:rsidP="000A2F95">
            <w:pPr>
              <w:spacing w:before="60"/>
              <w:rPr>
                <w:rFonts w:cs="Arial"/>
              </w:rPr>
            </w:pPr>
            <w:r w:rsidRPr="00B339C7">
              <w:rPr>
                <w:rFonts w:cs="Arial"/>
              </w:rPr>
              <w:t>oder rund</w:t>
            </w:r>
          </w:p>
        </w:tc>
        <w:tc>
          <w:tcPr>
            <w:tcW w:w="0" w:type="auto"/>
            <w:shd w:val="clear" w:color="auto" w:fill="FFFFFF"/>
          </w:tcPr>
          <w:p w:rsidR="00B339C7" w:rsidRPr="00B339C7" w:rsidRDefault="00B339C7" w:rsidP="000A2F95">
            <w:pPr>
              <w:spacing w:before="60"/>
              <w:rPr>
                <w:rFonts w:cs="Arial"/>
              </w:rPr>
            </w:pPr>
            <w:r w:rsidRPr="00B339C7">
              <w:rPr>
                <w:rFonts w:cs="Arial"/>
              </w:rPr>
              <w:t>Fr.</w:t>
            </w:r>
          </w:p>
        </w:tc>
        <w:tc>
          <w:tcPr>
            <w:tcW w:w="0" w:type="auto"/>
            <w:shd w:val="clear" w:color="auto" w:fill="FFFFFF"/>
          </w:tcPr>
          <w:p w:rsidR="00B339C7" w:rsidRPr="00B339C7" w:rsidRDefault="00B339C7" w:rsidP="000A2F95">
            <w:pPr>
              <w:spacing w:before="60"/>
              <w:jc w:val="right"/>
              <w:rPr>
                <w:rFonts w:cs="Arial"/>
              </w:rPr>
            </w:pPr>
            <w:r w:rsidRPr="00B339C7">
              <w:rPr>
                <w:rFonts w:cs="Arial"/>
              </w:rPr>
              <w:t>54 920</w:t>
            </w:r>
          </w:p>
        </w:tc>
      </w:tr>
      <w:tr w:rsidR="00B339C7" w:rsidRPr="00B339C7" w:rsidTr="000A2F95">
        <w:trPr>
          <w:trHeight w:val="283"/>
        </w:trPr>
        <w:tc>
          <w:tcPr>
            <w:tcW w:w="0" w:type="auto"/>
            <w:shd w:val="clear" w:color="auto" w:fill="FFFFFF"/>
          </w:tcPr>
          <w:p w:rsidR="00B339C7" w:rsidRPr="00B339C7" w:rsidRDefault="00B339C7" w:rsidP="000A2F95">
            <w:pPr>
              <w:spacing w:before="60"/>
              <w:rPr>
                <w:rFonts w:cs="Arial"/>
              </w:rPr>
            </w:pPr>
            <w:r w:rsidRPr="00B339C7">
              <w:rPr>
                <w:rFonts w:cs="Arial"/>
              </w:rPr>
              <w:t>Hittnau</w:t>
            </w:r>
          </w:p>
        </w:tc>
        <w:tc>
          <w:tcPr>
            <w:tcW w:w="0" w:type="auto"/>
            <w:shd w:val="clear" w:color="auto" w:fill="FFFFFF"/>
          </w:tcPr>
          <w:p w:rsidR="00B339C7" w:rsidRPr="00B339C7" w:rsidRDefault="00B339C7" w:rsidP="000A2F95">
            <w:pPr>
              <w:spacing w:before="60"/>
              <w:rPr>
                <w:rFonts w:cs="Arial"/>
              </w:rPr>
            </w:pPr>
            <w:r w:rsidRPr="00B339C7">
              <w:rPr>
                <w:rFonts w:cs="Arial"/>
              </w:rPr>
              <w:t>Fr.</w:t>
            </w:r>
          </w:p>
        </w:tc>
        <w:tc>
          <w:tcPr>
            <w:tcW w:w="0" w:type="auto"/>
            <w:shd w:val="clear" w:color="auto" w:fill="FFFFFF"/>
          </w:tcPr>
          <w:p w:rsidR="00B339C7" w:rsidRPr="00B339C7" w:rsidRDefault="00B339C7" w:rsidP="000A2F95">
            <w:pPr>
              <w:spacing w:before="60"/>
              <w:jc w:val="right"/>
              <w:rPr>
                <w:rFonts w:cs="Arial"/>
              </w:rPr>
            </w:pPr>
            <w:r w:rsidRPr="00B339C7">
              <w:rPr>
                <w:rFonts w:cs="Arial"/>
              </w:rPr>
              <w:t>75 894</w:t>
            </w:r>
          </w:p>
        </w:tc>
        <w:tc>
          <w:tcPr>
            <w:tcW w:w="0" w:type="auto"/>
            <w:shd w:val="clear" w:color="auto" w:fill="FFFFFF"/>
          </w:tcPr>
          <w:p w:rsidR="00B339C7" w:rsidRPr="00B339C7" w:rsidRDefault="00B339C7" w:rsidP="000A2F95">
            <w:pPr>
              <w:spacing w:before="60"/>
              <w:rPr>
                <w:rFonts w:cs="Arial"/>
              </w:rPr>
            </w:pPr>
            <w:r w:rsidRPr="00B339C7">
              <w:rPr>
                <w:rFonts w:cs="Arial"/>
              </w:rPr>
              <w:t>FKI =</w:t>
            </w:r>
          </w:p>
        </w:tc>
        <w:tc>
          <w:tcPr>
            <w:tcW w:w="0" w:type="auto"/>
            <w:shd w:val="clear" w:color="auto" w:fill="FFFFFF"/>
          </w:tcPr>
          <w:p w:rsidR="00B339C7" w:rsidRPr="00B339C7" w:rsidRDefault="00B339C7" w:rsidP="000A2F95">
            <w:pPr>
              <w:spacing w:before="60"/>
              <w:jc w:val="right"/>
              <w:rPr>
                <w:rFonts w:cs="Arial"/>
              </w:rPr>
            </w:pPr>
            <w:r w:rsidRPr="00B339C7">
              <w:rPr>
                <w:rFonts w:cs="Arial"/>
              </w:rPr>
              <w:t>107</w:t>
            </w:r>
          </w:p>
        </w:tc>
        <w:tc>
          <w:tcPr>
            <w:tcW w:w="0" w:type="auto"/>
            <w:shd w:val="clear" w:color="auto" w:fill="FFFFFF"/>
          </w:tcPr>
          <w:p w:rsidR="00B339C7" w:rsidRPr="00B339C7" w:rsidRDefault="00B339C7" w:rsidP="000A2F95">
            <w:pPr>
              <w:spacing w:before="60"/>
              <w:jc w:val="right"/>
              <w:rPr>
                <w:rFonts w:cs="Arial"/>
              </w:rPr>
            </w:pPr>
            <w:r w:rsidRPr="00B339C7">
              <w:rPr>
                <w:rFonts w:cs="Arial"/>
              </w:rPr>
              <w:t>25%</w:t>
            </w:r>
          </w:p>
        </w:tc>
        <w:tc>
          <w:tcPr>
            <w:tcW w:w="0" w:type="auto"/>
            <w:shd w:val="clear" w:color="auto" w:fill="FFFFFF"/>
          </w:tcPr>
          <w:p w:rsidR="00B339C7" w:rsidRPr="00B339C7" w:rsidRDefault="00B339C7" w:rsidP="000A2F95">
            <w:pPr>
              <w:spacing w:before="60"/>
              <w:rPr>
                <w:rFonts w:cs="Arial"/>
              </w:rPr>
            </w:pPr>
            <w:r w:rsidRPr="00B339C7">
              <w:rPr>
                <w:rFonts w:cs="Arial"/>
              </w:rPr>
              <w:t>oder rund</w:t>
            </w:r>
          </w:p>
        </w:tc>
        <w:tc>
          <w:tcPr>
            <w:tcW w:w="0" w:type="auto"/>
            <w:shd w:val="clear" w:color="auto" w:fill="FFFFFF"/>
          </w:tcPr>
          <w:p w:rsidR="00B339C7" w:rsidRPr="00B339C7" w:rsidRDefault="00B339C7" w:rsidP="000A2F95">
            <w:pPr>
              <w:spacing w:before="60"/>
              <w:rPr>
                <w:rFonts w:cs="Arial"/>
              </w:rPr>
            </w:pPr>
            <w:r w:rsidRPr="00B339C7">
              <w:rPr>
                <w:rFonts w:cs="Arial"/>
              </w:rPr>
              <w:t>Fr.</w:t>
            </w:r>
          </w:p>
        </w:tc>
        <w:tc>
          <w:tcPr>
            <w:tcW w:w="0" w:type="auto"/>
            <w:shd w:val="clear" w:color="auto" w:fill="FFFFFF"/>
          </w:tcPr>
          <w:p w:rsidR="00B339C7" w:rsidRPr="00B339C7" w:rsidRDefault="00B339C7" w:rsidP="000A2F95">
            <w:pPr>
              <w:spacing w:before="60"/>
              <w:jc w:val="right"/>
              <w:rPr>
                <w:rFonts w:cs="Arial"/>
              </w:rPr>
            </w:pPr>
            <w:r w:rsidRPr="00B339C7">
              <w:rPr>
                <w:rFonts w:cs="Arial"/>
              </w:rPr>
              <w:t>18 975</w:t>
            </w:r>
          </w:p>
        </w:tc>
      </w:tr>
      <w:tr w:rsidR="00B339C7" w:rsidRPr="00B339C7" w:rsidTr="000A2F95">
        <w:trPr>
          <w:trHeight w:val="283"/>
        </w:trPr>
        <w:tc>
          <w:tcPr>
            <w:tcW w:w="0" w:type="auto"/>
            <w:shd w:val="clear" w:color="auto" w:fill="FFFFFF"/>
          </w:tcPr>
          <w:p w:rsidR="00B339C7" w:rsidRPr="00B339C7" w:rsidRDefault="00B339C7" w:rsidP="000A2F95">
            <w:pPr>
              <w:spacing w:before="60"/>
              <w:rPr>
                <w:rFonts w:cs="Arial"/>
              </w:rPr>
            </w:pPr>
            <w:r w:rsidRPr="00B339C7">
              <w:rPr>
                <w:rFonts w:cs="Arial"/>
              </w:rPr>
              <w:t>Bäretswil</w:t>
            </w:r>
          </w:p>
        </w:tc>
        <w:tc>
          <w:tcPr>
            <w:tcW w:w="0" w:type="auto"/>
            <w:shd w:val="clear" w:color="auto" w:fill="FFFFFF"/>
          </w:tcPr>
          <w:p w:rsidR="00B339C7" w:rsidRPr="00B339C7" w:rsidRDefault="00B339C7" w:rsidP="000A2F95">
            <w:pPr>
              <w:spacing w:before="60"/>
              <w:rPr>
                <w:rFonts w:cs="Arial"/>
              </w:rPr>
            </w:pPr>
            <w:r w:rsidRPr="00B339C7">
              <w:rPr>
                <w:rFonts w:cs="Arial"/>
              </w:rPr>
              <w:t>Fr.</w:t>
            </w:r>
          </w:p>
        </w:tc>
        <w:tc>
          <w:tcPr>
            <w:tcW w:w="0" w:type="auto"/>
            <w:shd w:val="clear" w:color="auto" w:fill="FFFFFF"/>
          </w:tcPr>
          <w:p w:rsidR="00B339C7" w:rsidRPr="00B339C7" w:rsidRDefault="00B339C7" w:rsidP="000A2F95">
            <w:pPr>
              <w:spacing w:before="60"/>
              <w:jc w:val="right"/>
              <w:rPr>
                <w:rFonts w:cs="Arial"/>
              </w:rPr>
            </w:pPr>
            <w:r w:rsidRPr="00B339C7">
              <w:rPr>
                <w:rFonts w:cs="Arial"/>
              </w:rPr>
              <w:t>73 843</w:t>
            </w:r>
          </w:p>
        </w:tc>
        <w:tc>
          <w:tcPr>
            <w:tcW w:w="0" w:type="auto"/>
            <w:shd w:val="clear" w:color="auto" w:fill="FFFFFF"/>
          </w:tcPr>
          <w:p w:rsidR="00B339C7" w:rsidRPr="00B339C7" w:rsidRDefault="00B339C7" w:rsidP="000A2F95">
            <w:pPr>
              <w:spacing w:before="60"/>
              <w:rPr>
                <w:rFonts w:cs="Arial"/>
              </w:rPr>
            </w:pPr>
            <w:r w:rsidRPr="00B339C7">
              <w:rPr>
                <w:rFonts w:cs="Arial"/>
              </w:rPr>
              <w:t>FKI =</w:t>
            </w:r>
          </w:p>
        </w:tc>
        <w:tc>
          <w:tcPr>
            <w:tcW w:w="0" w:type="auto"/>
            <w:shd w:val="clear" w:color="auto" w:fill="FFFFFF"/>
          </w:tcPr>
          <w:p w:rsidR="00B339C7" w:rsidRPr="00B339C7" w:rsidRDefault="00B339C7" w:rsidP="000A2F95">
            <w:pPr>
              <w:spacing w:before="60"/>
              <w:jc w:val="right"/>
              <w:rPr>
                <w:rFonts w:cs="Arial"/>
              </w:rPr>
            </w:pPr>
            <w:r w:rsidRPr="00B339C7">
              <w:rPr>
                <w:rFonts w:cs="Arial"/>
              </w:rPr>
              <w:t>108</w:t>
            </w:r>
          </w:p>
        </w:tc>
        <w:tc>
          <w:tcPr>
            <w:tcW w:w="0" w:type="auto"/>
            <w:shd w:val="clear" w:color="auto" w:fill="FFFFFF"/>
          </w:tcPr>
          <w:p w:rsidR="00B339C7" w:rsidRPr="00B339C7" w:rsidRDefault="00B339C7" w:rsidP="000A2F95">
            <w:pPr>
              <w:spacing w:before="60"/>
              <w:jc w:val="right"/>
              <w:rPr>
                <w:rFonts w:cs="Arial"/>
              </w:rPr>
            </w:pPr>
            <w:r w:rsidRPr="00B339C7">
              <w:rPr>
                <w:rFonts w:cs="Arial"/>
              </w:rPr>
              <w:t>15%</w:t>
            </w:r>
          </w:p>
        </w:tc>
        <w:tc>
          <w:tcPr>
            <w:tcW w:w="0" w:type="auto"/>
            <w:shd w:val="clear" w:color="auto" w:fill="FFFFFF"/>
          </w:tcPr>
          <w:p w:rsidR="00B339C7" w:rsidRPr="00B339C7" w:rsidRDefault="00B339C7" w:rsidP="000A2F95">
            <w:pPr>
              <w:spacing w:before="60"/>
              <w:rPr>
                <w:rFonts w:cs="Arial"/>
              </w:rPr>
            </w:pPr>
            <w:r w:rsidRPr="00B339C7">
              <w:rPr>
                <w:rFonts w:cs="Arial"/>
              </w:rPr>
              <w:t>oder rund</w:t>
            </w:r>
          </w:p>
        </w:tc>
        <w:tc>
          <w:tcPr>
            <w:tcW w:w="0" w:type="auto"/>
            <w:tcBorders>
              <w:bottom w:val="single" w:sz="4" w:space="0" w:color="auto"/>
            </w:tcBorders>
            <w:shd w:val="clear" w:color="auto" w:fill="FFFFFF"/>
          </w:tcPr>
          <w:p w:rsidR="00B339C7" w:rsidRPr="00B339C7" w:rsidRDefault="00B339C7" w:rsidP="000A2F95">
            <w:pPr>
              <w:spacing w:before="60"/>
              <w:rPr>
                <w:rFonts w:cs="Arial"/>
              </w:rPr>
            </w:pPr>
            <w:r w:rsidRPr="00B339C7">
              <w:rPr>
                <w:rFonts w:cs="Arial"/>
              </w:rPr>
              <w:t>Fr.</w:t>
            </w:r>
          </w:p>
        </w:tc>
        <w:tc>
          <w:tcPr>
            <w:tcW w:w="0" w:type="auto"/>
            <w:tcBorders>
              <w:bottom w:val="single" w:sz="4" w:space="0" w:color="auto"/>
            </w:tcBorders>
            <w:shd w:val="clear" w:color="auto" w:fill="FFFFFF"/>
          </w:tcPr>
          <w:p w:rsidR="00B339C7" w:rsidRPr="00B339C7" w:rsidRDefault="00B339C7" w:rsidP="000A2F95">
            <w:pPr>
              <w:spacing w:before="60"/>
              <w:jc w:val="right"/>
              <w:rPr>
                <w:rFonts w:cs="Arial"/>
              </w:rPr>
            </w:pPr>
            <w:r w:rsidRPr="00B339C7">
              <w:rPr>
                <w:rFonts w:cs="Arial"/>
              </w:rPr>
              <w:t>11 075</w:t>
            </w:r>
          </w:p>
        </w:tc>
      </w:tr>
      <w:tr w:rsidR="00B339C7" w:rsidRPr="00B339C7" w:rsidTr="000A2F95">
        <w:trPr>
          <w:trHeight w:val="283"/>
        </w:trPr>
        <w:tc>
          <w:tcPr>
            <w:tcW w:w="0" w:type="auto"/>
            <w:shd w:val="clear" w:color="auto" w:fill="FFFFFF"/>
          </w:tcPr>
          <w:p w:rsidR="00B339C7" w:rsidRPr="00B339C7" w:rsidRDefault="00B339C7" w:rsidP="000A2F95">
            <w:pPr>
              <w:spacing w:before="60"/>
              <w:rPr>
                <w:rFonts w:cs="Arial"/>
              </w:rPr>
            </w:pPr>
            <w:r w:rsidRPr="00B339C7">
              <w:rPr>
                <w:rFonts w:cs="Arial"/>
              </w:rPr>
              <w:t>Total</w:t>
            </w:r>
          </w:p>
        </w:tc>
        <w:tc>
          <w:tcPr>
            <w:tcW w:w="0" w:type="auto"/>
            <w:shd w:val="clear" w:color="auto" w:fill="FFFFFF"/>
          </w:tcPr>
          <w:p w:rsidR="00B339C7" w:rsidRPr="00B339C7" w:rsidRDefault="00B339C7" w:rsidP="000A2F95">
            <w:pPr>
              <w:spacing w:before="60"/>
              <w:rPr>
                <w:rFonts w:cs="Arial"/>
                <w:szCs w:val="10"/>
              </w:rPr>
            </w:pPr>
          </w:p>
        </w:tc>
        <w:tc>
          <w:tcPr>
            <w:tcW w:w="0" w:type="auto"/>
            <w:shd w:val="clear" w:color="auto" w:fill="FFFFFF"/>
          </w:tcPr>
          <w:p w:rsidR="00B339C7" w:rsidRPr="00B339C7" w:rsidRDefault="00B339C7" w:rsidP="000A2F95">
            <w:pPr>
              <w:spacing w:before="60"/>
              <w:jc w:val="right"/>
              <w:rPr>
                <w:rFonts w:cs="Arial"/>
                <w:szCs w:val="10"/>
              </w:rPr>
            </w:pPr>
          </w:p>
        </w:tc>
        <w:tc>
          <w:tcPr>
            <w:tcW w:w="0" w:type="auto"/>
            <w:shd w:val="clear" w:color="auto" w:fill="FFFFFF"/>
          </w:tcPr>
          <w:p w:rsidR="00B339C7" w:rsidRPr="00B339C7" w:rsidRDefault="00B339C7" w:rsidP="000A2F95">
            <w:pPr>
              <w:spacing w:before="60"/>
              <w:rPr>
                <w:rFonts w:cs="Arial"/>
                <w:szCs w:val="10"/>
              </w:rPr>
            </w:pPr>
          </w:p>
        </w:tc>
        <w:tc>
          <w:tcPr>
            <w:tcW w:w="0" w:type="auto"/>
            <w:shd w:val="clear" w:color="auto" w:fill="FFFFFF"/>
          </w:tcPr>
          <w:p w:rsidR="00B339C7" w:rsidRPr="00B339C7" w:rsidRDefault="00B339C7" w:rsidP="000A2F95">
            <w:pPr>
              <w:spacing w:before="60"/>
              <w:jc w:val="right"/>
              <w:rPr>
                <w:rFonts w:cs="Arial"/>
                <w:szCs w:val="10"/>
              </w:rPr>
            </w:pPr>
          </w:p>
        </w:tc>
        <w:tc>
          <w:tcPr>
            <w:tcW w:w="0" w:type="auto"/>
            <w:shd w:val="clear" w:color="auto" w:fill="FFFFFF"/>
          </w:tcPr>
          <w:p w:rsidR="00B339C7" w:rsidRPr="00B339C7" w:rsidRDefault="00B339C7" w:rsidP="000A2F95">
            <w:pPr>
              <w:spacing w:before="60"/>
              <w:jc w:val="right"/>
              <w:rPr>
                <w:rFonts w:cs="Arial"/>
                <w:szCs w:val="10"/>
              </w:rPr>
            </w:pPr>
          </w:p>
        </w:tc>
        <w:tc>
          <w:tcPr>
            <w:tcW w:w="0" w:type="auto"/>
            <w:shd w:val="clear" w:color="auto" w:fill="FFFFFF"/>
          </w:tcPr>
          <w:p w:rsidR="00B339C7" w:rsidRPr="00B339C7" w:rsidRDefault="00B339C7" w:rsidP="000A2F95">
            <w:pPr>
              <w:spacing w:before="60"/>
              <w:rPr>
                <w:rFonts w:cs="Arial"/>
              </w:rPr>
            </w:pPr>
            <w:r w:rsidRPr="00B339C7">
              <w:rPr>
                <w:rFonts w:cs="Arial"/>
              </w:rPr>
              <w:t>rund</w:t>
            </w:r>
          </w:p>
        </w:tc>
        <w:tc>
          <w:tcPr>
            <w:tcW w:w="0" w:type="auto"/>
            <w:tcBorders>
              <w:top w:val="single" w:sz="4" w:space="0" w:color="auto"/>
              <w:bottom w:val="single" w:sz="4" w:space="0" w:color="auto"/>
            </w:tcBorders>
            <w:shd w:val="clear" w:color="auto" w:fill="FFFFFF"/>
          </w:tcPr>
          <w:p w:rsidR="00B339C7" w:rsidRPr="00B339C7" w:rsidRDefault="00B339C7" w:rsidP="000A2F95">
            <w:pPr>
              <w:spacing w:before="60"/>
              <w:rPr>
                <w:rFonts w:cs="Arial"/>
              </w:rPr>
            </w:pPr>
            <w:r w:rsidRPr="00B339C7">
              <w:rPr>
                <w:rFonts w:cs="Arial"/>
              </w:rPr>
              <w:t>Fr.</w:t>
            </w:r>
          </w:p>
        </w:tc>
        <w:tc>
          <w:tcPr>
            <w:tcW w:w="0" w:type="auto"/>
            <w:tcBorders>
              <w:top w:val="single" w:sz="4" w:space="0" w:color="auto"/>
              <w:bottom w:val="single" w:sz="4" w:space="0" w:color="auto"/>
            </w:tcBorders>
            <w:shd w:val="clear" w:color="auto" w:fill="FFFFFF"/>
          </w:tcPr>
          <w:p w:rsidR="00B339C7" w:rsidRPr="00B339C7" w:rsidRDefault="00B339C7" w:rsidP="000A2F95">
            <w:pPr>
              <w:spacing w:before="60"/>
              <w:jc w:val="right"/>
              <w:rPr>
                <w:rFonts w:cs="Arial"/>
              </w:rPr>
            </w:pPr>
            <w:r w:rsidRPr="00B339C7">
              <w:rPr>
                <w:rFonts w:cs="Arial"/>
              </w:rPr>
              <w:t>156 865</w:t>
            </w:r>
          </w:p>
        </w:tc>
      </w:tr>
    </w:tbl>
    <w:p w:rsidR="00B339C7" w:rsidRPr="00B339C7" w:rsidRDefault="00B339C7" w:rsidP="00B339C7">
      <w:pPr>
        <w:spacing w:before="60"/>
        <w:rPr>
          <w:rFonts w:cs="Arial"/>
        </w:rPr>
      </w:pPr>
      <w:r w:rsidRPr="00B339C7">
        <w:rPr>
          <w:rFonts w:cs="Arial"/>
        </w:rPr>
        <w:t>Die Aufwendungen für die gleichzeitig und parallel zu erstellende Meteorwasserkanalisation (KS 238-KS 230, 54,6% von Fr. 2258000 oder rund Fr. 1 232 400) fallen für eine Beitragszusicherung im Sinne des erwähnten Gesetzes ausser Betracht, weil die Voraussetzung eines Einzugsgebiets für den Einzelfall von 5,7 ha innerhalb der Bauzonen nicht erfüllt ist.</w:t>
      </w:r>
    </w:p>
    <w:p w:rsidR="00B339C7" w:rsidRPr="00B339C7" w:rsidRDefault="00B339C7" w:rsidP="00B339C7">
      <w:pPr>
        <w:spacing w:before="60"/>
        <w:rPr>
          <w:rFonts w:cs="Arial"/>
        </w:rPr>
      </w:pPr>
      <w:r w:rsidRPr="00B339C7">
        <w:rPr>
          <w:rFonts w:cs="Arial"/>
        </w:rPr>
        <w:t>Die Kanalisationsbauten sind im Sinne von Art. 61 Abs. 1 GSchG nicht bundesbeitragsberechtigt.</w:t>
      </w:r>
    </w:p>
    <w:p w:rsidR="00B339C7" w:rsidRPr="00B339C7" w:rsidRDefault="00B339C7" w:rsidP="00B339C7">
      <w:pPr>
        <w:spacing w:before="60"/>
        <w:rPr>
          <w:rFonts w:cs="Arial"/>
        </w:rPr>
      </w:pPr>
      <w:r w:rsidRPr="00B339C7">
        <w:rPr>
          <w:rFonts w:cs="Arial"/>
        </w:rPr>
        <w:t>Auf Antrag der Direktion der öffentlichen Bauten</w:t>
      </w:r>
    </w:p>
    <w:p w:rsidR="00B339C7" w:rsidRPr="00B339C7" w:rsidRDefault="00B339C7" w:rsidP="00B339C7">
      <w:pPr>
        <w:spacing w:before="60"/>
        <w:jc w:val="center"/>
        <w:rPr>
          <w:rFonts w:cs="Arial"/>
        </w:rPr>
      </w:pPr>
      <w:r w:rsidRPr="00B339C7">
        <w:rPr>
          <w:rFonts w:cs="Arial"/>
        </w:rPr>
        <w:t>beschliesst der Regierungsrat:</w:t>
      </w:r>
    </w:p>
    <w:p w:rsidR="00B339C7" w:rsidRPr="00B339C7" w:rsidRDefault="00B339C7" w:rsidP="00B339C7">
      <w:pPr>
        <w:spacing w:before="60"/>
        <w:rPr>
          <w:rFonts w:cs="Arial"/>
        </w:rPr>
      </w:pPr>
      <w:r w:rsidRPr="00B339C7">
        <w:rPr>
          <w:rFonts w:cs="Arial"/>
        </w:rPr>
        <w:t>I. Der Gemeinde Wetzikon sowie den Anschlussgemeinden Pfäffikon, Hittnau und Bäretswil werden gemäss den Erwägungen an die beitragsberechtigten Ausgaben für die Kanalisation Schornäglen (KS 1372-KS 1362, Anteil Schmutzwasserkanalisation) zu Lasten des Kontos 3015.5620.201. Investitionsbeiträge an Gemeinden, Genossenschaften und Zweckverbände für Abwasseranlagen, die nachstehenden Kostenanteile zugesichert (AWA Nr. 93 Wetzikon):</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925"/>
        <w:gridCol w:w="461"/>
        <w:gridCol w:w="1780"/>
        <w:gridCol w:w="638"/>
      </w:tblGrid>
      <w:tr w:rsidR="00B339C7" w:rsidRPr="00B339C7" w:rsidTr="000A2F95">
        <w:trPr>
          <w:trHeight w:val="283"/>
        </w:trPr>
        <w:tc>
          <w:tcPr>
            <w:tcW w:w="0" w:type="auto"/>
            <w:shd w:val="clear" w:color="auto" w:fill="FFFFFF"/>
          </w:tcPr>
          <w:p w:rsidR="00B339C7" w:rsidRPr="00B339C7" w:rsidRDefault="00B339C7" w:rsidP="000A2F95">
            <w:pPr>
              <w:spacing w:before="60"/>
              <w:rPr>
                <w:rFonts w:cs="Arial"/>
              </w:rPr>
            </w:pPr>
            <w:r w:rsidRPr="00B339C7">
              <w:rPr>
                <w:rFonts w:cs="Arial"/>
              </w:rPr>
              <w:t>Wetzikon</w:t>
            </w:r>
          </w:p>
        </w:tc>
        <w:tc>
          <w:tcPr>
            <w:tcW w:w="0" w:type="auto"/>
            <w:shd w:val="clear" w:color="auto" w:fill="FFFFFF"/>
          </w:tcPr>
          <w:p w:rsidR="00B339C7" w:rsidRPr="00B339C7" w:rsidRDefault="00B339C7" w:rsidP="000A2F95">
            <w:pPr>
              <w:spacing w:before="60"/>
              <w:rPr>
                <w:rFonts w:cs="Arial"/>
              </w:rPr>
            </w:pPr>
            <w:r w:rsidRPr="00B339C7">
              <w:rPr>
                <w:rFonts w:cs="Arial"/>
              </w:rPr>
              <w:t>10%</w:t>
            </w:r>
          </w:p>
        </w:tc>
        <w:tc>
          <w:tcPr>
            <w:tcW w:w="0" w:type="auto"/>
            <w:gridSpan w:val="2"/>
            <w:shd w:val="clear" w:color="auto" w:fill="FFFFFF"/>
          </w:tcPr>
          <w:p w:rsidR="00B339C7" w:rsidRPr="00B339C7" w:rsidRDefault="00B339C7" w:rsidP="000A2F95">
            <w:pPr>
              <w:spacing w:before="60"/>
              <w:rPr>
                <w:rFonts w:cs="Arial"/>
              </w:rPr>
            </w:pPr>
            <w:r w:rsidRPr="00B339C7">
              <w:rPr>
                <w:rFonts w:cs="Arial"/>
              </w:rPr>
              <w:t>(Baukostenanteil 70,1%)</w:t>
            </w:r>
          </w:p>
        </w:tc>
      </w:tr>
      <w:tr w:rsidR="00B339C7" w:rsidRPr="00B339C7" w:rsidTr="000A2F95">
        <w:trPr>
          <w:trHeight w:val="283"/>
        </w:trPr>
        <w:tc>
          <w:tcPr>
            <w:tcW w:w="0" w:type="auto"/>
            <w:shd w:val="clear" w:color="auto" w:fill="FFFFFF"/>
          </w:tcPr>
          <w:p w:rsidR="00B339C7" w:rsidRPr="00B339C7" w:rsidRDefault="00B339C7" w:rsidP="000A2F95">
            <w:pPr>
              <w:spacing w:before="60"/>
              <w:rPr>
                <w:rFonts w:cs="Arial"/>
              </w:rPr>
            </w:pPr>
            <w:r w:rsidRPr="00B339C7">
              <w:rPr>
                <w:rFonts w:cs="Arial"/>
              </w:rPr>
              <w:t>Pfäffikon</w:t>
            </w:r>
          </w:p>
        </w:tc>
        <w:tc>
          <w:tcPr>
            <w:tcW w:w="0" w:type="auto"/>
            <w:shd w:val="clear" w:color="auto" w:fill="FFFFFF"/>
          </w:tcPr>
          <w:p w:rsidR="00B339C7" w:rsidRPr="00B339C7" w:rsidRDefault="00B339C7" w:rsidP="000A2F95">
            <w:pPr>
              <w:spacing w:before="60"/>
              <w:rPr>
                <w:rFonts w:cs="Arial"/>
              </w:rPr>
            </w:pPr>
            <w:r w:rsidRPr="00B339C7">
              <w:rPr>
                <w:rFonts w:cs="Arial"/>
              </w:rPr>
              <w:t>35%</w:t>
            </w:r>
          </w:p>
        </w:tc>
        <w:tc>
          <w:tcPr>
            <w:tcW w:w="0" w:type="auto"/>
            <w:gridSpan w:val="2"/>
            <w:shd w:val="clear" w:color="auto" w:fill="FFFFFF"/>
          </w:tcPr>
          <w:p w:rsidR="00B339C7" w:rsidRPr="00B339C7" w:rsidRDefault="00B339C7" w:rsidP="000A2F95">
            <w:pPr>
              <w:spacing w:before="60"/>
              <w:rPr>
                <w:rFonts w:cs="Arial"/>
              </w:rPr>
            </w:pPr>
            <w:r w:rsidRPr="00B339C7">
              <w:rPr>
                <w:rFonts w:cs="Arial"/>
              </w:rPr>
              <w:t>(Baukostenanteil 15,3%)</w:t>
            </w:r>
          </w:p>
        </w:tc>
      </w:tr>
      <w:tr w:rsidR="00B339C7" w:rsidRPr="00B339C7" w:rsidTr="000A2F95">
        <w:trPr>
          <w:trHeight w:val="283"/>
        </w:trPr>
        <w:tc>
          <w:tcPr>
            <w:tcW w:w="0" w:type="auto"/>
            <w:shd w:val="clear" w:color="auto" w:fill="FFFFFF"/>
          </w:tcPr>
          <w:p w:rsidR="00B339C7" w:rsidRPr="00B339C7" w:rsidRDefault="00B339C7" w:rsidP="000A2F95">
            <w:pPr>
              <w:spacing w:before="60"/>
              <w:rPr>
                <w:rFonts w:cs="Arial"/>
              </w:rPr>
            </w:pPr>
            <w:r w:rsidRPr="00B339C7">
              <w:rPr>
                <w:rFonts w:cs="Arial"/>
              </w:rPr>
              <w:t>Hittnau</w:t>
            </w:r>
          </w:p>
        </w:tc>
        <w:tc>
          <w:tcPr>
            <w:tcW w:w="0" w:type="auto"/>
            <w:shd w:val="clear" w:color="auto" w:fill="FFFFFF"/>
          </w:tcPr>
          <w:p w:rsidR="00B339C7" w:rsidRPr="00B339C7" w:rsidRDefault="00B339C7" w:rsidP="000A2F95">
            <w:pPr>
              <w:spacing w:before="60"/>
              <w:rPr>
                <w:rFonts w:cs="Arial"/>
              </w:rPr>
            </w:pPr>
            <w:r w:rsidRPr="00B339C7">
              <w:rPr>
                <w:rFonts w:cs="Arial"/>
              </w:rPr>
              <w:t>25%</w:t>
            </w:r>
          </w:p>
        </w:tc>
        <w:tc>
          <w:tcPr>
            <w:tcW w:w="0" w:type="auto"/>
            <w:shd w:val="clear" w:color="auto" w:fill="FFFFFF"/>
          </w:tcPr>
          <w:p w:rsidR="00B339C7" w:rsidRPr="00B339C7" w:rsidRDefault="00B339C7" w:rsidP="000A2F95">
            <w:pPr>
              <w:spacing w:before="60"/>
              <w:rPr>
                <w:rFonts w:cs="Arial"/>
              </w:rPr>
            </w:pPr>
            <w:r w:rsidRPr="00B339C7">
              <w:rPr>
                <w:rFonts w:cs="Arial"/>
              </w:rPr>
              <w:t>(Baukostenanteil</w:t>
            </w:r>
          </w:p>
        </w:tc>
        <w:tc>
          <w:tcPr>
            <w:tcW w:w="0" w:type="auto"/>
            <w:shd w:val="clear" w:color="auto" w:fill="FFFFFF"/>
          </w:tcPr>
          <w:p w:rsidR="00B339C7" w:rsidRPr="00B339C7" w:rsidRDefault="00B339C7" w:rsidP="000A2F95">
            <w:pPr>
              <w:spacing w:before="60"/>
              <w:rPr>
                <w:rFonts w:cs="Arial"/>
              </w:rPr>
            </w:pPr>
            <w:r w:rsidRPr="00B339C7">
              <w:rPr>
                <w:rFonts w:cs="Arial"/>
              </w:rPr>
              <w:t>7,4%)</w:t>
            </w:r>
          </w:p>
        </w:tc>
      </w:tr>
      <w:tr w:rsidR="00B339C7" w:rsidRPr="00B339C7" w:rsidTr="000A2F95">
        <w:trPr>
          <w:trHeight w:val="283"/>
        </w:trPr>
        <w:tc>
          <w:tcPr>
            <w:tcW w:w="0" w:type="auto"/>
            <w:shd w:val="clear" w:color="auto" w:fill="FFFFFF"/>
          </w:tcPr>
          <w:p w:rsidR="00B339C7" w:rsidRPr="00B339C7" w:rsidRDefault="00B339C7" w:rsidP="000A2F95">
            <w:pPr>
              <w:spacing w:before="60"/>
              <w:rPr>
                <w:rFonts w:cs="Arial"/>
              </w:rPr>
            </w:pPr>
            <w:r w:rsidRPr="00B339C7">
              <w:rPr>
                <w:rFonts w:cs="Arial"/>
              </w:rPr>
              <w:t>Bäretswil</w:t>
            </w:r>
          </w:p>
        </w:tc>
        <w:tc>
          <w:tcPr>
            <w:tcW w:w="0" w:type="auto"/>
            <w:shd w:val="clear" w:color="auto" w:fill="FFFFFF"/>
          </w:tcPr>
          <w:p w:rsidR="00B339C7" w:rsidRPr="00B339C7" w:rsidRDefault="00B339C7" w:rsidP="000A2F95">
            <w:pPr>
              <w:spacing w:before="60"/>
              <w:rPr>
                <w:rFonts w:cs="Arial"/>
              </w:rPr>
            </w:pPr>
            <w:r w:rsidRPr="00B339C7">
              <w:rPr>
                <w:rFonts w:cs="Arial"/>
              </w:rPr>
              <w:t>15%</w:t>
            </w:r>
          </w:p>
        </w:tc>
        <w:tc>
          <w:tcPr>
            <w:tcW w:w="0" w:type="auto"/>
            <w:shd w:val="clear" w:color="auto" w:fill="FFFFFF"/>
          </w:tcPr>
          <w:p w:rsidR="00B339C7" w:rsidRPr="00B339C7" w:rsidRDefault="00B339C7" w:rsidP="000A2F95">
            <w:pPr>
              <w:spacing w:before="60"/>
              <w:rPr>
                <w:rFonts w:cs="Arial"/>
              </w:rPr>
            </w:pPr>
            <w:r w:rsidRPr="00B339C7">
              <w:rPr>
                <w:rFonts w:cs="Arial"/>
              </w:rPr>
              <w:t>(Baukostenanteil</w:t>
            </w:r>
          </w:p>
        </w:tc>
        <w:tc>
          <w:tcPr>
            <w:tcW w:w="0" w:type="auto"/>
            <w:shd w:val="clear" w:color="auto" w:fill="FFFFFF"/>
          </w:tcPr>
          <w:p w:rsidR="00B339C7" w:rsidRPr="00B339C7" w:rsidRDefault="00B339C7" w:rsidP="000A2F95">
            <w:pPr>
              <w:spacing w:before="60"/>
              <w:rPr>
                <w:rFonts w:cs="Arial"/>
              </w:rPr>
            </w:pPr>
            <w:r w:rsidRPr="00B339C7">
              <w:rPr>
                <w:rFonts w:cs="Arial"/>
              </w:rPr>
              <w:t>7,2%)</w:t>
            </w:r>
          </w:p>
        </w:tc>
      </w:tr>
    </w:tbl>
    <w:p w:rsidR="00B339C7" w:rsidRPr="00B339C7" w:rsidRDefault="00B339C7" w:rsidP="00B339C7">
      <w:pPr>
        <w:spacing w:before="60"/>
        <w:rPr>
          <w:rFonts w:cs="Arial"/>
        </w:rPr>
      </w:pPr>
      <w:r w:rsidRPr="00B339C7">
        <w:rPr>
          <w:rFonts w:cs="Arial"/>
        </w:rPr>
        <w:t>Massgebende Bedingungen:</w:t>
      </w:r>
    </w:p>
    <w:p w:rsidR="00B339C7" w:rsidRPr="00B339C7" w:rsidRDefault="00B339C7" w:rsidP="00B339C7">
      <w:pPr>
        <w:tabs>
          <w:tab w:val="left" w:pos="255"/>
        </w:tabs>
        <w:spacing w:before="60"/>
        <w:rPr>
          <w:rFonts w:cs="Arial"/>
        </w:rPr>
      </w:pPr>
      <w:r w:rsidRPr="00B339C7">
        <w:rPr>
          <w:rFonts w:cs="Arial"/>
        </w:rPr>
        <w:t>1. Die Allgemeinen Bedingungen für die Zusicherung von Staatsbeiträgen an Abwasseranlagen vom 29. Mai 1991 (Beilage).</w:t>
      </w:r>
    </w:p>
    <w:p w:rsidR="00B339C7" w:rsidRPr="00B339C7" w:rsidRDefault="00B339C7" w:rsidP="00B339C7">
      <w:pPr>
        <w:tabs>
          <w:tab w:val="left" w:pos="274"/>
        </w:tabs>
        <w:spacing w:before="60"/>
        <w:rPr>
          <w:rFonts w:cs="Arial"/>
        </w:rPr>
      </w:pPr>
      <w:r w:rsidRPr="00B339C7">
        <w:rPr>
          <w:rFonts w:cs="Arial"/>
        </w:rPr>
        <w:t>2. Für die Festsetzung der beitragsberechtigten Baukosten (Anteil Schmutzwasserkanalisation) ist der Kostenverleger (Plan-Nr. 22262/ 2 vom 12. Oktober 1993) massgebend.</w:t>
      </w:r>
    </w:p>
    <w:p w:rsidR="00B339C7" w:rsidRPr="00B339C7" w:rsidRDefault="00B339C7" w:rsidP="00B339C7">
      <w:pPr>
        <w:tabs>
          <w:tab w:val="left" w:pos="524"/>
        </w:tabs>
        <w:spacing w:before="60"/>
        <w:rPr>
          <w:rFonts w:cs="Arial"/>
        </w:rPr>
      </w:pPr>
      <w:r w:rsidRPr="00B339C7">
        <w:rPr>
          <w:rFonts w:cs="Arial"/>
        </w:rPr>
        <w:t>II. Die Zusicherung eines Kostenanteils an die Aufwendungen für den Bau der Meteorwasserkanalisation (54,6% der Gesamtbaukosten) entfällt.</w:t>
      </w:r>
    </w:p>
    <w:p w:rsidR="00B339C7" w:rsidRPr="00B339C7" w:rsidRDefault="00B339C7" w:rsidP="00B339C7">
      <w:pPr>
        <w:tabs>
          <w:tab w:val="left" w:pos="610"/>
        </w:tabs>
        <w:spacing w:before="60"/>
        <w:rPr>
          <w:rFonts w:cs="Arial"/>
        </w:rPr>
      </w:pPr>
      <w:r w:rsidRPr="00B339C7">
        <w:rPr>
          <w:rFonts w:cs="Arial"/>
        </w:rPr>
        <w:t>III. Gegen diesen Beschluss kann innert zwanzig Tagen, von der Mitteilung an gerechnet, beim Verwaltungsgericht des Kantons Zürich schriftlich Beschwerde eingereicht werden. Die Beschwerdeschrift muss einen Antrag und dessen Begründung enthalten. Der angefochtene Entscheid ist beizulegen oder genau zu bezeichnen. Die angerufenen Beweismittel sind genau zu bezeichnen und soweit möglich beizulegen.</w:t>
      </w:r>
    </w:p>
    <w:p w:rsidR="00B339C7" w:rsidRPr="00B339C7" w:rsidRDefault="00B339C7" w:rsidP="00B339C7">
      <w:pPr>
        <w:pStyle w:val="00Vorgabetext"/>
        <w:keepNext/>
        <w:keepLines/>
        <w:rPr>
          <w:rFonts w:cs="Arial"/>
        </w:rPr>
      </w:pPr>
      <w:r w:rsidRPr="00B339C7">
        <w:rPr>
          <w:rFonts w:cs="Arial"/>
        </w:rPr>
        <w:t>IV. Mitteilung an die Gemeinderäte Wetzikon, 8622 Wetzikon, Pfäffikon, 8330 Pfäffikon, Hittnau, 8335 Hittnau, und Bäretswil, 8344 Bäretswil, das Ingenieurbüro Schulthess &amp; Dolder AG, Rapperswilerstrasse 41, 8620 Wetzikon, sowie an die Direktionen der öffentlichen Bauten und des Innern.</w:t>
      </w:r>
    </w:p>
    <w:p w:rsidR="00B339C7" w:rsidRPr="00B339C7" w:rsidRDefault="00B339C7" w:rsidP="00B339C7">
      <w:pPr>
        <w:pStyle w:val="00Vorgabetext"/>
        <w:keepNext/>
        <w:keepLines/>
        <w:rPr>
          <w:rFonts w:cs="Arial"/>
        </w:rPr>
      </w:pPr>
    </w:p>
    <w:p w:rsidR="00B339C7" w:rsidRPr="00B339C7" w:rsidRDefault="00B339C7" w:rsidP="00B339C7">
      <w:pPr>
        <w:pStyle w:val="00Vorgabetext"/>
        <w:keepNext/>
        <w:keepLines/>
        <w:rPr>
          <w:rFonts w:cs="Arial"/>
        </w:rPr>
      </w:pPr>
    </w:p>
    <w:p w:rsidR="00BE768B" w:rsidRPr="00B339C7" w:rsidRDefault="00B339C7" w:rsidP="00B339C7">
      <w:pPr>
        <w:pStyle w:val="00Vorgabetext"/>
        <w:keepNext/>
        <w:keepLines/>
      </w:pPr>
      <w:r w:rsidRPr="00B339C7">
        <w:rPr>
          <w:rFonts w:cs="Arial"/>
        </w:rPr>
        <w:t>[</w:t>
      </w:r>
      <w:r w:rsidRPr="00B339C7">
        <w:rPr>
          <w:rFonts w:cs="Arial"/>
          <w:i/>
        </w:rPr>
        <w:t>Transkript: OCR (Überarbeitung: Team TKR)/14.09.2017</w:t>
      </w:r>
      <w:bookmarkStart w:id="1" w:name="_GoBack"/>
      <w:r w:rsidRPr="00B339C7">
        <w:rPr>
          <w:rFonts w:cs="Arial"/>
        </w:rPr>
        <w:t xml:space="preserve">] </w:t>
      </w:r>
      <w:bookmarkEnd w:id="1"/>
    </w:p>
    <w:sectPr w:rsidR="00BE768B" w:rsidRPr="00B339C7"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9C7" w:rsidRDefault="00B339C7">
      <w:r>
        <w:separator/>
      </w:r>
    </w:p>
    <w:p w:rsidR="00B339C7" w:rsidRDefault="00B339C7"/>
    <w:p w:rsidR="00B339C7" w:rsidRDefault="00B339C7"/>
  </w:endnote>
  <w:endnote w:type="continuationSeparator" w:id="0">
    <w:p w:rsidR="00B339C7" w:rsidRDefault="00B339C7">
      <w:r>
        <w:continuationSeparator/>
      </w:r>
    </w:p>
    <w:p w:rsidR="00B339C7" w:rsidRDefault="00B339C7"/>
    <w:p w:rsidR="00B339C7" w:rsidRDefault="00B339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9C7" w:rsidRDefault="00B339C7">
      <w:r>
        <w:separator/>
      </w:r>
    </w:p>
    <w:p w:rsidR="00B339C7" w:rsidRDefault="00B339C7"/>
    <w:p w:rsidR="00B339C7" w:rsidRDefault="00B339C7"/>
  </w:footnote>
  <w:footnote w:type="continuationSeparator" w:id="0">
    <w:p w:rsidR="00B339C7" w:rsidRDefault="00B339C7">
      <w:r>
        <w:continuationSeparator/>
      </w:r>
    </w:p>
    <w:p w:rsidR="00B339C7" w:rsidRDefault="00B339C7"/>
    <w:p w:rsidR="00B339C7" w:rsidRDefault="00B339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B339C7">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B339C7"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9C7"/>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339C7"/>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9BE5EEB-83CA-4409-8BBA-7CB04AC7B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B339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6CD09-412E-4C9B-A952-E2E750F76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575</Words>
  <Characters>3311</Characters>
  <Application>Microsoft Office Word</Application>
  <DocSecurity>0</DocSecurity>
  <PresentationFormat/>
  <Lines>473</Lines>
  <Paragraphs>431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3455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Kanalisation</dc:subject>
  <dc:creator>Staatsarchiv des Kantons Zürich</dc:creator>
  <cp:lastModifiedBy>Mirjam Stadler</cp:lastModifiedBy>
  <cp:revision>1</cp:revision>
  <cp:lastPrinted>2012-06-15T14:37:00Z</cp:lastPrinted>
  <dcterms:created xsi:type="dcterms:W3CDTF">2017-09-14T06:49:00Z</dcterms:created>
  <dcterms:modified xsi:type="dcterms:W3CDTF">2017-09-14T06:49:00Z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