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420B96" w:rsidTr="00C80ABA">
        <w:trPr>
          <w:trHeight w:val="454"/>
        </w:trPr>
        <w:tc>
          <w:tcPr>
            <w:tcW w:w="1668" w:type="dxa"/>
          </w:tcPr>
          <w:p w:rsidR="00A43AE4" w:rsidRPr="00420B9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20B96">
              <w:t>Signatur</w:t>
            </w:r>
          </w:p>
        </w:tc>
        <w:tc>
          <w:tcPr>
            <w:tcW w:w="6721" w:type="dxa"/>
          </w:tcPr>
          <w:p w:rsidR="00A43AE4" w:rsidRPr="00420B96" w:rsidRDefault="00420B96" w:rsidP="00931B1F">
            <w:pPr>
              <w:pStyle w:val="70SignaturX"/>
            </w:pPr>
            <w:r w:rsidRPr="00420B96">
              <w:t>StAZH MM 3.204 RRB 1994/1561</w:t>
            </w:r>
          </w:p>
        </w:tc>
      </w:tr>
      <w:tr w:rsidR="00A43AE4" w:rsidRPr="00420B96" w:rsidTr="00C80ABA">
        <w:trPr>
          <w:trHeight w:val="454"/>
        </w:trPr>
        <w:tc>
          <w:tcPr>
            <w:tcW w:w="1668" w:type="dxa"/>
          </w:tcPr>
          <w:p w:rsidR="00A43AE4" w:rsidRPr="00420B9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20B96">
              <w:t>Titel</w:t>
            </w:r>
          </w:p>
        </w:tc>
        <w:tc>
          <w:tcPr>
            <w:tcW w:w="6721" w:type="dxa"/>
          </w:tcPr>
          <w:p w:rsidR="006C59EA" w:rsidRPr="00420B96" w:rsidRDefault="00420B9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20B96">
              <w:rPr>
                <w:rFonts w:ascii="Arial Black" w:hAnsi="Arial Black"/>
              </w:rPr>
              <w:t>Neubau Stützpunkt Lanzen, Fischenthal</w:t>
            </w:r>
          </w:p>
        </w:tc>
      </w:tr>
      <w:tr w:rsidR="00BC0931" w:rsidRPr="00420B96" w:rsidTr="00C80ABA">
        <w:trPr>
          <w:trHeight w:val="454"/>
        </w:trPr>
        <w:tc>
          <w:tcPr>
            <w:tcW w:w="1668" w:type="dxa"/>
          </w:tcPr>
          <w:p w:rsidR="00BC0931" w:rsidRPr="00420B9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20B96">
              <w:t>Datum</w:t>
            </w:r>
          </w:p>
        </w:tc>
        <w:tc>
          <w:tcPr>
            <w:tcW w:w="6721" w:type="dxa"/>
          </w:tcPr>
          <w:p w:rsidR="00BC0931" w:rsidRPr="00420B96" w:rsidRDefault="00420B96" w:rsidP="00931B1F">
            <w:pPr>
              <w:pStyle w:val="71DatumX"/>
            </w:pPr>
            <w:r w:rsidRPr="00420B96">
              <w:t>01.06.1994</w:t>
            </w:r>
          </w:p>
        </w:tc>
      </w:tr>
      <w:tr w:rsidR="00A43AE4" w:rsidRPr="00420B96" w:rsidTr="00C80ABA">
        <w:trPr>
          <w:trHeight w:val="454"/>
        </w:trPr>
        <w:tc>
          <w:tcPr>
            <w:tcW w:w="1668" w:type="dxa"/>
          </w:tcPr>
          <w:p w:rsidR="00A43AE4" w:rsidRPr="00420B9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20B96">
              <w:t>P.</w:t>
            </w:r>
          </w:p>
        </w:tc>
        <w:tc>
          <w:tcPr>
            <w:tcW w:w="6721" w:type="dxa"/>
          </w:tcPr>
          <w:p w:rsidR="00A43AE4" w:rsidRPr="00420B96" w:rsidRDefault="00420B96" w:rsidP="00931B1F">
            <w:pPr>
              <w:pStyle w:val="00Vorgabetext"/>
            </w:pPr>
            <w:r w:rsidRPr="00420B96">
              <w:t>703</w:t>
            </w:r>
          </w:p>
        </w:tc>
      </w:tr>
    </w:tbl>
    <w:p w:rsidR="00616641" w:rsidRPr="00420B96" w:rsidRDefault="00616641" w:rsidP="0077655B">
      <w:pPr>
        <w:pStyle w:val="00Vorgabetext"/>
        <w:spacing w:before="0" w:after="60"/>
      </w:pPr>
    </w:p>
    <w:p w:rsidR="00420B96" w:rsidRPr="00420B96" w:rsidRDefault="00420B96" w:rsidP="00420B96">
      <w:pPr>
        <w:spacing w:before="60"/>
        <w:rPr>
          <w:rFonts w:cs="Arial"/>
        </w:rPr>
      </w:pPr>
      <w:bookmarkStart w:id="0" w:name="ContentText"/>
      <w:bookmarkEnd w:id="0"/>
      <w:r w:rsidRPr="00420B96">
        <w:t>[</w:t>
      </w:r>
      <w:r w:rsidRPr="00420B96">
        <w:rPr>
          <w:i/>
        </w:rPr>
        <w:t>p. 703</w:t>
      </w:r>
      <w:r w:rsidRPr="00420B96">
        <w:t xml:space="preserve">] </w:t>
      </w:r>
      <w:r w:rsidRPr="00420B96">
        <w:rPr>
          <w:rFonts w:cs="Arial"/>
        </w:rPr>
        <w:t>Der Unterhaltsbezirk 9 des Tiefbauamtes erfüllt seine Aufgaben, topographisch bedingt, von verschiedenen Stützpunkten aus. Unter anderem ist eine Gruppe in Fischenthal und eine weitere in Bauma im Gemeindewerkhof eingemietet. Die Gemeinde Bauma braucht nun die Räume dringend für eigene Zwecke und hat den Mietvertrag auf den 31. März 1993 gekündigt, wobei das Tiefbauamt eine Erstreckung des Mietverhältnisses bis auf den 31. März 1995 erwirken konnte. Für die beiden Gruppen wurde vor rund acht Jahren auf dem Areal des Werkhofs des Oberforstamtes im Länzen, Gemeinde Fischenthal, ein Salzsilo erstellt. Auf diesem Areal können nun ebenfalls die nötigen Räumlichkeiten für die beiden Gruppen erstellt werden. Durch eine Erweiterung des bestehenden Dienstgebäudes des Forstwerkhofs besteht die Möglichkeit, gewisse Mannschaftsräume wie Aufenthaltsraum, Garderoben und WC-Anlagen gemeinsam mit dem Forstdienst zu nutzen, was sowohl baulich wie betrieblich eine günstige Lösung bringt. Gleichzeitig kann die sanierungsbedürftige Heizungsanlage im Dienstgebäude durch eine neue, der Gesamtanlage dienende Holzschnitzelheizung ersetzt werden. Für das Unterbringen der Fahrzeuge und Geräte ist eine Einstellhalle mit Werkstatt erforderlich. Dadurch können die beiden Unterhaltsgruppen zusammengelegt und die Mietverhältnisse abgelöst werden.</w:t>
      </w:r>
    </w:p>
    <w:p w:rsidR="00420B96" w:rsidRPr="00420B96" w:rsidRDefault="00420B96" w:rsidP="00420B96">
      <w:pPr>
        <w:spacing w:before="60"/>
        <w:rPr>
          <w:rFonts w:cs="Arial"/>
        </w:rPr>
      </w:pPr>
      <w:r w:rsidRPr="00420B96">
        <w:rPr>
          <w:rFonts w:cs="Arial"/>
        </w:rPr>
        <w:t>Das Tiefbauamt erstellt auf seine Kosten sämtliche Gebäude und Anlagen. Der Anbau an den Forstwerkhof einschliesslich Holzschnitzelheizung geht nach Fertigstellung in das Eigentum des Oberforstamtes über. Die restlichen Objekte bleiben im Eigentum des Tiefbauamtes.</w:t>
      </w:r>
    </w:p>
    <w:p w:rsidR="00420B96" w:rsidRPr="00420B96" w:rsidRDefault="00420B96" w:rsidP="00420B96">
      <w:pPr>
        <w:spacing w:before="60"/>
        <w:rPr>
          <w:rFonts w:cs="Arial"/>
        </w:rPr>
      </w:pPr>
      <w:r w:rsidRPr="00420B96">
        <w:rPr>
          <w:rFonts w:cs="Arial"/>
        </w:rPr>
        <w:t>Im Gegenzug stellt das Oberforstamt für den Bau der Einstellhalle ca. 1200 m</w:t>
      </w:r>
      <w:r w:rsidRPr="00420B96">
        <w:rPr>
          <w:rFonts w:cs="Arial"/>
          <w:vertAlign w:val="superscript"/>
        </w:rPr>
        <w:t>2</w:t>
      </w:r>
      <w:r w:rsidRPr="00420B96">
        <w:rPr>
          <w:rFonts w:cs="Arial"/>
        </w:rPr>
        <w:t xml:space="preserve"> Land zur Verfügung und sorgt als zukünftiger Eigentümer für den betrieblichen und baulichen Unterhalt des Anbaus und der Holzschnitzelheizung. Im weitern stellt das Oberforstamt dem Tiefbauamt unentgeltlich und unbefristet die Mannschaftsräume wie Aufenthaltsraum, WC-Anlage, Stiefelwaschanlage und Garderobe zur Mitbenutzung und den Büroraum KZTA zur Benutzung zur Verfügung. Ebenfalls unentgeltlich und unbefristet liefert das Oberforstamt dem Tiefbauamt die benötigte Heizleistung für die neue Einstellhalle.</w:t>
      </w:r>
    </w:p>
    <w:p w:rsidR="00420B96" w:rsidRPr="00420B96" w:rsidRDefault="00420B96" w:rsidP="00420B96">
      <w:pPr>
        <w:spacing w:before="60"/>
        <w:rPr>
          <w:rFonts w:cs="Arial"/>
        </w:rPr>
      </w:pPr>
      <w:r w:rsidRPr="00420B96">
        <w:rPr>
          <w:rFonts w:cs="Arial"/>
        </w:rPr>
        <w:t>Gemäss Kostenvoranschlag der Architekten Ernst &amp; Baumgartner AG in Rüti ist mit Aufwendungen von insgesamt Fr. 1 980000 (Index-Stand Oktober 1993) zu rechnen. Dafür ist ein Objektkredit zu bewilligen. Der Betrag ist anteilmässig im Staatsvoranschlag 1994 enthalten bzw. für die folgenden Jahre vorzumerken.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730"/>
        <w:gridCol w:w="1362"/>
      </w:tblGrid>
      <w:tr w:rsidR="00420B96" w:rsidRPr="00420B96" w:rsidTr="000A2F95">
        <w:trPr>
          <w:trHeight w:val="283"/>
        </w:trPr>
        <w:tc>
          <w:tcPr>
            <w:tcW w:w="0" w:type="auto"/>
            <w:gridSpan w:val="2"/>
            <w:shd w:val="clear" w:color="auto" w:fill="FFFFFF"/>
          </w:tcPr>
          <w:p w:rsidR="00420B96" w:rsidRPr="00420B96" w:rsidRDefault="00420B96" w:rsidP="000A2F95">
            <w:pPr>
              <w:spacing w:before="60"/>
              <w:rPr>
                <w:rFonts w:cs="Arial"/>
              </w:rPr>
            </w:pPr>
            <w:r w:rsidRPr="00420B96">
              <w:rPr>
                <w:rFonts w:cs="Arial"/>
              </w:rPr>
              <w:t>Folgekosten</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1. Kapitalfolgekosten für Abschreibungen</w:t>
            </w:r>
          </w:p>
        </w:tc>
        <w:tc>
          <w:tcPr>
            <w:tcW w:w="0" w:type="auto"/>
            <w:shd w:val="clear" w:color="auto" w:fill="FFFFFF"/>
          </w:tcPr>
          <w:p w:rsidR="00420B96" w:rsidRPr="00420B96" w:rsidRDefault="00420B96" w:rsidP="000A2F95">
            <w:pPr>
              <w:spacing w:before="60"/>
              <w:jc w:val="center"/>
              <w:rPr>
                <w:rFonts w:cs="Arial"/>
              </w:rPr>
            </w:pPr>
            <w:r w:rsidRPr="00420B96">
              <w:rPr>
                <w:rFonts w:cs="Arial"/>
              </w:rPr>
              <w:t>Fr.</w:t>
            </w:r>
          </w:p>
        </w:tc>
      </w:tr>
      <w:tr w:rsidR="00420B96" w:rsidRPr="00420B96" w:rsidTr="000A2F95">
        <w:trPr>
          <w:trHeight w:val="283"/>
        </w:trPr>
        <w:tc>
          <w:tcPr>
            <w:tcW w:w="0" w:type="auto"/>
            <w:gridSpan w:val="2"/>
            <w:shd w:val="clear" w:color="auto" w:fill="FFFFFF"/>
          </w:tcPr>
          <w:p w:rsidR="00420B96" w:rsidRPr="00420B96" w:rsidRDefault="00420B96" w:rsidP="000A2F95">
            <w:pPr>
              <w:spacing w:before="60"/>
              <w:rPr>
                <w:rFonts w:cs="Arial"/>
              </w:rPr>
            </w:pPr>
            <w:r w:rsidRPr="00420B96">
              <w:rPr>
                <w:rFonts w:cs="Arial"/>
              </w:rPr>
              <w:t>und Verzinsung</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10% von Fr. 1980000</w:t>
            </w:r>
          </w:p>
        </w:tc>
        <w:tc>
          <w:tcPr>
            <w:tcW w:w="0" w:type="auto"/>
            <w:shd w:val="clear" w:color="auto" w:fill="FFFFFF"/>
          </w:tcPr>
          <w:p w:rsidR="00420B96" w:rsidRPr="00420B96" w:rsidRDefault="00420B96" w:rsidP="000A2F95">
            <w:pPr>
              <w:spacing w:before="60"/>
              <w:jc w:val="right"/>
              <w:rPr>
                <w:rFonts w:cs="Arial"/>
              </w:rPr>
            </w:pPr>
            <w:r w:rsidRPr="00420B96">
              <w:rPr>
                <w:rFonts w:cs="Arial"/>
              </w:rPr>
              <w:t>198 000</w:t>
            </w:r>
          </w:p>
        </w:tc>
      </w:tr>
      <w:tr w:rsidR="00420B96" w:rsidRPr="00420B96" w:rsidTr="000A2F95">
        <w:trPr>
          <w:trHeight w:val="283"/>
        </w:trPr>
        <w:tc>
          <w:tcPr>
            <w:tcW w:w="0" w:type="auto"/>
            <w:gridSpan w:val="2"/>
            <w:shd w:val="clear" w:color="auto" w:fill="FFFFFF"/>
          </w:tcPr>
          <w:p w:rsidR="00420B96" w:rsidRPr="00420B96" w:rsidRDefault="00420B96" w:rsidP="000A2F95">
            <w:pPr>
              <w:spacing w:before="60"/>
              <w:rPr>
                <w:rFonts w:cs="Arial"/>
              </w:rPr>
            </w:pPr>
            <w:r w:rsidRPr="00420B96">
              <w:rPr>
                <w:rFonts w:cs="Arial"/>
              </w:rPr>
              <w:t>2. Betriebliche Folgekosten für die dem Tiefbauamt verbleibenden Betriebsanlagen</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2% von Fr. 1 100000</w:t>
            </w:r>
          </w:p>
        </w:tc>
        <w:tc>
          <w:tcPr>
            <w:tcW w:w="0" w:type="auto"/>
            <w:shd w:val="clear" w:color="auto" w:fill="FFFFFF"/>
          </w:tcPr>
          <w:p w:rsidR="00420B96" w:rsidRPr="00420B96" w:rsidRDefault="00420B96" w:rsidP="000A2F95">
            <w:pPr>
              <w:spacing w:before="60"/>
              <w:jc w:val="right"/>
              <w:rPr>
                <w:rFonts w:cs="Arial"/>
              </w:rPr>
            </w:pPr>
            <w:r w:rsidRPr="00420B96">
              <w:rPr>
                <w:rFonts w:cs="Arial"/>
              </w:rPr>
              <w:t>22 000</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3. Personelle Folgekosten</w:t>
            </w:r>
          </w:p>
        </w:tc>
        <w:tc>
          <w:tcPr>
            <w:tcW w:w="0" w:type="auto"/>
            <w:shd w:val="clear" w:color="auto" w:fill="FFFFFF"/>
          </w:tcPr>
          <w:p w:rsidR="00420B96" w:rsidRPr="00420B96" w:rsidRDefault="00420B96" w:rsidP="000A2F95">
            <w:pPr>
              <w:spacing w:before="60"/>
              <w:jc w:val="right"/>
              <w:rPr>
                <w:rFonts w:cs="Arial"/>
              </w:rPr>
            </w:pPr>
            <w:r w:rsidRPr="00420B96">
              <w:rPr>
                <w:rFonts w:cs="Arial"/>
              </w:rPr>
              <w:t>-</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4. Indirekte Folgekosten</w:t>
            </w:r>
          </w:p>
        </w:tc>
        <w:tc>
          <w:tcPr>
            <w:tcW w:w="0" w:type="auto"/>
            <w:shd w:val="clear" w:color="auto" w:fill="FFFFFF"/>
          </w:tcPr>
          <w:p w:rsidR="00420B96" w:rsidRPr="00420B96" w:rsidRDefault="00420B96" w:rsidP="000A2F95">
            <w:pPr>
              <w:spacing w:before="60"/>
              <w:jc w:val="right"/>
              <w:rPr>
                <w:rFonts w:cs="Arial"/>
              </w:rPr>
            </w:pPr>
            <w:r w:rsidRPr="00420B96">
              <w:rPr>
                <w:rFonts w:cs="Arial"/>
              </w:rPr>
              <w:t>-</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Total jährliche Folgekosten</w:t>
            </w:r>
          </w:p>
        </w:tc>
        <w:tc>
          <w:tcPr>
            <w:tcW w:w="0" w:type="auto"/>
            <w:shd w:val="clear" w:color="auto" w:fill="FFFFFF"/>
          </w:tcPr>
          <w:p w:rsidR="00420B96" w:rsidRPr="00420B96" w:rsidRDefault="00420B96" w:rsidP="000A2F95">
            <w:pPr>
              <w:spacing w:before="60"/>
              <w:jc w:val="right"/>
              <w:rPr>
                <w:rFonts w:cs="Arial"/>
              </w:rPr>
            </w:pPr>
            <w:r w:rsidRPr="00420B96">
              <w:rPr>
                <w:rFonts w:cs="Arial"/>
              </w:rPr>
              <w:t>220 000</w:t>
            </w:r>
          </w:p>
        </w:tc>
      </w:tr>
      <w:tr w:rsidR="00420B96" w:rsidRPr="00420B96" w:rsidTr="000A2F95">
        <w:trPr>
          <w:trHeight w:val="283"/>
        </w:trPr>
        <w:tc>
          <w:tcPr>
            <w:tcW w:w="0" w:type="auto"/>
            <w:gridSpan w:val="2"/>
            <w:shd w:val="clear" w:color="auto" w:fill="FFFFFF"/>
          </w:tcPr>
          <w:p w:rsidR="00420B96" w:rsidRPr="00420B96" w:rsidRDefault="00420B96" w:rsidP="000A2F95">
            <w:pPr>
              <w:spacing w:before="60"/>
              <w:rPr>
                <w:rFonts w:cs="Arial"/>
              </w:rPr>
            </w:pPr>
            <w:r w:rsidRPr="00420B96">
              <w:rPr>
                <w:rFonts w:cs="Arial"/>
              </w:rPr>
              <w:t>Minderausgaben</w:t>
            </w:r>
          </w:p>
        </w:tc>
      </w:tr>
      <w:tr w:rsidR="00420B96" w:rsidRPr="00420B96" w:rsidTr="000A2F95">
        <w:trPr>
          <w:trHeight w:val="283"/>
        </w:trPr>
        <w:tc>
          <w:tcPr>
            <w:tcW w:w="0" w:type="auto"/>
            <w:gridSpan w:val="2"/>
            <w:shd w:val="clear" w:color="auto" w:fill="FFFFFF"/>
          </w:tcPr>
          <w:p w:rsidR="00420B96" w:rsidRPr="00420B96" w:rsidRDefault="00420B96" w:rsidP="000A2F95">
            <w:pPr>
              <w:spacing w:before="60"/>
              <w:rPr>
                <w:rFonts w:cs="Arial"/>
              </w:rPr>
            </w:pPr>
            <w:r w:rsidRPr="00420B96">
              <w:rPr>
                <w:rFonts w:cs="Arial"/>
              </w:rPr>
              <w:t>Auflösung der Mietverhältnisse:</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Magazin Schmittenbach, Fischenthal</w:t>
            </w:r>
          </w:p>
        </w:tc>
        <w:tc>
          <w:tcPr>
            <w:tcW w:w="0" w:type="auto"/>
            <w:shd w:val="clear" w:color="auto" w:fill="FFFFFF"/>
          </w:tcPr>
          <w:p w:rsidR="00420B96" w:rsidRPr="00420B96" w:rsidRDefault="00420B96" w:rsidP="000A2F95">
            <w:pPr>
              <w:spacing w:before="60"/>
              <w:jc w:val="right"/>
              <w:rPr>
                <w:rFonts w:cs="Arial"/>
              </w:rPr>
            </w:pPr>
            <w:r w:rsidRPr="00420B96">
              <w:rPr>
                <w:rFonts w:cs="Arial"/>
              </w:rPr>
              <w:t>4 000</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Werkhof Holderbaum, Bauma</w:t>
            </w:r>
          </w:p>
        </w:tc>
        <w:tc>
          <w:tcPr>
            <w:tcW w:w="0" w:type="auto"/>
            <w:shd w:val="clear" w:color="auto" w:fill="FFFFFF"/>
          </w:tcPr>
          <w:p w:rsidR="00420B96" w:rsidRPr="00420B96" w:rsidRDefault="00420B96" w:rsidP="000A2F95">
            <w:pPr>
              <w:spacing w:before="60"/>
              <w:jc w:val="right"/>
              <w:rPr>
                <w:rFonts w:cs="Arial"/>
              </w:rPr>
            </w:pPr>
            <w:r w:rsidRPr="00420B96">
              <w:rPr>
                <w:rFonts w:cs="Arial"/>
              </w:rPr>
              <w:t>16 000</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Total jährliche Minderausgaben</w:t>
            </w:r>
          </w:p>
        </w:tc>
        <w:tc>
          <w:tcPr>
            <w:tcW w:w="0" w:type="auto"/>
            <w:shd w:val="clear" w:color="auto" w:fill="FFFFFF"/>
          </w:tcPr>
          <w:p w:rsidR="00420B96" w:rsidRPr="00420B96" w:rsidRDefault="00420B96" w:rsidP="000A2F95">
            <w:pPr>
              <w:spacing w:before="60"/>
              <w:jc w:val="right"/>
              <w:rPr>
                <w:rFonts w:cs="Arial"/>
              </w:rPr>
            </w:pPr>
            <w:r w:rsidRPr="00420B96">
              <w:rPr>
                <w:rFonts w:cs="Arial"/>
              </w:rPr>
              <w:t>20 000</w:t>
            </w:r>
          </w:p>
        </w:tc>
      </w:tr>
      <w:tr w:rsidR="00420B96" w:rsidRPr="00420B96" w:rsidTr="000A2F95">
        <w:trPr>
          <w:trHeight w:val="283"/>
        </w:trPr>
        <w:tc>
          <w:tcPr>
            <w:tcW w:w="0" w:type="auto"/>
            <w:shd w:val="clear" w:color="auto" w:fill="FFFFFF"/>
          </w:tcPr>
          <w:p w:rsidR="00420B96" w:rsidRPr="00420B96" w:rsidRDefault="00420B96" w:rsidP="000A2F95">
            <w:pPr>
              <w:spacing w:before="60"/>
              <w:rPr>
                <w:rFonts w:cs="Arial"/>
              </w:rPr>
            </w:pPr>
            <w:r w:rsidRPr="00420B96">
              <w:rPr>
                <w:rFonts w:cs="Arial"/>
              </w:rPr>
              <w:t>Total jährliche Nettobeanspruchung</w:t>
            </w:r>
          </w:p>
        </w:tc>
        <w:tc>
          <w:tcPr>
            <w:tcW w:w="0" w:type="auto"/>
            <w:shd w:val="clear" w:color="auto" w:fill="FFFFFF"/>
          </w:tcPr>
          <w:p w:rsidR="00420B96" w:rsidRPr="00420B96" w:rsidRDefault="00420B96" w:rsidP="000A2F95">
            <w:pPr>
              <w:spacing w:before="60"/>
              <w:jc w:val="right"/>
              <w:rPr>
                <w:rFonts w:cs="Arial"/>
              </w:rPr>
            </w:pPr>
            <w:r w:rsidRPr="00420B96">
              <w:rPr>
                <w:rFonts w:cs="Arial"/>
              </w:rPr>
              <w:t>200 000</w:t>
            </w:r>
          </w:p>
        </w:tc>
      </w:tr>
    </w:tbl>
    <w:p w:rsidR="00420B96" w:rsidRPr="00420B96" w:rsidRDefault="00420B96" w:rsidP="00420B96">
      <w:pPr>
        <w:spacing w:before="60"/>
        <w:rPr>
          <w:rFonts w:cs="Arial"/>
        </w:rPr>
      </w:pPr>
      <w:r w:rsidRPr="00420B96">
        <w:rPr>
          <w:rFonts w:cs="Arial"/>
        </w:rPr>
        <w:t>Auf Antrag der Direktionen der öffentlichen Bauten und der Volkswirtschaft</w:t>
      </w:r>
    </w:p>
    <w:p w:rsidR="00420B96" w:rsidRPr="00420B96" w:rsidRDefault="00420B96" w:rsidP="00420B96">
      <w:pPr>
        <w:spacing w:before="60"/>
        <w:jc w:val="center"/>
        <w:rPr>
          <w:rFonts w:cs="Arial"/>
        </w:rPr>
      </w:pPr>
      <w:r w:rsidRPr="00420B96">
        <w:rPr>
          <w:rFonts w:cs="Arial"/>
        </w:rPr>
        <w:t>beschliesst der Regierungsrat:</w:t>
      </w:r>
    </w:p>
    <w:p w:rsidR="00420B96" w:rsidRPr="00420B96" w:rsidRDefault="00420B96" w:rsidP="00420B96">
      <w:pPr>
        <w:tabs>
          <w:tab w:val="left" w:pos="497"/>
        </w:tabs>
        <w:spacing w:before="60"/>
        <w:rPr>
          <w:rFonts w:cs="Arial"/>
        </w:rPr>
      </w:pPr>
      <w:r w:rsidRPr="00420B96">
        <w:rPr>
          <w:rFonts w:cs="Arial"/>
        </w:rPr>
        <w:t>I. Für den Neubau des Stützpunktes Länzen, Fischenthal, für den Strassenunterhalt wird ein Objektkredit von Fr. 1 980000 bewilligt.</w:t>
      </w:r>
    </w:p>
    <w:p w:rsidR="00420B96" w:rsidRPr="00420B96" w:rsidRDefault="00420B96" w:rsidP="00420B96">
      <w:pPr>
        <w:spacing w:before="60"/>
        <w:rPr>
          <w:rFonts w:cs="Arial"/>
        </w:rPr>
      </w:pPr>
      <w:r w:rsidRPr="00420B96">
        <w:rPr>
          <w:rFonts w:cs="Arial"/>
        </w:rPr>
        <w:t>Die Kosten gehen zu Lasten des Kontos 3010.5030.012, Erwerb und Erstellung von Liegenschaften; Werkgebäude Strassenunterhalt.</w:t>
      </w:r>
    </w:p>
    <w:p w:rsidR="00420B96" w:rsidRPr="00420B96" w:rsidRDefault="00420B96" w:rsidP="00420B96">
      <w:pPr>
        <w:tabs>
          <w:tab w:val="left" w:pos="529"/>
        </w:tabs>
        <w:spacing w:before="60"/>
        <w:rPr>
          <w:rFonts w:cs="Arial"/>
        </w:rPr>
      </w:pPr>
      <w:r w:rsidRPr="00420B96">
        <w:rPr>
          <w:rFonts w:cs="Arial"/>
        </w:rPr>
        <w:t>II. Der Benutzungsregelung im Sinne der Erwägungen wird zugestimmt.</w:t>
      </w:r>
    </w:p>
    <w:p w:rsidR="00420B96" w:rsidRPr="00420B96" w:rsidRDefault="00420B96" w:rsidP="00420B96">
      <w:pPr>
        <w:pStyle w:val="00Vorgabetext"/>
        <w:keepNext/>
        <w:keepLines/>
        <w:rPr>
          <w:rFonts w:cs="Arial"/>
        </w:rPr>
      </w:pPr>
      <w:r w:rsidRPr="00420B96">
        <w:rPr>
          <w:rFonts w:cs="Arial"/>
        </w:rPr>
        <w:t>III. Mitteilung an die Direktionen der öffentlichen Bauten, der Volkswirtschaft und der Finanzen.</w:t>
      </w:r>
    </w:p>
    <w:p w:rsidR="00420B96" w:rsidRPr="00420B96" w:rsidRDefault="00420B96" w:rsidP="00420B96">
      <w:pPr>
        <w:pStyle w:val="00Vorgabetext"/>
        <w:keepNext/>
        <w:keepLines/>
        <w:rPr>
          <w:rFonts w:cs="Arial"/>
        </w:rPr>
      </w:pPr>
    </w:p>
    <w:p w:rsidR="00420B96" w:rsidRPr="00420B96" w:rsidRDefault="00420B96" w:rsidP="00420B96">
      <w:pPr>
        <w:pStyle w:val="00Vorgabetext"/>
        <w:keepNext/>
        <w:keepLines/>
        <w:rPr>
          <w:rFonts w:cs="Arial"/>
        </w:rPr>
      </w:pPr>
    </w:p>
    <w:p w:rsidR="00BE768B" w:rsidRPr="00420B96" w:rsidRDefault="00420B96" w:rsidP="00420B96">
      <w:pPr>
        <w:pStyle w:val="00Vorgabetext"/>
        <w:keepNext/>
        <w:keepLines/>
      </w:pPr>
      <w:r w:rsidRPr="00420B96">
        <w:rPr>
          <w:rFonts w:cs="Arial"/>
        </w:rPr>
        <w:t>[</w:t>
      </w:r>
      <w:r w:rsidRPr="00420B96">
        <w:rPr>
          <w:rFonts w:cs="Arial"/>
          <w:i/>
        </w:rPr>
        <w:t>Transkript: OCR (Überarbeitung: Team TKR)/14.09.2017</w:t>
      </w:r>
      <w:bookmarkStart w:id="1" w:name="_GoBack"/>
      <w:r w:rsidRPr="00420B96">
        <w:rPr>
          <w:rFonts w:cs="Arial"/>
        </w:rPr>
        <w:t xml:space="preserve">] </w:t>
      </w:r>
      <w:bookmarkEnd w:id="1"/>
    </w:p>
    <w:sectPr w:rsidR="00BE768B" w:rsidRPr="00420B9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B96" w:rsidRDefault="00420B96">
      <w:r>
        <w:separator/>
      </w:r>
    </w:p>
    <w:p w:rsidR="00420B96" w:rsidRDefault="00420B96"/>
    <w:p w:rsidR="00420B96" w:rsidRDefault="00420B96"/>
  </w:endnote>
  <w:endnote w:type="continuationSeparator" w:id="0">
    <w:p w:rsidR="00420B96" w:rsidRDefault="00420B96">
      <w:r>
        <w:continuationSeparator/>
      </w:r>
    </w:p>
    <w:p w:rsidR="00420B96" w:rsidRDefault="00420B96"/>
    <w:p w:rsidR="00420B96" w:rsidRDefault="00420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B96" w:rsidRDefault="00420B96">
      <w:r>
        <w:separator/>
      </w:r>
    </w:p>
    <w:p w:rsidR="00420B96" w:rsidRDefault="00420B96"/>
    <w:p w:rsidR="00420B96" w:rsidRDefault="00420B96"/>
  </w:footnote>
  <w:footnote w:type="continuationSeparator" w:id="0">
    <w:p w:rsidR="00420B96" w:rsidRDefault="00420B96">
      <w:r>
        <w:continuationSeparator/>
      </w:r>
    </w:p>
    <w:p w:rsidR="00420B96" w:rsidRDefault="00420B96"/>
    <w:p w:rsidR="00420B96" w:rsidRDefault="00420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20B9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20B9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9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0B96"/>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936D60-6375-4E54-A1D0-F10E82B4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20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DA89A-09F1-4FB2-BF64-C967F086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527</Words>
  <Characters>3198</Characters>
  <Application>Microsoft Office Word</Application>
  <DocSecurity>0</DocSecurity>
  <PresentationFormat/>
  <Lines>319</Lines>
  <Paragraphs>310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3415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Neubau Stützpunkt Lanzen, Fischenthal</dc:subject>
  <dc:creator>Staatsarchiv des Kantons Zürich</dc:creator>
  <cp:lastModifiedBy>Mirjam Stadler</cp:lastModifiedBy>
  <cp:revision>1</cp:revision>
  <cp:lastPrinted>2012-06-15T14:37:00Z</cp:lastPrinted>
  <dcterms:created xsi:type="dcterms:W3CDTF">2017-09-14T06:51:00Z</dcterms:created>
  <dcterms:modified xsi:type="dcterms:W3CDTF">2017-09-14T06:51:00Z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