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FB7368" w:rsidTr="00C80ABA">
        <w:trPr>
          <w:trHeight w:val="454"/>
        </w:trPr>
        <w:tc>
          <w:tcPr>
            <w:tcW w:w="1668" w:type="dxa"/>
          </w:tcPr>
          <w:p w:rsidR="00A43AE4" w:rsidRPr="00FB736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B7368">
              <w:t>Signatur</w:t>
            </w:r>
          </w:p>
        </w:tc>
        <w:tc>
          <w:tcPr>
            <w:tcW w:w="6721" w:type="dxa"/>
          </w:tcPr>
          <w:p w:rsidR="00A43AE4" w:rsidRPr="00FB7368" w:rsidRDefault="00FB7368" w:rsidP="00931B1F">
            <w:pPr>
              <w:pStyle w:val="70SignaturX"/>
            </w:pPr>
            <w:r w:rsidRPr="00FB7368">
              <w:t>StAZH MM 3.204 RRB 1994/1697</w:t>
            </w:r>
          </w:p>
        </w:tc>
      </w:tr>
      <w:tr w:rsidR="00A43AE4" w:rsidRPr="00FB7368" w:rsidTr="00C80ABA">
        <w:trPr>
          <w:trHeight w:val="454"/>
        </w:trPr>
        <w:tc>
          <w:tcPr>
            <w:tcW w:w="1668" w:type="dxa"/>
          </w:tcPr>
          <w:p w:rsidR="00A43AE4" w:rsidRPr="00FB736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B7368">
              <w:t>Titel</w:t>
            </w:r>
          </w:p>
        </w:tc>
        <w:tc>
          <w:tcPr>
            <w:tcW w:w="6721" w:type="dxa"/>
          </w:tcPr>
          <w:p w:rsidR="006C59EA" w:rsidRPr="00FB7368" w:rsidRDefault="00FB736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B7368">
              <w:rPr>
                <w:rFonts w:ascii="Arial Black" w:hAnsi="Arial Black"/>
              </w:rPr>
              <w:t>Kantonale Familienausgleichskasse (Reservefonds)</w:t>
            </w:r>
          </w:p>
        </w:tc>
      </w:tr>
      <w:tr w:rsidR="00BC0931" w:rsidRPr="00FB7368" w:rsidTr="00C80ABA">
        <w:trPr>
          <w:trHeight w:val="454"/>
        </w:trPr>
        <w:tc>
          <w:tcPr>
            <w:tcW w:w="1668" w:type="dxa"/>
          </w:tcPr>
          <w:p w:rsidR="00BC0931" w:rsidRPr="00FB736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B7368">
              <w:t>Datum</w:t>
            </w:r>
          </w:p>
        </w:tc>
        <w:tc>
          <w:tcPr>
            <w:tcW w:w="6721" w:type="dxa"/>
          </w:tcPr>
          <w:p w:rsidR="00BC0931" w:rsidRPr="00FB7368" w:rsidRDefault="00FB7368" w:rsidP="00931B1F">
            <w:pPr>
              <w:pStyle w:val="71DatumX"/>
            </w:pPr>
            <w:r w:rsidRPr="00FB7368">
              <w:t>15.06.1994</w:t>
            </w:r>
          </w:p>
        </w:tc>
      </w:tr>
      <w:tr w:rsidR="00A43AE4" w:rsidRPr="00FB7368" w:rsidTr="00C80ABA">
        <w:trPr>
          <w:trHeight w:val="454"/>
        </w:trPr>
        <w:tc>
          <w:tcPr>
            <w:tcW w:w="1668" w:type="dxa"/>
          </w:tcPr>
          <w:p w:rsidR="00A43AE4" w:rsidRPr="00FB736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B7368">
              <w:t>P.</w:t>
            </w:r>
          </w:p>
        </w:tc>
        <w:tc>
          <w:tcPr>
            <w:tcW w:w="6721" w:type="dxa"/>
          </w:tcPr>
          <w:p w:rsidR="00A43AE4" w:rsidRPr="00FB7368" w:rsidRDefault="00FB7368" w:rsidP="00931B1F">
            <w:pPr>
              <w:pStyle w:val="00Vorgabetext"/>
            </w:pPr>
            <w:r w:rsidRPr="00FB7368">
              <w:t>766</w:t>
            </w:r>
          </w:p>
        </w:tc>
      </w:tr>
    </w:tbl>
    <w:p w:rsidR="00616641" w:rsidRPr="00FB7368" w:rsidRDefault="00616641" w:rsidP="0077655B">
      <w:pPr>
        <w:pStyle w:val="00Vorgabetext"/>
        <w:spacing w:before="0" w:after="60"/>
      </w:pPr>
    </w:p>
    <w:p w:rsidR="00FB7368" w:rsidRPr="00FB7368" w:rsidRDefault="00FB7368" w:rsidP="00FB7368">
      <w:pPr>
        <w:spacing w:before="60"/>
        <w:rPr>
          <w:rFonts w:cs="Arial"/>
        </w:rPr>
      </w:pPr>
      <w:bookmarkStart w:id="0" w:name="ContentText"/>
      <w:bookmarkEnd w:id="0"/>
      <w:r w:rsidRPr="00FB7368">
        <w:t>[</w:t>
      </w:r>
      <w:r w:rsidRPr="00FB7368">
        <w:rPr>
          <w:i/>
        </w:rPr>
        <w:t>p. 766</w:t>
      </w:r>
      <w:r w:rsidRPr="00FB7368">
        <w:t xml:space="preserve">] </w:t>
      </w:r>
      <w:r w:rsidRPr="00FB7368">
        <w:rPr>
          <w:rFonts w:cs="Arial"/>
        </w:rPr>
        <w:t xml:space="preserve">Gestützt auf die provisorische Jahresrechnung und den Vorschlag des Aufsichtsrates der kantonalen Familienausgleichskasse hat der Regierungsrat alljährlich über allfällige Einlagen in den bzw. Entnahmen aus dem Reservefonds zu beschliessen. Er stützt sich dabei auf § 26 </w:t>
      </w:r>
      <w:r w:rsidRPr="00FB7368">
        <w:rPr>
          <w:rFonts w:cs="Arial"/>
          <w:lang w:val="fr-FR" w:eastAsia="fr-FR" w:bidi="fr-FR"/>
        </w:rPr>
        <w:t xml:space="preserve">lit. </w:t>
      </w:r>
      <w:r w:rsidRPr="00FB7368">
        <w:rPr>
          <w:rFonts w:cs="Arial"/>
        </w:rPr>
        <w:t>b des Gesetzes über Kinderzulagen für Arbeitnehmer vom 8. Juni 1958 (KZG) und auf § 18 der dazugehörigen Vollziehungsverordnung.</w:t>
      </w:r>
    </w:p>
    <w:p w:rsidR="00FB7368" w:rsidRPr="00FB7368" w:rsidRDefault="00FB7368" w:rsidP="00FB7368">
      <w:pPr>
        <w:spacing w:before="60"/>
        <w:rPr>
          <w:rFonts w:cs="Arial"/>
        </w:rPr>
      </w:pPr>
      <w:r w:rsidRPr="00FB7368">
        <w:rPr>
          <w:rFonts w:cs="Arial"/>
        </w:rPr>
        <w:t>Laut provisorischer Jahresrechnung ergeben sich für das Rechnungsjahr vom 1. Februar 1993 bis zum 31. Januar 1994 folgende Zahlen:</w:t>
      </w:r>
    </w:p>
    <w:p w:rsidR="00FB7368" w:rsidRPr="00FB7368" w:rsidRDefault="00FB7368" w:rsidP="00FB7368">
      <w:pPr>
        <w:spacing w:before="60"/>
        <w:rPr>
          <w:rFonts w:cs="Arial"/>
        </w:rPr>
      </w:pPr>
      <w:r w:rsidRPr="00FB7368">
        <w:rPr>
          <w:rFonts w:cs="Arial"/>
        </w:rPr>
        <w:t>Bilanz per 31. Januar 1994</w:t>
      </w:r>
    </w:p>
    <w:p w:rsidR="00FB7368" w:rsidRPr="00FB7368" w:rsidRDefault="00FB7368" w:rsidP="00FB7368">
      <w:pPr>
        <w:spacing w:before="60"/>
        <w:rPr>
          <w:rFonts w:cs="Arial"/>
        </w:rPr>
      </w:pPr>
      <w:r w:rsidRPr="00FB7368">
        <w:rPr>
          <w:rFonts w:cs="Arial"/>
        </w:rPr>
        <w:t>Aktiven: Banken Fr. 23 798 137.30, Guthaben Fr. 4909358.95, Wertschriften Fr. 63 625 000, Darlehen Fr. 9000000 = Fr. 101 332496.25.</w:t>
      </w:r>
    </w:p>
    <w:p w:rsidR="00FB7368" w:rsidRPr="00FB7368" w:rsidRDefault="00FB7368" w:rsidP="00FB7368">
      <w:pPr>
        <w:spacing w:before="60"/>
        <w:rPr>
          <w:rFonts w:cs="Arial"/>
        </w:rPr>
      </w:pPr>
      <w:r w:rsidRPr="00FB7368">
        <w:rPr>
          <w:rFonts w:cs="Arial"/>
        </w:rPr>
        <w:t>Passiven: AHV-Ausgleichskasse Fr. 1 803 440.85, FAK-Abrechnungsstellen Fr. 1089614.54, Reserven Fr. 98439440.86 (Fr. 124 352247.63 -Fr. 25912806.77) = Fr. 101 332496.25.</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943"/>
        <w:gridCol w:w="1562"/>
        <w:gridCol w:w="1610"/>
      </w:tblGrid>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Jahresrechnung 1993</w:t>
            </w:r>
          </w:p>
        </w:tc>
        <w:tc>
          <w:tcPr>
            <w:tcW w:w="0" w:type="auto"/>
            <w:shd w:val="clear" w:color="auto" w:fill="FFFFFF"/>
          </w:tcPr>
          <w:p w:rsidR="00FB7368" w:rsidRPr="00FB7368" w:rsidRDefault="00FB7368" w:rsidP="000A2F95">
            <w:pPr>
              <w:spacing w:before="60"/>
              <w:jc w:val="center"/>
              <w:rPr>
                <w:rFonts w:cs="Arial"/>
              </w:rPr>
            </w:pPr>
            <w:r w:rsidRPr="00FB7368">
              <w:rPr>
                <w:rFonts w:cs="Arial"/>
              </w:rPr>
              <w:t>Fr.</w:t>
            </w:r>
          </w:p>
        </w:tc>
        <w:tc>
          <w:tcPr>
            <w:tcW w:w="0" w:type="auto"/>
            <w:shd w:val="clear" w:color="auto" w:fill="FFFFFF"/>
          </w:tcPr>
          <w:p w:rsidR="00FB7368" w:rsidRPr="00FB7368" w:rsidRDefault="00FB7368" w:rsidP="000A2F95">
            <w:pPr>
              <w:spacing w:before="60"/>
              <w:jc w:val="center"/>
              <w:rPr>
                <w:rFonts w:cs="Arial"/>
              </w:rPr>
            </w:pPr>
            <w:r w:rsidRPr="00FB7368">
              <w:rPr>
                <w:rFonts w:cs="Arial"/>
              </w:rPr>
              <w:t>Vorjahreszahlen</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1. Einnahmen</w:t>
            </w:r>
          </w:p>
        </w:tc>
        <w:tc>
          <w:tcPr>
            <w:tcW w:w="0" w:type="auto"/>
            <w:shd w:val="clear" w:color="auto" w:fill="FFFFFF"/>
          </w:tcPr>
          <w:p w:rsidR="00FB7368" w:rsidRPr="00FB7368" w:rsidRDefault="00FB7368" w:rsidP="000A2F95">
            <w:pPr>
              <w:spacing w:before="60"/>
              <w:rPr>
                <w:rFonts w:cs="Arial"/>
                <w:szCs w:val="10"/>
              </w:rPr>
            </w:pPr>
          </w:p>
        </w:tc>
        <w:tc>
          <w:tcPr>
            <w:tcW w:w="0" w:type="auto"/>
            <w:shd w:val="clear" w:color="auto" w:fill="FFFFFF"/>
          </w:tcPr>
          <w:p w:rsidR="00FB7368" w:rsidRPr="00FB7368" w:rsidRDefault="00FB7368" w:rsidP="000A2F95">
            <w:pPr>
              <w:spacing w:before="60"/>
              <w:rPr>
                <w:rFonts w:cs="Arial"/>
              </w:rPr>
            </w:pPr>
            <w:r w:rsidRPr="00FB7368">
              <w:rPr>
                <w:rFonts w:cs="Arial"/>
              </w:rPr>
              <w:t>in Fr. 1000</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Vorjahresvortrag</w:t>
            </w:r>
          </w:p>
        </w:tc>
        <w:tc>
          <w:tcPr>
            <w:tcW w:w="0" w:type="auto"/>
            <w:shd w:val="clear" w:color="auto" w:fill="FFFFFF"/>
          </w:tcPr>
          <w:p w:rsidR="00FB7368" w:rsidRPr="00FB7368" w:rsidRDefault="00FB7368" w:rsidP="000A2F95">
            <w:pPr>
              <w:spacing w:before="60"/>
              <w:jc w:val="right"/>
              <w:rPr>
                <w:rFonts w:cs="Arial"/>
                <w:szCs w:val="10"/>
              </w:rPr>
            </w:pPr>
          </w:p>
        </w:tc>
        <w:tc>
          <w:tcPr>
            <w:tcW w:w="0" w:type="auto"/>
            <w:shd w:val="clear" w:color="auto" w:fill="FFFFFF"/>
          </w:tcPr>
          <w:p w:rsidR="00FB7368" w:rsidRPr="00FB7368" w:rsidRDefault="00FB7368" w:rsidP="000A2F95">
            <w:pPr>
              <w:spacing w:before="60"/>
              <w:jc w:val="right"/>
              <w:rPr>
                <w:rFonts w:cs="Arial"/>
              </w:rPr>
            </w:pPr>
            <w:r w:rsidRPr="00FB7368">
              <w:rPr>
                <w:rFonts w:cs="Arial"/>
              </w:rPr>
              <w:t>3 653</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Beiträge</w:t>
            </w:r>
          </w:p>
        </w:tc>
        <w:tc>
          <w:tcPr>
            <w:tcW w:w="0" w:type="auto"/>
            <w:shd w:val="clear" w:color="auto" w:fill="FFFFFF"/>
          </w:tcPr>
          <w:p w:rsidR="00FB7368" w:rsidRPr="00FB7368" w:rsidRDefault="00FB7368" w:rsidP="000A2F95">
            <w:pPr>
              <w:spacing w:before="60"/>
              <w:jc w:val="right"/>
              <w:rPr>
                <w:rFonts w:cs="Arial"/>
              </w:rPr>
            </w:pPr>
            <w:r w:rsidRPr="00FB7368">
              <w:rPr>
                <w:rFonts w:cs="Arial"/>
              </w:rPr>
              <w:t>126 210 460.08</w:t>
            </w:r>
          </w:p>
        </w:tc>
        <w:tc>
          <w:tcPr>
            <w:tcW w:w="0" w:type="auto"/>
            <w:shd w:val="clear" w:color="auto" w:fill="FFFFFF"/>
          </w:tcPr>
          <w:p w:rsidR="00FB7368" w:rsidRPr="00FB7368" w:rsidRDefault="00FB7368" w:rsidP="000A2F95">
            <w:pPr>
              <w:spacing w:before="60"/>
              <w:jc w:val="right"/>
              <w:rPr>
                <w:rFonts w:cs="Arial"/>
              </w:rPr>
            </w:pPr>
            <w:r w:rsidRPr="00FB7368">
              <w:rPr>
                <w:rFonts w:cs="Arial"/>
              </w:rPr>
              <w:t>111 889</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Zinsen</w:t>
            </w:r>
          </w:p>
        </w:tc>
        <w:tc>
          <w:tcPr>
            <w:tcW w:w="0" w:type="auto"/>
            <w:shd w:val="clear" w:color="auto" w:fill="FFFFFF"/>
          </w:tcPr>
          <w:p w:rsidR="00FB7368" w:rsidRPr="00FB7368" w:rsidRDefault="00FB7368" w:rsidP="000A2F95">
            <w:pPr>
              <w:spacing w:before="60"/>
              <w:jc w:val="right"/>
              <w:rPr>
                <w:rFonts w:cs="Arial"/>
              </w:rPr>
            </w:pPr>
            <w:r w:rsidRPr="00FB7368">
              <w:rPr>
                <w:rFonts w:cs="Arial"/>
              </w:rPr>
              <w:t>6 327 940.30</w:t>
            </w:r>
          </w:p>
        </w:tc>
        <w:tc>
          <w:tcPr>
            <w:tcW w:w="0" w:type="auto"/>
            <w:shd w:val="clear" w:color="auto" w:fill="FFFFFF"/>
          </w:tcPr>
          <w:p w:rsidR="00FB7368" w:rsidRPr="00FB7368" w:rsidRDefault="00FB7368" w:rsidP="000A2F95">
            <w:pPr>
              <w:spacing w:before="60"/>
              <w:jc w:val="right"/>
              <w:rPr>
                <w:rFonts w:cs="Arial"/>
              </w:rPr>
            </w:pPr>
            <w:r w:rsidRPr="00FB7368">
              <w:rPr>
                <w:rFonts w:cs="Arial"/>
              </w:rPr>
              <w:t>6 991</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Wertberichtigung</w:t>
            </w:r>
          </w:p>
        </w:tc>
        <w:tc>
          <w:tcPr>
            <w:tcW w:w="0" w:type="auto"/>
            <w:shd w:val="clear" w:color="auto" w:fill="FFFFFF"/>
          </w:tcPr>
          <w:p w:rsidR="00FB7368" w:rsidRPr="00FB7368" w:rsidRDefault="00FB7368" w:rsidP="000A2F95">
            <w:pPr>
              <w:spacing w:before="60"/>
              <w:jc w:val="right"/>
              <w:rPr>
                <w:rFonts w:cs="Arial"/>
              </w:rPr>
            </w:pPr>
            <w:r w:rsidRPr="00FB7368">
              <w:rPr>
                <w:rFonts w:cs="Arial"/>
              </w:rPr>
              <w:t>2 595 000.00</w:t>
            </w:r>
          </w:p>
        </w:tc>
        <w:tc>
          <w:tcPr>
            <w:tcW w:w="0" w:type="auto"/>
            <w:shd w:val="clear" w:color="auto" w:fill="FFFFFF"/>
          </w:tcPr>
          <w:p w:rsidR="00FB7368" w:rsidRPr="00FB7368" w:rsidRDefault="00FB7368" w:rsidP="000A2F95">
            <w:pPr>
              <w:spacing w:before="60"/>
              <w:jc w:val="right"/>
              <w:rPr>
                <w:rFonts w:cs="Arial"/>
              </w:rPr>
            </w:pPr>
            <w:r w:rsidRPr="00FB7368">
              <w:rPr>
                <w:rFonts w:cs="Arial"/>
              </w:rPr>
              <w:t>3 851</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Vergütung Kanton (§ 25 KZG)</w:t>
            </w:r>
          </w:p>
        </w:tc>
        <w:tc>
          <w:tcPr>
            <w:tcW w:w="0" w:type="auto"/>
            <w:shd w:val="clear" w:color="auto" w:fill="FFFFFF"/>
          </w:tcPr>
          <w:p w:rsidR="00FB7368" w:rsidRPr="00FB7368" w:rsidRDefault="00FB7368" w:rsidP="000A2F95">
            <w:pPr>
              <w:spacing w:before="60"/>
              <w:jc w:val="right"/>
              <w:rPr>
                <w:rFonts w:cs="Arial"/>
              </w:rPr>
            </w:pPr>
            <w:r w:rsidRPr="00FB7368">
              <w:rPr>
                <w:rFonts w:cs="Arial"/>
              </w:rPr>
              <w:t>40 000.00</w:t>
            </w:r>
          </w:p>
        </w:tc>
        <w:tc>
          <w:tcPr>
            <w:tcW w:w="0" w:type="auto"/>
            <w:shd w:val="clear" w:color="auto" w:fill="FFFFFF"/>
          </w:tcPr>
          <w:p w:rsidR="00FB7368" w:rsidRPr="00FB7368" w:rsidRDefault="00FB7368" w:rsidP="000A2F95">
            <w:pPr>
              <w:spacing w:before="60"/>
              <w:jc w:val="right"/>
              <w:rPr>
                <w:rFonts w:cs="Arial"/>
              </w:rPr>
            </w:pPr>
            <w:r w:rsidRPr="00FB7368">
              <w:rPr>
                <w:rFonts w:cs="Arial"/>
              </w:rPr>
              <w:t>40</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Einnahmen insgesamt</w:t>
            </w:r>
          </w:p>
        </w:tc>
        <w:tc>
          <w:tcPr>
            <w:tcW w:w="0" w:type="auto"/>
            <w:shd w:val="clear" w:color="auto" w:fill="FFFFFF"/>
          </w:tcPr>
          <w:p w:rsidR="00FB7368" w:rsidRPr="00FB7368" w:rsidRDefault="00FB7368" w:rsidP="000A2F95">
            <w:pPr>
              <w:spacing w:before="60"/>
              <w:jc w:val="right"/>
              <w:rPr>
                <w:rFonts w:cs="Arial"/>
              </w:rPr>
            </w:pPr>
            <w:r w:rsidRPr="00FB7368">
              <w:rPr>
                <w:rFonts w:cs="Arial"/>
              </w:rPr>
              <w:t>135 173 400.38</w:t>
            </w:r>
          </w:p>
        </w:tc>
        <w:tc>
          <w:tcPr>
            <w:tcW w:w="0" w:type="auto"/>
            <w:shd w:val="clear" w:color="auto" w:fill="FFFFFF"/>
          </w:tcPr>
          <w:p w:rsidR="00FB7368" w:rsidRPr="00FB7368" w:rsidRDefault="00FB7368" w:rsidP="000A2F95">
            <w:pPr>
              <w:spacing w:before="60"/>
              <w:jc w:val="right"/>
              <w:rPr>
                <w:rFonts w:cs="Arial"/>
              </w:rPr>
            </w:pPr>
            <w:r w:rsidRPr="00FB7368">
              <w:rPr>
                <w:rFonts w:cs="Arial"/>
              </w:rPr>
              <w:t>126 424</w:t>
            </w:r>
          </w:p>
        </w:tc>
      </w:tr>
      <w:tr w:rsidR="00FB7368" w:rsidRPr="00FB7368" w:rsidTr="000A2F95">
        <w:trPr>
          <w:trHeight w:val="283"/>
        </w:trPr>
        <w:tc>
          <w:tcPr>
            <w:tcW w:w="0" w:type="auto"/>
            <w:gridSpan w:val="3"/>
            <w:shd w:val="clear" w:color="auto" w:fill="FFFFFF"/>
          </w:tcPr>
          <w:p w:rsidR="00FB7368" w:rsidRPr="00FB7368" w:rsidRDefault="00FB7368" w:rsidP="000A2F95">
            <w:pPr>
              <w:spacing w:before="60"/>
              <w:rPr>
                <w:rFonts w:cs="Arial"/>
              </w:rPr>
            </w:pPr>
            <w:r w:rsidRPr="00FB7368">
              <w:rPr>
                <w:rFonts w:cs="Arial"/>
              </w:rPr>
              <w:t>2. Ausgaben</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Kinderzulagen</w:t>
            </w:r>
          </w:p>
        </w:tc>
        <w:tc>
          <w:tcPr>
            <w:tcW w:w="0" w:type="auto"/>
            <w:shd w:val="clear" w:color="auto" w:fill="FFFFFF"/>
          </w:tcPr>
          <w:p w:rsidR="00FB7368" w:rsidRPr="00FB7368" w:rsidRDefault="00FB7368" w:rsidP="000A2F95">
            <w:pPr>
              <w:spacing w:before="60"/>
              <w:jc w:val="right"/>
              <w:rPr>
                <w:rFonts w:cs="Arial"/>
              </w:rPr>
            </w:pPr>
            <w:r w:rsidRPr="00FB7368">
              <w:rPr>
                <w:rFonts w:cs="Arial"/>
              </w:rPr>
              <w:t>158 025 452.15</w:t>
            </w:r>
          </w:p>
        </w:tc>
        <w:tc>
          <w:tcPr>
            <w:tcW w:w="0" w:type="auto"/>
            <w:shd w:val="clear" w:color="auto" w:fill="FFFFFF"/>
          </w:tcPr>
          <w:p w:rsidR="00FB7368" w:rsidRPr="00FB7368" w:rsidRDefault="00FB7368" w:rsidP="000A2F95">
            <w:pPr>
              <w:spacing w:before="60"/>
              <w:jc w:val="right"/>
              <w:rPr>
                <w:rFonts w:cs="Arial"/>
              </w:rPr>
            </w:pPr>
            <w:r w:rsidRPr="00FB7368">
              <w:rPr>
                <w:rFonts w:cs="Arial"/>
              </w:rPr>
              <w:t>123 617</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Verwaltungskosten</w:t>
            </w:r>
          </w:p>
        </w:tc>
        <w:tc>
          <w:tcPr>
            <w:tcW w:w="0" w:type="auto"/>
            <w:shd w:val="clear" w:color="auto" w:fill="FFFFFF"/>
          </w:tcPr>
          <w:p w:rsidR="00FB7368" w:rsidRPr="00FB7368" w:rsidRDefault="00FB7368" w:rsidP="000A2F95">
            <w:pPr>
              <w:spacing w:before="60"/>
              <w:jc w:val="right"/>
              <w:rPr>
                <w:rFonts w:cs="Arial"/>
              </w:rPr>
            </w:pPr>
            <w:r w:rsidRPr="00FB7368">
              <w:rPr>
                <w:rFonts w:cs="Arial"/>
              </w:rPr>
              <w:t>3 003 237.-</w:t>
            </w:r>
          </w:p>
        </w:tc>
        <w:tc>
          <w:tcPr>
            <w:tcW w:w="0" w:type="auto"/>
            <w:shd w:val="clear" w:color="auto" w:fill="FFFFFF"/>
          </w:tcPr>
          <w:p w:rsidR="00FB7368" w:rsidRPr="00FB7368" w:rsidRDefault="00FB7368" w:rsidP="000A2F95">
            <w:pPr>
              <w:spacing w:before="60"/>
              <w:jc w:val="right"/>
              <w:rPr>
                <w:rFonts w:cs="Arial"/>
              </w:rPr>
            </w:pPr>
            <w:r w:rsidRPr="00FB7368">
              <w:rPr>
                <w:rFonts w:cs="Arial"/>
              </w:rPr>
              <w:t>2 938</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Übrige Kosten</w:t>
            </w:r>
          </w:p>
        </w:tc>
        <w:tc>
          <w:tcPr>
            <w:tcW w:w="0" w:type="auto"/>
            <w:shd w:val="clear" w:color="auto" w:fill="FFFFFF"/>
          </w:tcPr>
          <w:p w:rsidR="00FB7368" w:rsidRPr="00FB7368" w:rsidRDefault="00FB7368" w:rsidP="000A2F95">
            <w:pPr>
              <w:spacing w:before="60"/>
              <w:jc w:val="right"/>
              <w:rPr>
                <w:rFonts w:cs="Arial"/>
              </w:rPr>
            </w:pPr>
            <w:r w:rsidRPr="00FB7368">
              <w:rPr>
                <w:rFonts w:cs="Arial"/>
              </w:rPr>
              <w:t>57 518.-</w:t>
            </w:r>
          </w:p>
        </w:tc>
        <w:tc>
          <w:tcPr>
            <w:tcW w:w="0" w:type="auto"/>
            <w:shd w:val="clear" w:color="auto" w:fill="FFFFFF"/>
          </w:tcPr>
          <w:p w:rsidR="00FB7368" w:rsidRPr="00FB7368" w:rsidRDefault="00FB7368" w:rsidP="000A2F95">
            <w:pPr>
              <w:spacing w:before="60"/>
              <w:jc w:val="right"/>
              <w:rPr>
                <w:rFonts w:cs="Arial"/>
              </w:rPr>
            </w:pPr>
            <w:r w:rsidRPr="00FB7368">
              <w:rPr>
                <w:rFonts w:cs="Arial"/>
              </w:rPr>
              <w:t>62</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Ausgaben insgesamt</w:t>
            </w:r>
          </w:p>
        </w:tc>
        <w:tc>
          <w:tcPr>
            <w:tcW w:w="0" w:type="auto"/>
            <w:shd w:val="clear" w:color="auto" w:fill="FFFFFF"/>
          </w:tcPr>
          <w:p w:rsidR="00FB7368" w:rsidRPr="00FB7368" w:rsidRDefault="00FB7368" w:rsidP="000A2F95">
            <w:pPr>
              <w:spacing w:before="60"/>
              <w:jc w:val="right"/>
              <w:rPr>
                <w:rFonts w:cs="Arial"/>
              </w:rPr>
            </w:pPr>
            <w:r w:rsidRPr="00FB7368">
              <w:rPr>
                <w:rFonts w:cs="Arial"/>
              </w:rPr>
              <w:t>161 086 207.15</w:t>
            </w:r>
          </w:p>
        </w:tc>
        <w:tc>
          <w:tcPr>
            <w:tcW w:w="0" w:type="auto"/>
            <w:shd w:val="clear" w:color="auto" w:fill="FFFFFF"/>
          </w:tcPr>
          <w:p w:rsidR="00FB7368" w:rsidRPr="00FB7368" w:rsidRDefault="00FB7368" w:rsidP="000A2F95">
            <w:pPr>
              <w:spacing w:before="60"/>
              <w:jc w:val="right"/>
              <w:rPr>
                <w:rFonts w:cs="Arial"/>
              </w:rPr>
            </w:pPr>
            <w:r w:rsidRPr="00FB7368">
              <w:rPr>
                <w:rFonts w:cs="Arial"/>
              </w:rPr>
              <w:t>126 617</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3. Ausgabenüberschuss</w:t>
            </w:r>
          </w:p>
        </w:tc>
        <w:tc>
          <w:tcPr>
            <w:tcW w:w="0" w:type="auto"/>
            <w:shd w:val="clear" w:color="auto" w:fill="FFFFFF"/>
          </w:tcPr>
          <w:p w:rsidR="00FB7368" w:rsidRPr="00FB7368" w:rsidRDefault="00FB7368" w:rsidP="000A2F95">
            <w:pPr>
              <w:spacing w:before="60"/>
              <w:jc w:val="right"/>
              <w:rPr>
                <w:rFonts w:cs="Arial"/>
              </w:rPr>
            </w:pPr>
            <w:r w:rsidRPr="00FB7368">
              <w:rPr>
                <w:rFonts w:cs="Arial"/>
              </w:rPr>
              <w:t>- 25 912 806.77</w:t>
            </w:r>
          </w:p>
        </w:tc>
        <w:tc>
          <w:tcPr>
            <w:tcW w:w="0" w:type="auto"/>
            <w:shd w:val="clear" w:color="auto" w:fill="FFFFFF"/>
          </w:tcPr>
          <w:p w:rsidR="00FB7368" w:rsidRPr="00FB7368" w:rsidRDefault="00FB7368" w:rsidP="000A2F95">
            <w:pPr>
              <w:spacing w:before="60"/>
              <w:jc w:val="right"/>
              <w:rPr>
                <w:rFonts w:cs="Arial"/>
              </w:rPr>
            </w:pPr>
            <w:r w:rsidRPr="00FB7368">
              <w:rPr>
                <w:rFonts w:cs="Arial"/>
              </w:rPr>
              <w:t>- 193</w:t>
            </w:r>
          </w:p>
        </w:tc>
      </w:tr>
      <w:tr w:rsidR="00FB7368" w:rsidRPr="00FB7368" w:rsidTr="000A2F95">
        <w:trPr>
          <w:trHeight w:val="283"/>
        </w:trPr>
        <w:tc>
          <w:tcPr>
            <w:tcW w:w="0" w:type="auto"/>
            <w:shd w:val="clear" w:color="auto" w:fill="FFFFFF"/>
          </w:tcPr>
          <w:p w:rsidR="00FB7368" w:rsidRPr="00FB7368" w:rsidRDefault="00FB7368" w:rsidP="000A2F95">
            <w:pPr>
              <w:spacing w:before="60"/>
              <w:rPr>
                <w:rFonts w:cs="Arial"/>
              </w:rPr>
            </w:pPr>
            <w:r w:rsidRPr="00FB7368">
              <w:rPr>
                <w:rFonts w:cs="Arial"/>
              </w:rPr>
              <w:t>Entnahme Reservefonds</w:t>
            </w:r>
          </w:p>
        </w:tc>
        <w:tc>
          <w:tcPr>
            <w:tcW w:w="0" w:type="auto"/>
            <w:shd w:val="clear" w:color="auto" w:fill="FFFFFF"/>
          </w:tcPr>
          <w:p w:rsidR="00FB7368" w:rsidRPr="00FB7368" w:rsidRDefault="00FB7368" w:rsidP="000A2F95">
            <w:pPr>
              <w:spacing w:before="60"/>
              <w:jc w:val="right"/>
              <w:rPr>
                <w:rFonts w:cs="Arial"/>
              </w:rPr>
            </w:pPr>
            <w:r w:rsidRPr="00FB7368">
              <w:rPr>
                <w:rFonts w:cs="Arial"/>
              </w:rPr>
              <w:t>-25 912 806.77</w:t>
            </w:r>
          </w:p>
        </w:tc>
        <w:tc>
          <w:tcPr>
            <w:tcW w:w="0" w:type="auto"/>
            <w:shd w:val="clear" w:color="auto" w:fill="FFFFFF"/>
          </w:tcPr>
          <w:p w:rsidR="00FB7368" w:rsidRPr="00FB7368" w:rsidRDefault="00FB7368" w:rsidP="000A2F95">
            <w:pPr>
              <w:spacing w:before="60"/>
              <w:jc w:val="right"/>
              <w:rPr>
                <w:rFonts w:cs="Arial"/>
                <w:szCs w:val="10"/>
              </w:rPr>
            </w:pPr>
          </w:p>
        </w:tc>
      </w:tr>
    </w:tbl>
    <w:p w:rsidR="00FB7368" w:rsidRPr="00FB7368" w:rsidRDefault="00FB7368" w:rsidP="00FB7368">
      <w:pPr>
        <w:spacing w:before="60"/>
        <w:rPr>
          <w:rFonts w:cs="Arial"/>
        </w:rPr>
      </w:pPr>
      <w:r w:rsidRPr="00FB7368">
        <w:rPr>
          <w:rFonts w:cs="Arial"/>
        </w:rPr>
        <w:t>Mit Schreiben vom 10. Mai 1994 hat der Aufsichtsrat der kantonalen Familienausgleichskasse die provisorische Jahresrechnung 1993 eingereicht und beantragt, den Ausgabenüberschuss von Fr. 25 912806.77 dem Reservefonds zu belasten.</w:t>
      </w:r>
    </w:p>
    <w:p w:rsidR="00FB7368" w:rsidRPr="00FB7368" w:rsidRDefault="00FB7368" w:rsidP="00FB7368">
      <w:pPr>
        <w:spacing w:before="60"/>
        <w:rPr>
          <w:rFonts w:cs="Arial"/>
        </w:rPr>
      </w:pPr>
      <w:r w:rsidRPr="00FB7368">
        <w:rPr>
          <w:rFonts w:cs="Arial"/>
        </w:rPr>
        <w:t>Auf Antrag der Direktion der Fürsorge</w:t>
      </w:r>
    </w:p>
    <w:p w:rsidR="00FB7368" w:rsidRPr="00FB7368" w:rsidRDefault="00FB7368" w:rsidP="00FB7368">
      <w:pPr>
        <w:spacing w:before="60"/>
        <w:jc w:val="center"/>
        <w:rPr>
          <w:rFonts w:cs="Arial"/>
        </w:rPr>
      </w:pPr>
      <w:r w:rsidRPr="00FB7368">
        <w:rPr>
          <w:rFonts w:cs="Arial"/>
        </w:rPr>
        <w:t>beschliesst der Regierungsrat:</w:t>
      </w:r>
    </w:p>
    <w:p w:rsidR="00FB7368" w:rsidRPr="00FB7368" w:rsidRDefault="00FB7368" w:rsidP="00FB7368">
      <w:pPr>
        <w:tabs>
          <w:tab w:val="left" w:pos="636"/>
        </w:tabs>
        <w:spacing w:before="60"/>
        <w:rPr>
          <w:rFonts w:cs="Arial"/>
        </w:rPr>
      </w:pPr>
      <w:r w:rsidRPr="00FB7368">
        <w:rPr>
          <w:rFonts w:cs="Arial"/>
        </w:rPr>
        <w:t>I. Aufgrund der provisorischen Jahresrechnung vom 1. Februar 1993 bis zum 31. Januar 1994 der Familienausgleichskasse des Kantons Zürich wird der Ausgabenüberschuss von Fr. 25 912 806.77 dem Reservefonds belastet.</w:t>
      </w:r>
    </w:p>
    <w:p w:rsidR="00FB7368" w:rsidRPr="00FB7368" w:rsidRDefault="00FB7368" w:rsidP="00FB7368">
      <w:pPr>
        <w:pStyle w:val="00Vorgabetext"/>
        <w:keepNext/>
        <w:keepLines/>
        <w:rPr>
          <w:rFonts w:cs="Arial"/>
        </w:rPr>
      </w:pPr>
      <w:r w:rsidRPr="00FB7368">
        <w:rPr>
          <w:rFonts w:cs="Arial"/>
        </w:rPr>
        <w:t>II. Mitteilung an den Aufsichtsrat der kantonalen Familienausgleichskasse, Josefstrasse 84, 8005 Zürich, sowie an die Direktion der Fürsorge.</w:t>
      </w:r>
    </w:p>
    <w:p w:rsidR="00FB7368" w:rsidRPr="00FB7368" w:rsidRDefault="00FB7368" w:rsidP="00FB7368">
      <w:pPr>
        <w:pStyle w:val="00Vorgabetext"/>
        <w:keepNext/>
        <w:keepLines/>
        <w:rPr>
          <w:rFonts w:cs="Arial"/>
        </w:rPr>
      </w:pPr>
    </w:p>
    <w:p w:rsidR="00FB7368" w:rsidRPr="00FB7368" w:rsidRDefault="00FB7368" w:rsidP="00FB7368">
      <w:pPr>
        <w:pStyle w:val="00Vorgabetext"/>
        <w:keepNext/>
        <w:keepLines/>
        <w:rPr>
          <w:rFonts w:cs="Arial"/>
        </w:rPr>
      </w:pPr>
    </w:p>
    <w:p w:rsidR="00BE768B" w:rsidRPr="00FB7368" w:rsidRDefault="00FB7368" w:rsidP="00FB7368">
      <w:pPr>
        <w:pStyle w:val="00Vorgabetext"/>
        <w:keepNext/>
        <w:keepLines/>
      </w:pPr>
      <w:r w:rsidRPr="00FB7368">
        <w:rPr>
          <w:rFonts w:cs="Arial"/>
        </w:rPr>
        <w:t>[</w:t>
      </w:r>
      <w:r w:rsidRPr="00FB7368">
        <w:rPr>
          <w:rFonts w:cs="Arial"/>
          <w:i/>
        </w:rPr>
        <w:t>Transkript: OCR (Überarbeitung: Team TKR)/14.09.2017</w:t>
      </w:r>
      <w:bookmarkStart w:id="1" w:name="_GoBack"/>
      <w:r w:rsidRPr="00FB7368">
        <w:rPr>
          <w:rFonts w:cs="Arial"/>
        </w:rPr>
        <w:t xml:space="preserve">] </w:t>
      </w:r>
      <w:bookmarkEnd w:id="1"/>
    </w:p>
    <w:sectPr w:rsidR="00BE768B" w:rsidRPr="00FB736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368" w:rsidRDefault="00FB7368">
      <w:r>
        <w:separator/>
      </w:r>
    </w:p>
    <w:p w:rsidR="00FB7368" w:rsidRDefault="00FB7368"/>
    <w:p w:rsidR="00FB7368" w:rsidRDefault="00FB7368"/>
  </w:endnote>
  <w:endnote w:type="continuationSeparator" w:id="0">
    <w:p w:rsidR="00FB7368" w:rsidRDefault="00FB7368">
      <w:r>
        <w:continuationSeparator/>
      </w:r>
    </w:p>
    <w:p w:rsidR="00FB7368" w:rsidRDefault="00FB7368"/>
    <w:p w:rsidR="00FB7368" w:rsidRDefault="00FB7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368" w:rsidRDefault="00FB7368">
      <w:r>
        <w:separator/>
      </w:r>
    </w:p>
    <w:p w:rsidR="00FB7368" w:rsidRDefault="00FB7368"/>
    <w:p w:rsidR="00FB7368" w:rsidRDefault="00FB7368"/>
  </w:footnote>
  <w:footnote w:type="continuationSeparator" w:id="0">
    <w:p w:rsidR="00FB7368" w:rsidRDefault="00FB7368">
      <w:r>
        <w:continuationSeparator/>
      </w:r>
    </w:p>
    <w:p w:rsidR="00FB7368" w:rsidRDefault="00FB7368"/>
    <w:p w:rsidR="00FB7368" w:rsidRDefault="00FB7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B736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B736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6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B7368"/>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42BBE3-1A17-4DED-923E-F09EE187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B7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B037A-C4CC-49B1-9DA8-AF933BF1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266</Words>
  <Characters>1961</Characters>
  <Application>Microsoft Office Word</Application>
  <DocSecurity>0</DocSecurity>
  <PresentationFormat/>
  <Lines>178</Lines>
  <Paragraphs>171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2056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Kantonale Familienausgleichskasse (Reservefonds)</dc:subject>
  <dc:creator>Staatsarchiv des Kantons Zürich</dc:creator>
  <cp:lastModifiedBy>Mirjam Stadler</cp:lastModifiedBy>
  <cp:revision>1</cp:revision>
  <cp:lastPrinted>2012-06-15T14:37:00Z</cp:lastPrinted>
  <dcterms:created xsi:type="dcterms:W3CDTF">2017-09-14T06:54:00Z</dcterms:created>
  <dcterms:modified xsi:type="dcterms:W3CDTF">2017-09-14T06:54:00Z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