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629C4" w:rsidTr="00C80ABA">
        <w:trPr>
          <w:trHeight w:val="454"/>
        </w:trPr>
        <w:tc>
          <w:tcPr>
            <w:tcW w:w="1668" w:type="dxa"/>
          </w:tcPr>
          <w:p w:rsidR="00A43AE4" w:rsidRPr="002629C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629C4">
              <w:t>Signatur</w:t>
            </w:r>
          </w:p>
        </w:tc>
        <w:tc>
          <w:tcPr>
            <w:tcW w:w="6721" w:type="dxa"/>
          </w:tcPr>
          <w:p w:rsidR="00A43AE4" w:rsidRPr="002629C4" w:rsidRDefault="002629C4" w:rsidP="00931B1F">
            <w:pPr>
              <w:pStyle w:val="70SignaturX"/>
            </w:pPr>
            <w:r w:rsidRPr="002629C4">
              <w:t>StAZH MM 3.204 RRB 1994/1703</w:t>
            </w:r>
          </w:p>
        </w:tc>
      </w:tr>
      <w:tr w:rsidR="00A43AE4" w:rsidRPr="002629C4" w:rsidTr="00C80ABA">
        <w:trPr>
          <w:trHeight w:val="454"/>
        </w:trPr>
        <w:tc>
          <w:tcPr>
            <w:tcW w:w="1668" w:type="dxa"/>
          </w:tcPr>
          <w:p w:rsidR="00A43AE4" w:rsidRPr="002629C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629C4">
              <w:t>Titel</w:t>
            </w:r>
          </w:p>
        </w:tc>
        <w:tc>
          <w:tcPr>
            <w:tcW w:w="6721" w:type="dxa"/>
          </w:tcPr>
          <w:p w:rsidR="006C59EA" w:rsidRPr="002629C4" w:rsidRDefault="002629C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629C4">
              <w:rPr>
                <w:rFonts w:ascii="Arial Black" w:hAnsi="Arial Black"/>
              </w:rPr>
              <w:t>Schulhausbauten (Projekt)</w:t>
            </w:r>
          </w:p>
        </w:tc>
      </w:tr>
      <w:tr w:rsidR="00BC0931" w:rsidRPr="002629C4" w:rsidTr="00C80ABA">
        <w:trPr>
          <w:trHeight w:val="454"/>
        </w:trPr>
        <w:tc>
          <w:tcPr>
            <w:tcW w:w="1668" w:type="dxa"/>
          </w:tcPr>
          <w:p w:rsidR="00BC0931" w:rsidRPr="002629C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629C4">
              <w:t>Datum</w:t>
            </w:r>
          </w:p>
        </w:tc>
        <w:tc>
          <w:tcPr>
            <w:tcW w:w="6721" w:type="dxa"/>
          </w:tcPr>
          <w:p w:rsidR="00BC0931" w:rsidRPr="002629C4" w:rsidRDefault="002629C4" w:rsidP="00931B1F">
            <w:pPr>
              <w:pStyle w:val="71DatumX"/>
            </w:pPr>
            <w:r w:rsidRPr="002629C4">
              <w:t>15.06.1994</w:t>
            </w:r>
          </w:p>
        </w:tc>
      </w:tr>
      <w:tr w:rsidR="00A43AE4" w:rsidRPr="002629C4" w:rsidTr="00C80ABA">
        <w:trPr>
          <w:trHeight w:val="454"/>
        </w:trPr>
        <w:tc>
          <w:tcPr>
            <w:tcW w:w="1668" w:type="dxa"/>
          </w:tcPr>
          <w:p w:rsidR="00A43AE4" w:rsidRPr="002629C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629C4">
              <w:t>P.</w:t>
            </w:r>
          </w:p>
        </w:tc>
        <w:tc>
          <w:tcPr>
            <w:tcW w:w="6721" w:type="dxa"/>
          </w:tcPr>
          <w:p w:rsidR="00A43AE4" w:rsidRPr="002629C4" w:rsidRDefault="002629C4" w:rsidP="00931B1F">
            <w:pPr>
              <w:pStyle w:val="00Vorgabetext"/>
            </w:pPr>
            <w:r w:rsidRPr="002629C4">
              <w:t>767–768</w:t>
            </w:r>
          </w:p>
        </w:tc>
      </w:tr>
    </w:tbl>
    <w:p w:rsidR="00616641" w:rsidRPr="002629C4" w:rsidRDefault="00616641" w:rsidP="0077655B">
      <w:pPr>
        <w:pStyle w:val="00Vorgabetext"/>
        <w:spacing w:before="0" w:after="60"/>
      </w:pPr>
    </w:p>
    <w:p w:rsidR="002629C4" w:rsidRPr="002629C4" w:rsidRDefault="002629C4" w:rsidP="002629C4">
      <w:pPr>
        <w:spacing w:before="60"/>
        <w:rPr>
          <w:rFonts w:cs="Arial"/>
        </w:rPr>
      </w:pPr>
      <w:bookmarkStart w:id="0" w:name="ContentText"/>
      <w:bookmarkEnd w:id="0"/>
      <w:r w:rsidRPr="002629C4">
        <w:t>[</w:t>
      </w:r>
      <w:r w:rsidRPr="002629C4">
        <w:rPr>
          <w:i/>
        </w:rPr>
        <w:t>p. 767</w:t>
      </w:r>
      <w:r w:rsidRPr="002629C4">
        <w:t xml:space="preserve">] </w:t>
      </w:r>
      <w:r w:rsidRPr="002629C4">
        <w:rPr>
          <w:rFonts w:cs="Arial"/>
        </w:rPr>
        <w:t>Die Primarschulpflege Rüti ersucht um Genehmigung des Projektes und um Zusicherung eines Kostenanteils für die Erweiterung der Primarschulanlage Fägswil in Rüti. Das Raumprogramm wurde mit RRB Nr. 3169/1993 genehmigt. Dem Projekt wurde am 26. September 1993 durch Urnenabstimmung zugestimmt.</w:t>
      </w:r>
    </w:p>
    <w:p w:rsidR="002629C4" w:rsidRPr="002629C4" w:rsidRDefault="002629C4" w:rsidP="002629C4">
      <w:pPr>
        <w:spacing w:before="60"/>
        <w:rPr>
          <w:rFonts w:cs="Arial"/>
        </w:rPr>
      </w:pPr>
      <w:r w:rsidRPr="002629C4">
        <w:rPr>
          <w:rFonts w:cs="Arial"/>
        </w:rPr>
        <w:t>Das Bauprojekt entspricht dem genehmigten Raumprogramm und dem Vorprojekt. Das Projekt umfasst folgende Räume: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483"/>
        <w:gridCol w:w="95"/>
        <w:gridCol w:w="2765"/>
        <w:gridCol w:w="1183"/>
      </w:tblGrid>
      <w:tr w:rsidR="002629C4" w:rsidRPr="002629C4" w:rsidTr="000A2F95">
        <w:trPr>
          <w:trHeight w:val="283"/>
        </w:trPr>
        <w:tc>
          <w:tcPr>
            <w:tcW w:w="0" w:type="auto"/>
            <w:shd w:val="clear" w:color="auto" w:fill="FFFFFF"/>
          </w:tcPr>
          <w:p w:rsidR="002629C4" w:rsidRPr="002629C4" w:rsidRDefault="002629C4" w:rsidP="000A2F95">
            <w:pPr>
              <w:spacing w:before="60"/>
              <w:rPr>
                <w:rFonts w:cs="Arial"/>
                <w:szCs w:val="10"/>
              </w:rPr>
            </w:pPr>
          </w:p>
        </w:tc>
        <w:tc>
          <w:tcPr>
            <w:tcW w:w="0" w:type="auto"/>
            <w:gridSpan w:val="2"/>
            <w:shd w:val="clear" w:color="auto" w:fill="FFFFFF"/>
          </w:tcPr>
          <w:p w:rsidR="002629C4" w:rsidRPr="002629C4" w:rsidRDefault="002629C4" w:rsidP="000A2F95">
            <w:pPr>
              <w:spacing w:before="60"/>
              <w:jc w:val="center"/>
              <w:rPr>
                <w:rFonts w:cs="Arial"/>
              </w:rPr>
            </w:pPr>
            <w:r w:rsidRPr="002629C4">
              <w:rPr>
                <w:rFonts w:cs="Arial"/>
              </w:rPr>
              <w:t>Raumprogamm RRB Nr. 3169/1993</w:t>
            </w:r>
          </w:p>
        </w:tc>
        <w:tc>
          <w:tcPr>
            <w:tcW w:w="0" w:type="auto"/>
            <w:shd w:val="clear" w:color="auto" w:fill="FFFFFF"/>
          </w:tcPr>
          <w:p w:rsidR="002629C4" w:rsidRPr="002629C4" w:rsidRDefault="002629C4" w:rsidP="000A2F95">
            <w:pPr>
              <w:spacing w:before="60"/>
              <w:jc w:val="center"/>
              <w:rPr>
                <w:rFonts w:cs="Arial"/>
              </w:rPr>
            </w:pPr>
            <w:r w:rsidRPr="002629C4">
              <w:rPr>
                <w:rFonts w:cs="Arial"/>
              </w:rPr>
              <w:t>Projekt</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3 Klassenzimmer</w:t>
            </w:r>
          </w:p>
        </w:tc>
        <w:tc>
          <w:tcPr>
            <w:tcW w:w="0" w:type="auto"/>
            <w:gridSpan w:val="2"/>
            <w:shd w:val="clear" w:color="auto" w:fill="FFFFFF"/>
          </w:tcPr>
          <w:p w:rsidR="002629C4" w:rsidRPr="002629C4" w:rsidRDefault="002629C4" w:rsidP="000A2F95">
            <w:pPr>
              <w:spacing w:before="60"/>
              <w:jc w:val="right"/>
              <w:rPr>
                <w:rFonts w:cs="Arial"/>
              </w:rPr>
            </w:pPr>
            <w:r w:rsidRPr="002629C4">
              <w:rPr>
                <w:rFonts w:cs="Arial"/>
              </w:rPr>
              <w:t>zu 74 m</w:t>
            </w:r>
            <w:r w:rsidRPr="002629C4">
              <w:rPr>
                <w:rFonts w:cs="Arial"/>
                <w:vertAlign w:val="superscript"/>
              </w:rPr>
              <w:t>2</w:t>
            </w:r>
          </w:p>
        </w:tc>
        <w:tc>
          <w:tcPr>
            <w:tcW w:w="0" w:type="auto"/>
            <w:shd w:val="clear" w:color="auto" w:fill="FFFFFF"/>
          </w:tcPr>
          <w:p w:rsidR="002629C4" w:rsidRPr="002629C4" w:rsidRDefault="002629C4" w:rsidP="000A2F95">
            <w:pPr>
              <w:spacing w:before="60"/>
              <w:jc w:val="right"/>
              <w:rPr>
                <w:rFonts w:cs="Arial"/>
              </w:rPr>
            </w:pPr>
            <w:r w:rsidRPr="002629C4">
              <w:rPr>
                <w:rFonts w:cs="Arial"/>
              </w:rPr>
              <w:t>3 zu 74 m</w:t>
            </w:r>
            <w:r w:rsidRPr="002629C4">
              <w:rPr>
                <w:rFonts w:cs="Arial"/>
                <w:vertAlign w:val="superscript"/>
              </w:rPr>
              <w:t>2</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1 Gruppenarbeitsraum</w:t>
            </w:r>
          </w:p>
        </w:tc>
        <w:tc>
          <w:tcPr>
            <w:tcW w:w="0" w:type="auto"/>
            <w:gridSpan w:val="2"/>
            <w:shd w:val="clear" w:color="auto" w:fill="FFFFFF"/>
          </w:tcPr>
          <w:p w:rsidR="002629C4" w:rsidRPr="002629C4" w:rsidRDefault="002629C4" w:rsidP="000A2F95">
            <w:pPr>
              <w:spacing w:before="60"/>
              <w:jc w:val="right"/>
              <w:rPr>
                <w:rFonts w:cs="Arial"/>
              </w:rPr>
            </w:pPr>
            <w:r w:rsidRPr="002629C4">
              <w:rPr>
                <w:rFonts w:cs="Arial"/>
              </w:rPr>
              <w:t>zu 18,5 m</w:t>
            </w:r>
            <w:r w:rsidRPr="002629C4">
              <w:rPr>
                <w:rFonts w:cs="Arial"/>
                <w:vertAlign w:val="superscript"/>
              </w:rPr>
              <w:t>2</w:t>
            </w:r>
          </w:p>
        </w:tc>
        <w:tc>
          <w:tcPr>
            <w:tcW w:w="0" w:type="auto"/>
            <w:shd w:val="clear" w:color="auto" w:fill="FFFFFF"/>
          </w:tcPr>
          <w:p w:rsidR="002629C4" w:rsidRPr="002629C4" w:rsidRDefault="002629C4" w:rsidP="000A2F95">
            <w:pPr>
              <w:spacing w:before="60"/>
              <w:jc w:val="right"/>
              <w:rPr>
                <w:rFonts w:cs="Arial"/>
              </w:rPr>
            </w:pPr>
            <w:r w:rsidRPr="002629C4">
              <w:rPr>
                <w:rFonts w:cs="Arial"/>
              </w:rPr>
              <w:t>2 zu 18,5 m</w:t>
            </w:r>
            <w:r w:rsidRPr="002629C4">
              <w:rPr>
                <w:rFonts w:cs="Arial"/>
                <w:vertAlign w:val="superscript"/>
              </w:rPr>
              <w:t>2</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1 Handarbeitszimmer</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rPr>
            </w:pPr>
            <w:r w:rsidRPr="002629C4">
              <w:rPr>
                <w:rFonts w:cs="Arial"/>
              </w:rPr>
              <w:t>74 m</w:t>
            </w:r>
            <w:r w:rsidRPr="002629C4">
              <w:rPr>
                <w:rFonts w:cs="Arial"/>
                <w:vertAlign w:val="superscript"/>
              </w:rPr>
              <w:t>2</w:t>
            </w:r>
          </w:p>
        </w:tc>
        <w:tc>
          <w:tcPr>
            <w:tcW w:w="0" w:type="auto"/>
            <w:shd w:val="clear" w:color="auto" w:fill="FFFFFF"/>
          </w:tcPr>
          <w:p w:rsidR="002629C4" w:rsidRPr="002629C4" w:rsidRDefault="002629C4" w:rsidP="000A2F95">
            <w:pPr>
              <w:spacing w:before="60"/>
              <w:jc w:val="right"/>
              <w:rPr>
                <w:rFonts w:cs="Arial"/>
              </w:rPr>
            </w:pPr>
            <w:r w:rsidRPr="002629C4">
              <w:rPr>
                <w:rFonts w:cs="Arial"/>
              </w:rPr>
              <w:t>75,6 m</w:t>
            </w:r>
            <w:r w:rsidRPr="002629C4">
              <w:rPr>
                <w:rFonts w:cs="Arial"/>
                <w:vertAlign w:val="superscript"/>
              </w:rPr>
              <w:t>2</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dazu</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szCs w:val="10"/>
              </w:rPr>
            </w:pP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1 Materialraum</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rPr>
            </w:pPr>
            <w:r w:rsidRPr="002629C4">
              <w:rPr>
                <w:rFonts w:cs="Arial"/>
              </w:rPr>
              <w:t>18,5 m</w:t>
            </w:r>
            <w:r w:rsidRPr="002629C4">
              <w:rPr>
                <w:rFonts w:cs="Arial"/>
                <w:vertAlign w:val="superscript"/>
              </w:rPr>
              <w:t>2</w:t>
            </w:r>
          </w:p>
        </w:tc>
        <w:tc>
          <w:tcPr>
            <w:tcW w:w="0" w:type="auto"/>
            <w:shd w:val="clear" w:color="auto" w:fill="FFFFFF"/>
          </w:tcPr>
          <w:p w:rsidR="002629C4" w:rsidRPr="002629C4" w:rsidRDefault="002629C4" w:rsidP="000A2F95">
            <w:pPr>
              <w:spacing w:before="60"/>
              <w:jc w:val="right"/>
              <w:rPr>
                <w:rFonts w:cs="Arial"/>
              </w:rPr>
            </w:pPr>
            <w:r w:rsidRPr="002629C4">
              <w:rPr>
                <w:rFonts w:cs="Arial"/>
              </w:rPr>
              <w:t>18,4 m</w:t>
            </w:r>
            <w:r w:rsidRPr="002629C4">
              <w:rPr>
                <w:rFonts w:cs="Arial"/>
                <w:vertAlign w:val="superscript"/>
              </w:rPr>
              <w:t>2</w:t>
            </w:r>
          </w:p>
        </w:tc>
      </w:tr>
      <w:tr w:rsidR="002629C4" w:rsidRPr="002629C4" w:rsidTr="000A2F95">
        <w:trPr>
          <w:trHeight w:val="283"/>
        </w:trPr>
        <w:tc>
          <w:tcPr>
            <w:tcW w:w="0" w:type="auto"/>
            <w:gridSpan w:val="2"/>
            <w:shd w:val="clear" w:color="auto" w:fill="FFFFFF"/>
          </w:tcPr>
          <w:p w:rsidR="002629C4" w:rsidRPr="002629C4" w:rsidRDefault="002629C4" w:rsidP="000A2F95">
            <w:pPr>
              <w:spacing w:before="60"/>
              <w:rPr>
                <w:rFonts w:cs="Arial"/>
              </w:rPr>
            </w:pPr>
            <w:r w:rsidRPr="002629C4">
              <w:rPr>
                <w:rFonts w:cs="Arial"/>
              </w:rPr>
              <w:t>1 Lehrer-, Material- und Sammlungszimmer sowie Bibliothek</w:t>
            </w:r>
          </w:p>
        </w:tc>
        <w:tc>
          <w:tcPr>
            <w:tcW w:w="0" w:type="auto"/>
            <w:shd w:val="clear" w:color="auto" w:fill="FFFFFF"/>
          </w:tcPr>
          <w:p w:rsidR="002629C4" w:rsidRPr="002629C4" w:rsidRDefault="002629C4" w:rsidP="000A2F95">
            <w:pPr>
              <w:spacing w:before="60"/>
              <w:jc w:val="right"/>
              <w:rPr>
                <w:rFonts w:cs="Arial"/>
              </w:rPr>
            </w:pPr>
            <w:r w:rsidRPr="002629C4">
              <w:rPr>
                <w:rFonts w:cs="Arial"/>
              </w:rPr>
              <w:t>100 m</w:t>
            </w:r>
            <w:r w:rsidRPr="002629C4">
              <w:rPr>
                <w:rFonts w:cs="Arial"/>
                <w:vertAlign w:val="superscript"/>
              </w:rPr>
              <w:t>2</w:t>
            </w:r>
          </w:p>
        </w:tc>
        <w:tc>
          <w:tcPr>
            <w:tcW w:w="0" w:type="auto"/>
            <w:shd w:val="clear" w:color="auto" w:fill="FFFFFF"/>
          </w:tcPr>
          <w:p w:rsidR="002629C4" w:rsidRPr="002629C4" w:rsidRDefault="002629C4" w:rsidP="000A2F95">
            <w:pPr>
              <w:spacing w:before="60"/>
              <w:jc w:val="right"/>
              <w:rPr>
                <w:rFonts w:cs="Arial"/>
              </w:rPr>
            </w:pPr>
            <w:r w:rsidRPr="002629C4">
              <w:rPr>
                <w:rFonts w:cs="Arial"/>
              </w:rPr>
              <w:t>2 zu 50 m</w:t>
            </w:r>
            <w:r w:rsidRPr="002629C4">
              <w:rPr>
                <w:rFonts w:cs="Arial"/>
                <w:vertAlign w:val="superscript"/>
              </w:rPr>
              <w:t>2</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 WC-Anlagen für Knaben und Mädchen</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rPr>
            </w:pPr>
            <w:r w:rsidRPr="002629C4">
              <w:rPr>
                <w:rFonts w:cs="Arial"/>
              </w:rPr>
              <w:t>je 1</w:t>
            </w:r>
          </w:p>
        </w:tc>
        <w:tc>
          <w:tcPr>
            <w:tcW w:w="0" w:type="auto"/>
            <w:shd w:val="clear" w:color="auto" w:fill="FFFFFF"/>
          </w:tcPr>
          <w:p w:rsidR="002629C4" w:rsidRPr="002629C4" w:rsidRDefault="002629C4" w:rsidP="000A2F95">
            <w:pPr>
              <w:spacing w:before="60"/>
              <w:jc w:val="right"/>
              <w:rPr>
                <w:rFonts w:cs="Arial"/>
              </w:rPr>
            </w:pPr>
            <w:r w:rsidRPr="002629C4">
              <w:rPr>
                <w:rFonts w:cs="Arial"/>
              </w:rPr>
              <w:t>je 1</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 Technik-, Material- und Putzräume</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rPr>
            </w:pPr>
            <w:r w:rsidRPr="002629C4">
              <w:rPr>
                <w:rFonts w:cs="Arial"/>
              </w:rPr>
              <w:t>vorhanden</w:t>
            </w:r>
          </w:p>
        </w:tc>
        <w:tc>
          <w:tcPr>
            <w:tcW w:w="0" w:type="auto"/>
            <w:shd w:val="clear" w:color="auto" w:fill="FFFFFF"/>
          </w:tcPr>
          <w:p w:rsidR="002629C4" w:rsidRPr="002629C4" w:rsidRDefault="002629C4" w:rsidP="000A2F95">
            <w:pPr>
              <w:spacing w:before="60"/>
              <w:jc w:val="right"/>
              <w:rPr>
                <w:rFonts w:cs="Arial"/>
              </w:rPr>
            </w:pPr>
            <w:r w:rsidRPr="002629C4">
              <w:rPr>
                <w:rFonts w:cs="Arial"/>
              </w:rPr>
              <w:t>vorhanden</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1 Rasensportplatz</w:t>
            </w:r>
          </w:p>
        </w:tc>
        <w:tc>
          <w:tcPr>
            <w:tcW w:w="0" w:type="auto"/>
            <w:shd w:val="clear" w:color="auto" w:fill="FFFFFF"/>
          </w:tcPr>
          <w:p w:rsidR="002629C4" w:rsidRPr="002629C4" w:rsidRDefault="002629C4" w:rsidP="000A2F95">
            <w:pPr>
              <w:spacing w:before="60"/>
              <w:jc w:val="right"/>
              <w:rPr>
                <w:rFonts w:cs="Arial"/>
                <w:szCs w:val="10"/>
              </w:rPr>
            </w:pPr>
          </w:p>
        </w:tc>
        <w:tc>
          <w:tcPr>
            <w:tcW w:w="0" w:type="auto"/>
            <w:shd w:val="clear" w:color="auto" w:fill="FFFFFF"/>
          </w:tcPr>
          <w:p w:rsidR="002629C4" w:rsidRPr="002629C4" w:rsidRDefault="002629C4" w:rsidP="000A2F95">
            <w:pPr>
              <w:spacing w:before="60"/>
              <w:jc w:val="right"/>
              <w:rPr>
                <w:rFonts w:cs="Arial"/>
              </w:rPr>
            </w:pPr>
            <w:r w:rsidRPr="002629C4">
              <w:rPr>
                <w:rFonts w:cs="Arial"/>
              </w:rPr>
              <w:t>-</w:t>
            </w:r>
          </w:p>
        </w:tc>
        <w:tc>
          <w:tcPr>
            <w:tcW w:w="0" w:type="auto"/>
            <w:shd w:val="clear" w:color="auto" w:fill="FFFFFF"/>
          </w:tcPr>
          <w:p w:rsidR="002629C4" w:rsidRPr="002629C4" w:rsidRDefault="002629C4" w:rsidP="000A2F95">
            <w:pPr>
              <w:spacing w:before="60"/>
              <w:jc w:val="right"/>
              <w:rPr>
                <w:rFonts w:cs="Arial"/>
              </w:rPr>
            </w:pPr>
            <w:r w:rsidRPr="002629C4">
              <w:rPr>
                <w:rFonts w:cs="Arial"/>
              </w:rPr>
              <w:t>20 x 40 m</w:t>
            </w:r>
          </w:p>
        </w:tc>
      </w:tr>
    </w:tbl>
    <w:p w:rsidR="002629C4" w:rsidRPr="002629C4" w:rsidRDefault="002629C4" w:rsidP="002629C4">
      <w:pPr>
        <w:spacing w:before="60"/>
        <w:rPr>
          <w:rFonts w:cs="Arial"/>
        </w:rPr>
      </w:pPr>
      <w:r w:rsidRPr="002629C4">
        <w:rPr>
          <w:rFonts w:cs="Arial"/>
        </w:rPr>
        <w:t>Mit der Erweiterung der Schulanlage ist eine Sanierung des Altbaus vorgesehen. Im Altbau sollen verschiedene Anpassungs- und Sanierungsarbeiten vorgenommen werden. Die Kellerdecken und das Dach werden mit einer Wärmedämmung versehen. Die alte Ölheizung wird durch einen Gaskessel mit Kondensationswärmenutzung ersetzt. Für den Turnunterricht wird ein neuer Rasensportplatz von 20 x 40 m geschaffen.</w:t>
      </w:r>
    </w:p>
    <w:p w:rsidR="002629C4" w:rsidRPr="002629C4" w:rsidRDefault="002629C4" w:rsidP="002629C4">
      <w:pPr>
        <w:spacing w:before="60"/>
        <w:rPr>
          <w:rFonts w:cs="Arial"/>
        </w:rPr>
      </w:pPr>
      <w:r w:rsidRPr="002629C4">
        <w:rPr>
          <w:rFonts w:cs="Arial"/>
        </w:rPr>
        <w:t>Das Hochbauamt hat das Projekt geprüft. Es empfiehlt, das Bauvorhaben zu genehmigen. Das Gutachten des Hochbauamtes wird der Rauherrschaft zur Verfügung gestellt; die darin enthaltenen Bemerkungen müssen bei der Projektierung beachtet werden.</w:t>
      </w:r>
    </w:p>
    <w:p w:rsidR="002629C4" w:rsidRPr="002629C4" w:rsidRDefault="002629C4" w:rsidP="002629C4">
      <w:pPr>
        <w:spacing w:before="60"/>
        <w:rPr>
          <w:rFonts w:cs="Arial"/>
        </w:rPr>
      </w:pPr>
      <w:r w:rsidRPr="002629C4">
        <w:rPr>
          <w:rFonts w:cs="Arial"/>
        </w:rPr>
        <w:t>Gemäss dem detaillierten Kostenvoranschlag (Preisstand 1. Oktober 19931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788"/>
        <w:gridCol w:w="1892"/>
        <w:gridCol w:w="1794"/>
      </w:tblGrid>
      <w:tr w:rsidR="002629C4" w:rsidRPr="002629C4" w:rsidTr="000A2F95">
        <w:trPr>
          <w:trHeight w:val="283"/>
        </w:trPr>
        <w:tc>
          <w:tcPr>
            <w:tcW w:w="0" w:type="auto"/>
            <w:shd w:val="clear" w:color="auto" w:fill="FFFFFF"/>
          </w:tcPr>
          <w:p w:rsidR="002629C4" w:rsidRPr="002629C4" w:rsidRDefault="002629C4" w:rsidP="000A2F95">
            <w:pPr>
              <w:spacing w:before="60"/>
              <w:rPr>
                <w:rFonts w:cs="Arial"/>
                <w:szCs w:val="10"/>
              </w:rPr>
            </w:pPr>
          </w:p>
        </w:tc>
        <w:tc>
          <w:tcPr>
            <w:tcW w:w="0" w:type="auto"/>
            <w:shd w:val="clear" w:color="auto" w:fill="FFFFFF"/>
          </w:tcPr>
          <w:p w:rsidR="002629C4" w:rsidRPr="002629C4" w:rsidRDefault="002629C4" w:rsidP="000A2F95">
            <w:pPr>
              <w:spacing w:before="60"/>
              <w:jc w:val="center"/>
              <w:rPr>
                <w:rFonts w:cs="Arial"/>
              </w:rPr>
            </w:pPr>
            <w:r w:rsidRPr="002629C4">
              <w:rPr>
                <w:rFonts w:cs="Arial"/>
              </w:rPr>
              <w:t>Kostenvoranschlag</w:t>
            </w:r>
          </w:p>
          <w:p w:rsidR="002629C4" w:rsidRPr="002629C4" w:rsidRDefault="002629C4" w:rsidP="000A2F95">
            <w:pPr>
              <w:spacing w:before="60"/>
              <w:jc w:val="center"/>
              <w:rPr>
                <w:rFonts w:cs="Arial"/>
              </w:rPr>
            </w:pPr>
            <w:r w:rsidRPr="002629C4">
              <w:rPr>
                <w:rFonts w:cs="Arial"/>
              </w:rPr>
              <w:t>Fr.</w:t>
            </w:r>
          </w:p>
        </w:tc>
        <w:tc>
          <w:tcPr>
            <w:tcW w:w="0" w:type="auto"/>
            <w:shd w:val="clear" w:color="auto" w:fill="FFFFFF"/>
          </w:tcPr>
          <w:p w:rsidR="002629C4" w:rsidRPr="002629C4" w:rsidRDefault="002629C4" w:rsidP="000A2F95">
            <w:pPr>
              <w:spacing w:before="60"/>
              <w:jc w:val="center"/>
              <w:rPr>
                <w:rFonts w:cs="Arial"/>
              </w:rPr>
            </w:pPr>
            <w:r w:rsidRPr="002629C4">
              <w:rPr>
                <w:rFonts w:cs="Arial"/>
              </w:rPr>
              <w:t>Beitragsberechtigt</w:t>
            </w:r>
          </w:p>
          <w:p w:rsidR="002629C4" w:rsidRPr="002629C4" w:rsidRDefault="002629C4" w:rsidP="000A2F95">
            <w:pPr>
              <w:spacing w:before="60"/>
              <w:jc w:val="center"/>
              <w:rPr>
                <w:rFonts w:cs="Arial"/>
              </w:rPr>
            </w:pPr>
            <w:r w:rsidRPr="002629C4">
              <w:rPr>
                <w:rFonts w:cs="Arial"/>
              </w:rPr>
              <w:t>Fr.</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1. Grundstück</w:t>
            </w:r>
          </w:p>
        </w:tc>
        <w:tc>
          <w:tcPr>
            <w:tcW w:w="0" w:type="auto"/>
            <w:shd w:val="clear" w:color="auto" w:fill="FFFFFF"/>
          </w:tcPr>
          <w:p w:rsidR="002629C4" w:rsidRPr="002629C4" w:rsidRDefault="002629C4" w:rsidP="000A2F95">
            <w:pPr>
              <w:spacing w:before="60"/>
              <w:jc w:val="right"/>
              <w:rPr>
                <w:rFonts w:cs="Arial"/>
              </w:rPr>
            </w:pPr>
            <w:r w:rsidRPr="002629C4">
              <w:rPr>
                <w:rFonts w:cs="Arial"/>
              </w:rPr>
              <w:t>30 000</w:t>
            </w:r>
          </w:p>
        </w:tc>
        <w:tc>
          <w:tcPr>
            <w:tcW w:w="0" w:type="auto"/>
            <w:shd w:val="clear" w:color="auto" w:fill="FFFFFF"/>
          </w:tcPr>
          <w:p w:rsidR="002629C4" w:rsidRPr="002629C4" w:rsidRDefault="002629C4" w:rsidP="000A2F95">
            <w:pPr>
              <w:spacing w:before="60"/>
              <w:jc w:val="right"/>
              <w:rPr>
                <w:rFonts w:cs="Arial"/>
              </w:rPr>
            </w:pPr>
            <w:r w:rsidRPr="002629C4">
              <w:rPr>
                <w:rFonts w:cs="Arial"/>
              </w:rPr>
              <w:t>30 000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2. Vorbereitungsarbeiten</w:t>
            </w:r>
          </w:p>
        </w:tc>
        <w:tc>
          <w:tcPr>
            <w:tcW w:w="0" w:type="auto"/>
            <w:shd w:val="clear" w:color="auto" w:fill="FFFFFF"/>
          </w:tcPr>
          <w:p w:rsidR="002629C4" w:rsidRPr="002629C4" w:rsidRDefault="002629C4" w:rsidP="000A2F95">
            <w:pPr>
              <w:spacing w:before="60"/>
              <w:jc w:val="right"/>
              <w:rPr>
                <w:rFonts w:cs="Arial"/>
              </w:rPr>
            </w:pPr>
            <w:r w:rsidRPr="002629C4">
              <w:rPr>
                <w:rFonts w:cs="Arial"/>
              </w:rPr>
              <w:t>20 000</w:t>
            </w:r>
          </w:p>
        </w:tc>
        <w:tc>
          <w:tcPr>
            <w:tcW w:w="0" w:type="auto"/>
            <w:shd w:val="clear" w:color="auto" w:fill="FFFFFF"/>
          </w:tcPr>
          <w:p w:rsidR="002629C4" w:rsidRPr="002629C4" w:rsidRDefault="002629C4" w:rsidP="000A2F95">
            <w:pPr>
              <w:spacing w:before="60"/>
              <w:jc w:val="right"/>
              <w:rPr>
                <w:rFonts w:cs="Arial"/>
              </w:rPr>
            </w:pPr>
            <w:r w:rsidRPr="002629C4">
              <w:rPr>
                <w:rFonts w:cs="Arial"/>
              </w:rPr>
              <w:t>20 000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3. Gebäude und Betriebseinrichtungen</w:t>
            </w:r>
          </w:p>
        </w:tc>
        <w:tc>
          <w:tcPr>
            <w:tcW w:w="0" w:type="auto"/>
            <w:shd w:val="clear" w:color="auto" w:fill="FFFFFF"/>
          </w:tcPr>
          <w:p w:rsidR="002629C4" w:rsidRPr="002629C4" w:rsidRDefault="002629C4" w:rsidP="000A2F95">
            <w:pPr>
              <w:spacing w:before="60"/>
              <w:jc w:val="right"/>
              <w:rPr>
                <w:rFonts w:cs="Arial"/>
              </w:rPr>
            </w:pPr>
            <w:r w:rsidRPr="002629C4">
              <w:rPr>
                <w:rFonts w:cs="Arial"/>
              </w:rPr>
              <w:t>2 556 520</w:t>
            </w:r>
          </w:p>
        </w:tc>
        <w:tc>
          <w:tcPr>
            <w:tcW w:w="0" w:type="auto"/>
            <w:shd w:val="clear" w:color="auto" w:fill="FFFFFF"/>
          </w:tcPr>
          <w:p w:rsidR="002629C4" w:rsidRPr="002629C4" w:rsidRDefault="002629C4" w:rsidP="000A2F95">
            <w:pPr>
              <w:spacing w:before="60"/>
              <w:jc w:val="right"/>
              <w:rPr>
                <w:rFonts w:cs="Arial"/>
              </w:rPr>
            </w:pPr>
            <w:r w:rsidRPr="002629C4">
              <w:rPr>
                <w:rFonts w:cs="Arial"/>
              </w:rPr>
              <w:t>2 106 180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4. Umgebung</w:t>
            </w:r>
          </w:p>
        </w:tc>
        <w:tc>
          <w:tcPr>
            <w:tcW w:w="0" w:type="auto"/>
            <w:shd w:val="clear" w:color="auto" w:fill="FFFFFF"/>
          </w:tcPr>
          <w:p w:rsidR="002629C4" w:rsidRPr="002629C4" w:rsidRDefault="002629C4" w:rsidP="000A2F95">
            <w:pPr>
              <w:spacing w:before="60"/>
              <w:jc w:val="right"/>
              <w:rPr>
                <w:rFonts w:cs="Arial"/>
              </w:rPr>
            </w:pPr>
            <w:r w:rsidRPr="002629C4">
              <w:rPr>
                <w:rFonts w:cs="Arial"/>
              </w:rPr>
              <w:t>417 130</w:t>
            </w:r>
          </w:p>
        </w:tc>
        <w:tc>
          <w:tcPr>
            <w:tcW w:w="0" w:type="auto"/>
            <w:shd w:val="clear" w:color="auto" w:fill="FFFFFF"/>
          </w:tcPr>
          <w:p w:rsidR="002629C4" w:rsidRPr="002629C4" w:rsidRDefault="002629C4" w:rsidP="000A2F95">
            <w:pPr>
              <w:spacing w:before="60"/>
              <w:jc w:val="right"/>
              <w:rPr>
                <w:rFonts w:cs="Arial"/>
              </w:rPr>
            </w:pPr>
            <w:r w:rsidRPr="002629C4">
              <w:rPr>
                <w:rFonts w:cs="Arial"/>
              </w:rPr>
              <w:t>410 000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5. Baunebenkosten</w:t>
            </w:r>
          </w:p>
        </w:tc>
        <w:tc>
          <w:tcPr>
            <w:tcW w:w="0" w:type="auto"/>
            <w:shd w:val="clear" w:color="auto" w:fill="FFFFFF"/>
          </w:tcPr>
          <w:p w:rsidR="002629C4" w:rsidRPr="002629C4" w:rsidRDefault="002629C4" w:rsidP="000A2F95">
            <w:pPr>
              <w:spacing w:before="60"/>
              <w:jc w:val="right"/>
              <w:rPr>
                <w:rFonts w:cs="Arial"/>
              </w:rPr>
            </w:pPr>
            <w:r w:rsidRPr="002629C4">
              <w:rPr>
                <w:rFonts w:cs="Arial"/>
              </w:rPr>
              <w:t>359 000</w:t>
            </w:r>
          </w:p>
        </w:tc>
        <w:tc>
          <w:tcPr>
            <w:tcW w:w="0" w:type="auto"/>
            <w:shd w:val="clear" w:color="auto" w:fill="FFFFFF"/>
          </w:tcPr>
          <w:p w:rsidR="002629C4" w:rsidRPr="002629C4" w:rsidRDefault="002629C4" w:rsidP="000A2F95">
            <w:pPr>
              <w:spacing w:before="60"/>
              <w:jc w:val="right"/>
              <w:rPr>
                <w:rFonts w:cs="Arial"/>
              </w:rPr>
            </w:pPr>
            <w:r w:rsidRPr="002629C4">
              <w:rPr>
                <w:rFonts w:cs="Arial"/>
              </w:rPr>
              <w:t>77 500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6. Ausstattungen</w:t>
            </w:r>
          </w:p>
        </w:tc>
        <w:tc>
          <w:tcPr>
            <w:tcW w:w="0" w:type="auto"/>
            <w:shd w:val="clear" w:color="auto" w:fill="FFFFFF"/>
          </w:tcPr>
          <w:p w:rsidR="002629C4" w:rsidRPr="002629C4" w:rsidRDefault="002629C4" w:rsidP="000A2F95">
            <w:pPr>
              <w:spacing w:before="60"/>
              <w:jc w:val="right"/>
              <w:rPr>
                <w:rFonts w:cs="Arial"/>
              </w:rPr>
            </w:pPr>
            <w:r w:rsidRPr="002629C4">
              <w:rPr>
                <w:rFonts w:cs="Arial"/>
              </w:rPr>
              <w:t>156 480</w:t>
            </w:r>
          </w:p>
        </w:tc>
        <w:tc>
          <w:tcPr>
            <w:tcW w:w="0" w:type="auto"/>
            <w:shd w:val="clear" w:color="auto" w:fill="FFFFFF"/>
          </w:tcPr>
          <w:p w:rsidR="002629C4" w:rsidRPr="002629C4" w:rsidRDefault="002629C4" w:rsidP="000A2F95">
            <w:pPr>
              <w:spacing w:before="60"/>
              <w:jc w:val="right"/>
              <w:rPr>
                <w:rFonts w:cs="Arial"/>
              </w:rPr>
            </w:pPr>
            <w:r w:rsidRPr="002629C4">
              <w:rPr>
                <w:rFonts w:cs="Arial"/>
              </w:rPr>
              <w:t>12 000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Total</w:t>
            </w:r>
          </w:p>
        </w:tc>
        <w:tc>
          <w:tcPr>
            <w:tcW w:w="0" w:type="auto"/>
            <w:shd w:val="clear" w:color="auto" w:fill="FFFFFF"/>
          </w:tcPr>
          <w:p w:rsidR="002629C4" w:rsidRPr="002629C4" w:rsidRDefault="002629C4" w:rsidP="000A2F95">
            <w:pPr>
              <w:spacing w:before="60"/>
              <w:jc w:val="right"/>
              <w:rPr>
                <w:rFonts w:cs="Arial"/>
              </w:rPr>
            </w:pPr>
            <w:r w:rsidRPr="002629C4">
              <w:rPr>
                <w:rFonts w:cs="Arial"/>
              </w:rPr>
              <w:t>3 539 130</w:t>
            </w:r>
          </w:p>
        </w:tc>
        <w:tc>
          <w:tcPr>
            <w:tcW w:w="0" w:type="auto"/>
            <w:shd w:val="clear" w:color="auto" w:fill="FFFFFF"/>
          </w:tcPr>
          <w:p w:rsidR="002629C4" w:rsidRPr="002629C4" w:rsidRDefault="002629C4" w:rsidP="000A2F95">
            <w:pPr>
              <w:spacing w:before="60"/>
              <w:jc w:val="right"/>
              <w:rPr>
                <w:rFonts w:cs="Arial"/>
              </w:rPr>
            </w:pPr>
            <w:r w:rsidRPr="002629C4">
              <w:rPr>
                <w:rFonts w:cs="Arial"/>
              </w:rPr>
              <w:t>2 655 680</w:t>
            </w:r>
          </w:p>
        </w:tc>
      </w:tr>
    </w:tbl>
    <w:p w:rsidR="002629C4" w:rsidRPr="002629C4" w:rsidRDefault="002629C4" w:rsidP="002629C4">
      <w:pPr>
        <w:spacing w:before="60"/>
        <w:rPr>
          <w:rFonts w:cs="Arial"/>
        </w:rPr>
      </w:pPr>
      <w:r w:rsidRPr="002629C4">
        <w:rPr>
          <w:rFonts w:cs="Arial"/>
        </w:rPr>
        <w:t>Gebäude und Betriebseinrichtungen:</w:t>
      </w:r>
    </w:p>
    <w:p w:rsidR="002629C4" w:rsidRPr="002629C4" w:rsidRDefault="002629C4" w:rsidP="002629C4">
      <w:pPr>
        <w:spacing w:before="60"/>
        <w:rPr>
          <w:rFonts w:cs="Arial"/>
        </w:rPr>
      </w:pPr>
      <w:r w:rsidRPr="002629C4">
        <w:rPr>
          <w:rFonts w:cs="Arial"/>
        </w:rPr>
        <w:t>Die subventionsberechtigten Kosten für die Erweiterung der Schulanlage werden pauschaliert: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635"/>
        <w:gridCol w:w="289"/>
        <w:gridCol w:w="999"/>
      </w:tblGrid>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6,5 Kosteneinheiten zu Fr. 254 700 =</w:t>
            </w:r>
          </w:p>
        </w:tc>
        <w:tc>
          <w:tcPr>
            <w:tcW w:w="0" w:type="auto"/>
            <w:shd w:val="clear" w:color="auto" w:fill="FFFFFF"/>
          </w:tcPr>
          <w:p w:rsidR="002629C4" w:rsidRPr="002629C4" w:rsidRDefault="002629C4" w:rsidP="000A2F95">
            <w:pPr>
              <w:spacing w:before="60"/>
              <w:rPr>
                <w:rFonts w:cs="Arial"/>
              </w:rPr>
            </w:pPr>
            <w:r w:rsidRPr="002629C4">
              <w:rPr>
                <w:rFonts w:cs="Arial"/>
              </w:rPr>
              <w:t>Fr.</w:t>
            </w:r>
          </w:p>
        </w:tc>
        <w:tc>
          <w:tcPr>
            <w:tcW w:w="0" w:type="auto"/>
            <w:shd w:val="clear" w:color="auto" w:fill="FFFFFF"/>
          </w:tcPr>
          <w:p w:rsidR="002629C4" w:rsidRPr="002629C4" w:rsidRDefault="002629C4" w:rsidP="000A2F95">
            <w:pPr>
              <w:spacing w:before="60"/>
              <w:jc w:val="right"/>
              <w:rPr>
                <w:rFonts w:cs="Arial"/>
              </w:rPr>
            </w:pPr>
            <w:r w:rsidRPr="002629C4">
              <w:rPr>
                <w:rFonts w:cs="Arial"/>
              </w:rPr>
              <w:t>1 655 550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rPr>
            </w:pPr>
            <w:r w:rsidRPr="002629C4">
              <w:rPr>
                <w:rFonts w:cs="Arial"/>
              </w:rPr>
              <w:t>zuzüglich Sanierung des Altbaus</w:t>
            </w:r>
          </w:p>
        </w:tc>
        <w:tc>
          <w:tcPr>
            <w:tcW w:w="0" w:type="auto"/>
            <w:shd w:val="clear" w:color="auto" w:fill="FFFFFF"/>
          </w:tcPr>
          <w:p w:rsidR="002629C4" w:rsidRPr="002629C4" w:rsidRDefault="002629C4" w:rsidP="000A2F95">
            <w:pPr>
              <w:spacing w:before="60"/>
              <w:rPr>
                <w:rFonts w:cs="Arial"/>
              </w:rPr>
            </w:pPr>
            <w:r w:rsidRPr="002629C4">
              <w:rPr>
                <w:rFonts w:cs="Arial"/>
              </w:rPr>
              <w:t>Fr.</w:t>
            </w:r>
          </w:p>
        </w:tc>
        <w:tc>
          <w:tcPr>
            <w:tcW w:w="0" w:type="auto"/>
            <w:shd w:val="clear" w:color="auto" w:fill="FFFFFF"/>
          </w:tcPr>
          <w:p w:rsidR="002629C4" w:rsidRPr="002629C4" w:rsidRDefault="002629C4" w:rsidP="000A2F95">
            <w:pPr>
              <w:spacing w:before="60"/>
              <w:jc w:val="right"/>
              <w:rPr>
                <w:rFonts w:cs="Arial"/>
              </w:rPr>
            </w:pPr>
            <w:r w:rsidRPr="002629C4">
              <w:rPr>
                <w:rFonts w:cs="Arial"/>
              </w:rPr>
              <w:t>450 630</w:t>
            </w:r>
          </w:p>
        </w:tc>
      </w:tr>
      <w:tr w:rsidR="002629C4" w:rsidRPr="002629C4" w:rsidTr="000A2F95">
        <w:trPr>
          <w:trHeight w:val="283"/>
        </w:trPr>
        <w:tc>
          <w:tcPr>
            <w:tcW w:w="0" w:type="auto"/>
            <w:shd w:val="clear" w:color="auto" w:fill="FFFFFF"/>
          </w:tcPr>
          <w:p w:rsidR="002629C4" w:rsidRPr="002629C4" w:rsidRDefault="002629C4" w:rsidP="000A2F95">
            <w:pPr>
              <w:spacing w:before="60"/>
              <w:rPr>
                <w:rFonts w:cs="Arial"/>
                <w:szCs w:val="10"/>
              </w:rPr>
            </w:pPr>
          </w:p>
        </w:tc>
        <w:tc>
          <w:tcPr>
            <w:tcW w:w="0" w:type="auto"/>
            <w:shd w:val="clear" w:color="auto" w:fill="FFFFFF"/>
          </w:tcPr>
          <w:p w:rsidR="002629C4" w:rsidRPr="002629C4" w:rsidRDefault="002629C4" w:rsidP="000A2F95">
            <w:pPr>
              <w:spacing w:before="60"/>
              <w:rPr>
                <w:rFonts w:cs="Arial"/>
              </w:rPr>
            </w:pPr>
            <w:r w:rsidRPr="002629C4">
              <w:rPr>
                <w:rFonts w:cs="Arial"/>
              </w:rPr>
              <w:t>Fr.</w:t>
            </w:r>
          </w:p>
        </w:tc>
        <w:tc>
          <w:tcPr>
            <w:tcW w:w="0" w:type="auto"/>
            <w:shd w:val="clear" w:color="auto" w:fill="FFFFFF"/>
          </w:tcPr>
          <w:p w:rsidR="002629C4" w:rsidRPr="002629C4" w:rsidRDefault="002629C4" w:rsidP="000A2F95">
            <w:pPr>
              <w:spacing w:before="60"/>
              <w:jc w:val="right"/>
              <w:rPr>
                <w:rFonts w:cs="Arial"/>
              </w:rPr>
            </w:pPr>
            <w:r w:rsidRPr="002629C4">
              <w:rPr>
                <w:rFonts w:cs="Arial"/>
              </w:rPr>
              <w:t>2 106 180</w:t>
            </w:r>
          </w:p>
        </w:tc>
      </w:tr>
    </w:tbl>
    <w:p w:rsidR="002629C4" w:rsidRPr="002629C4" w:rsidRDefault="002629C4" w:rsidP="00BE768B">
      <w:pPr>
        <w:pStyle w:val="00Vorgabetext"/>
      </w:pPr>
      <w:r w:rsidRPr="002629C4">
        <w:t xml:space="preserve"> // [</w:t>
      </w:r>
      <w:r w:rsidRPr="002629C4">
        <w:rPr>
          <w:i/>
        </w:rPr>
        <w:t>p. 768</w:t>
      </w:r>
      <w:r w:rsidRPr="002629C4">
        <w:t>]</w:t>
      </w:r>
    </w:p>
    <w:p w:rsidR="002629C4" w:rsidRPr="002629C4" w:rsidRDefault="002629C4" w:rsidP="002629C4">
      <w:pPr>
        <w:spacing w:before="60"/>
        <w:rPr>
          <w:rFonts w:cs="Arial"/>
        </w:rPr>
      </w:pPr>
      <w:r w:rsidRPr="002629C4">
        <w:rPr>
          <w:rFonts w:cs="Arial"/>
        </w:rPr>
        <w:t>Von den veranschlagten Kosten sind folgende Anteile nicht beitragsberechtigt:</w:t>
      </w:r>
    </w:p>
    <w:p w:rsidR="002629C4" w:rsidRPr="002629C4" w:rsidRDefault="002629C4" w:rsidP="002629C4">
      <w:pPr>
        <w:tabs>
          <w:tab w:val="left" w:pos="222"/>
        </w:tabs>
        <w:spacing w:before="60"/>
        <w:rPr>
          <w:rFonts w:cs="Arial"/>
        </w:rPr>
      </w:pPr>
      <w:r w:rsidRPr="002629C4">
        <w:rPr>
          <w:rFonts w:cs="Arial"/>
        </w:rPr>
        <w:t>- die Mehrkosten gegenüber dem Pauschalbetrag von Fr. 254 700</w:t>
      </w:r>
    </w:p>
    <w:p w:rsidR="002629C4" w:rsidRPr="002629C4" w:rsidRDefault="002629C4" w:rsidP="002629C4">
      <w:pPr>
        <w:tabs>
          <w:tab w:val="left" w:pos="222"/>
        </w:tabs>
        <w:spacing w:before="60"/>
        <w:rPr>
          <w:rFonts w:cs="Arial"/>
        </w:rPr>
      </w:pPr>
      <w:r w:rsidRPr="002629C4">
        <w:rPr>
          <w:rFonts w:cs="Arial"/>
        </w:rPr>
        <w:t>- Parkplatz- und Sportplatzbeleuchtung</w:t>
      </w:r>
    </w:p>
    <w:p w:rsidR="002629C4" w:rsidRPr="002629C4" w:rsidRDefault="002629C4" w:rsidP="002629C4">
      <w:pPr>
        <w:tabs>
          <w:tab w:val="left" w:pos="222"/>
        </w:tabs>
        <w:spacing w:before="60"/>
        <w:rPr>
          <w:rFonts w:cs="Arial"/>
        </w:rPr>
      </w:pPr>
      <w:r w:rsidRPr="002629C4">
        <w:rPr>
          <w:rFonts w:cs="Arial"/>
        </w:rPr>
        <w:t>- Baunebenkosten (ausgenommen Plankopien und Vervielfältigungen)</w:t>
      </w:r>
    </w:p>
    <w:p w:rsidR="002629C4" w:rsidRPr="002629C4" w:rsidRDefault="002629C4" w:rsidP="002629C4">
      <w:pPr>
        <w:tabs>
          <w:tab w:val="left" w:pos="222"/>
        </w:tabs>
        <w:spacing w:before="60"/>
        <w:rPr>
          <w:rFonts w:cs="Arial"/>
        </w:rPr>
      </w:pPr>
      <w:r w:rsidRPr="002629C4">
        <w:rPr>
          <w:rFonts w:cs="Arial"/>
        </w:rPr>
        <w:t>- Reserve und Unvorhergesehenes</w:t>
      </w:r>
    </w:p>
    <w:p w:rsidR="002629C4" w:rsidRPr="002629C4" w:rsidRDefault="002629C4" w:rsidP="002629C4">
      <w:pPr>
        <w:tabs>
          <w:tab w:val="left" w:pos="222"/>
        </w:tabs>
        <w:spacing w:before="60"/>
        <w:rPr>
          <w:rFonts w:cs="Arial"/>
        </w:rPr>
      </w:pPr>
      <w:r w:rsidRPr="002629C4">
        <w:rPr>
          <w:rFonts w:cs="Arial"/>
        </w:rPr>
        <w:t>- Ausstattungen (Die Anschaffungen von beweglichen Einrichtungen werden durch die Schülerpauschale abgegolten.)</w:t>
      </w:r>
    </w:p>
    <w:p w:rsidR="002629C4" w:rsidRPr="002629C4" w:rsidRDefault="002629C4" w:rsidP="002629C4">
      <w:pPr>
        <w:spacing w:before="60"/>
        <w:rPr>
          <w:rFonts w:cs="Arial"/>
        </w:rPr>
      </w:pPr>
      <w:r w:rsidRPr="002629C4">
        <w:rPr>
          <w:rFonts w:cs="Arial"/>
        </w:rPr>
        <w:t>Auflagen:</w:t>
      </w:r>
    </w:p>
    <w:p w:rsidR="002629C4" w:rsidRPr="002629C4" w:rsidRDefault="002629C4" w:rsidP="002629C4">
      <w:pPr>
        <w:tabs>
          <w:tab w:val="left" w:pos="222"/>
        </w:tabs>
        <w:spacing w:before="60"/>
        <w:rPr>
          <w:rFonts w:cs="Arial"/>
        </w:rPr>
      </w:pPr>
      <w:r w:rsidRPr="002629C4">
        <w:rPr>
          <w:rFonts w:cs="Arial"/>
        </w:rPr>
        <w:t>- Sofern die Gemeinde Steuerfussausgleichsbeiträge bezieht oder, ausgelöst durch dieses Bauvorhaben, voraussichtlich solche beziehen müsste, ist die Finanzierung des Bauvorhabens vor Baubeginn mit der Direktion des Innern, Abteilung Gemeindefinanzen, sicherzustellen.</w:t>
      </w:r>
    </w:p>
    <w:p w:rsidR="002629C4" w:rsidRPr="002629C4" w:rsidRDefault="002629C4" w:rsidP="002629C4">
      <w:pPr>
        <w:tabs>
          <w:tab w:val="left" w:pos="226"/>
        </w:tabs>
        <w:spacing w:before="60"/>
        <w:rPr>
          <w:rFonts w:cs="Arial"/>
        </w:rPr>
      </w:pPr>
      <w:r w:rsidRPr="002629C4">
        <w:rPr>
          <w:rFonts w:cs="Arial"/>
        </w:rPr>
        <w:t>- Bei der Ausarbeitung des Detailprojekts ist frühzeitig die kantonale Inspektorin für Handarbeit beizuziehen.</w:t>
      </w:r>
    </w:p>
    <w:p w:rsidR="002629C4" w:rsidRPr="002629C4" w:rsidRDefault="002629C4" w:rsidP="002629C4">
      <w:pPr>
        <w:tabs>
          <w:tab w:val="left" w:pos="226"/>
        </w:tabs>
        <w:spacing w:before="60"/>
        <w:rPr>
          <w:rFonts w:cs="Arial"/>
        </w:rPr>
      </w:pPr>
      <w:r w:rsidRPr="002629C4">
        <w:rPr>
          <w:rFonts w:cs="Arial"/>
        </w:rPr>
        <w:t>- Nach Beendigung des Bauvorhabens ist durch den zuständigen Architekten das Büro für Begutachtungen des kantonalen Hochbauamtes zu verständigen, damit eine Kontrolle über die Einhaltung der Richtlinien vorgenommen werden kann.</w:t>
      </w:r>
    </w:p>
    <w:p w:rsidR="002629C4" w:rsidRPr="002629C4" w:rsidRDefault="002629C4" w:rsidP="002629C4">
      <w:pPr>
        <w:spacing w:before="60"/>
        <w:rPr>
          <w:rFonts w:cs="Arial"/>
        </w:rPr>
      </w:pPr>
      <w:r w:rsidRPr="002629C4">
        <w:rPr>
          <w:rFonts w:cs="Arial"/>
        </w:rPr>
        <w:t xml:space="preserve">An die beitragsberechtigten Kosten von Fr. 2 655 680 ist gemäss § 1 Abs. 1 </w:t>
      </w:r>
      <w:r w:rsidRPr="002629C4">
        <w:rPr>
          <w:rFonts w:cs="Arial"/>
          <w:lang w:val="fr-FR" w:eastAsia="fr-FR" w:bidi="fr-FR"/>
        </w:rPr>
        <w:t xml:space="preserve">lit. </w:t>
      </w:r>
      <w:r w:rsidRPr="002629C4">
        <w:rPr>
          <w:rFonts w:cs="Arial"/>
        </w:rPr>
        <w:t>b Ziffer 1 des Schulleistungsgesetzes vom 2. Februar 1919 und aufgrund des Finanzkraftindexes der Primarschulgemeinde Rüti von 112 ein Kostenanteil von 7%, höchstens Fr. 185 897, zuzusichern. Die Auszahlung erfolgt nach dem vorhandenen Voranschlagskredit des Kantons.</w:t>
      </w:r>
    </w:p>
    <w:p w:rsidR="002629C4" w:rsidRPr="002629C4" w:rsidRDefault="002629C4" w:rsidP="002629C4">
      <w:pPr>
        <w:spacing w:before="60"/>
        <w:rPr>
          <w:rFonts w:cs="Arial"/>
        </w:rPr>
      </w:pPr>
      <w:r w:rsidRPr="002629C4">
        <w:rPr>
          <w:rFonts w:cs="Arial"/>
        </w:rPr>
        <w:t>Auf Antrag der Direktion des Erziehungswesens</w:t>
      </w:r>
    </w:p>
    <w:p w:rsidR="002629C4" w:rsidRPr="002629C4" w:rsidRDefault="002629C4" w:rsidP="002629C4">
      <w:pPr>
        <w:spacing w:before="60"/>
        <w:jc w:val="center"/>
        <w:rPr>
          <w:rFonts w:cs="Arial"/>
        </w:rPr>
      </w:pPr>
      <w:r w:rsidRPr="002629C4">
        <w:rPr>
          <w:rFonts w:cs="Arial"/>
        </w:rPr>
        <w:t>beschliesst der Regierungsrat:</w:t>
      </w:r>
    </w:p>
    <w:p w:rsidR="002629C4" w:rsidRPr="002629C4" w:rsidRDefault="002629C4" w:rsidP="002629C4">
      <w:pPr>
        <w:tabs>
          <w:tab w:val="left" w:pos="505"/>
        </w:tabs>
        <w:spacing w:before="60"/>
        <w:rPr>
          <w:rFonts w:cs="Arial"/>
        </w:rPr>
      </w:pPr>
      <w:r w:rsidRPr="002629C4">
        <w:rPr>
          <w:rFonts w:cs="Arial"/>
        </w:rPr>
        <w:t>I. Die Vorlage der Primarschulpflege Rüti betreffend die Erweiterung der Primarschulanlage Fägswil in Rüti mit voraussichtlichen Gesamtkosten von Fr. 3 539 130 wird genehmigt.</w:t>
      </w:r>
    </w:p>
    <w:p w:rsidR="002629C4" w:rsidRPr="002629C4" w:rsidRDefault="002629C4" w:rsidP="002629C4">
      <w:pPr>
        <w:tabs>
          <w:tab w:val="left" w:pos="534"/>
        </w:tabs>
        <w:spacing w:before="60"/>
        <w:rPr>
          <w:rFonts w:cs="Arial"/>
        </w:rPr>
      </w:pPr>
      <w:r w:rsidRPr="002629C4">
        <w:rPr>
          <w:rFonts w:cs="Arial"/>
        </w:rPr>
        <w:t>II. An die beitragsberechtigten Kosten von Fr. 2 655 680 wird aufgrund des Finanzkraftindexes der Primarschulgemeinde Rüti von 112 ein Kostenanteil von 1%, höchstens Fr. 185 897, zugesichert. Die Auszahlung erfolgt nach dem vorhandenen Voranschlagskredit des Kantons.</w:t>
      </w:r>
    </w:p>
    <w:p w:rsidR="002629C4" w:rsidRPr="002629C4" w:rsidRDefault="002629C4" w:rsidP="002629C4">
      <w:pPr>
        <w:tabs>
          <w:tab w:val="left" w:pos="610"/>
        </w:tabs>
        <w:spacing w:before="60"/>
        <w:rPr>
          <w:rFonts w:cs="Arial"/>
        </w:rPr>
      </w:pPr>
      <w:r w:rsidRPr="002629C4">
        <w:rPr>
          <w:rFonts w:cs="Arial"/>
        </w:rPr>
        <w:t>III. Bei der Durchführung des Bauvorhabens sind die Richtlinien und die Wegleitung für Schulhausanlagen vom 5. Oktober 1988 sowie die Bemerkungen und Auflagen in den Erwägungen zu beachten.</w:t>
      </w:r>
    </w:p>
    <w:p w:rsidR="002629C4" w:rsidRPr="002629C4" w:rsidRDefault="002629C4" w:rsidP="002629C4">
      <w:pPr>
        <w:tabs>
          <w:tab w:val="left" w:pos="606"/>
        </w:tabs>
        <w:spacing w:before="60"/>
        <w:rPr>
          <w:rFonts w:cs="Arial"/>
        </w:rPr>
      </w:pPr>
      <w:r w:rsidRPr="002629C4">
        <w:rPr>
          <w:rFonts w:cs="Arial"/>
        </w:rPr>
        <w:t>IV. Der Anspruch auf den Kostenanteil verfällt, wenn das Gesuch um dessen Auszahlung nicht spätestens innert eines Jahres nach Abnahme der Bauabrechnung durch das zuständige Gemeindeorgan der Erziehungsdirektion eingereicht wird.</w:t>
      </w:r>
    </w:p>
    <w:p w:rsidR="002629C4" w:rsidRPr="002629C4" w:rsidRDefault="002629C4" w:rsidP="002629C4">
      <w:pPr>
        <w:tabs>
          <w:tab w:val="left" w:pos="606"/>
        </w:tabs>
        <w:spacing w:before="60"/>
        <w:rPr>
          <w:rFonts w:cs="Arial"/>
        </w:rPr>
      </w:pPr>
      <w:r w:rsidRPr="002629C4">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2629C4" w:rsidRPr="002629C4" w:rsidRDefault="002629C4" w:rsidP="002629C4">
      <w:pPr>
        <w:pStyle w:val="00Vorgabetext"/>
        <w:keepNext/>
        <w:keepLines/>
        <w:rPr>
          <w:rFonts w:cs="Arial"/>
        </w:rPr>
      </w:pPr>
      <w:r w:rsidRPr="002629C4">
        <w:rPr>
          <w:rFonts w:cs="Arial"/>
        </w:rPr>
        <w:t>VI. Mitteilung an die Primarschulpflege Rüti, 8630 Rüti, den Präsidenten der Bezirksschulpflege Hinwil, Werner Heller, Spitalstrasse 8 b, 8630 Rüti, sowie an die Direktionen des Innern, der öffentlichen Bauten und des Erziehungswesens.</w:t>
      </w:r>
    </w:p>
    <w:p w:rsidR="002629C4" w:rsidRPr="002629C4" w:rsidRDefault="002629C4" w:rsidP="002629C4">
      <w:pPr>
        <w:pStyle w:val="00Vorgabetext"/>
        <w:keepNext/>
        <w:keepLines/>
        <w:rPr>
          <w:rFonts w:cs="Arial"/>
        </w:rPr>
      </w:pPr>
    </w:p>
    <w:p w:rsidR="002629C4" w:rsidRPr="002629C4" w:rsidRDefault="002629C4" w:rsidP="002629C4">
      <w:pPr>
        <w:pStyle w:val="00Vorgabetext"/>
        <w:keepNext/>
        <w:keepLines/>
        <w:rPr>
          <w:rFonts w:cs="Arial"/>
        </w:rPr>
      </w:pPr>
    </w:p>
    <w:p w:rsidR="00BE768B" w:rsidRPr="002629C4" w:rsidRDefault="002629C4" w:rsidP="002629C4">
      <w:pPr>
        <w:pStyle w:val="00Vorgabetext"/>
        <w:keepNext/>
        <w:keepLines/>
      </w:pPr>
      <w:r w:rsidRPr="002629C4">
        <w:rPr>
          <w:rFonts w:cs="Arial"/>
        </w:rPr>
        <w:t>[</w:t>
      </w:r>
      <w:r w:rsidRPr="002629C4">
        <w:rPr>
          <w:rFonts w:cs="Arial"/>
          <w:i/>
        </w:rPr>
        <w:t>Transkript: OCR (Überarbeitung: Team TKR)/14.09.2017</w:t>
      </w:r>
      <w:bookmarkStart w:id="1" w:name="_GoBack"/>
      <w:r w:rsidRPr="002629C4">
        <w:rPr>
          <w:rFonts w:cs="Arial"/>
        </w:rPr>
        <w:t xml:space="preserve">] </w:t>
      </w:r>
      <w:bookmarkEnd w:id="1"/>
    </w:p>
    <w:sectPr w:rsidR="00BE768B" w:rsidRPr="002629C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9C4" w:rsidRDefault="002629C4">
      <w:r>
        <w:separator/>
      </w:r>
    </w:p>
    <w:p w:rsidR="002629C4" w:rsidRDefault="002629C4"/>
    <w:p w:rsidR="002629C4" w:rsidRDefault="002629C4"/>
  </w:endnote>
  <w:endnote w:type="continuationSeparator" w:id="0">
    <w:p w:rsidR="002629C4" w:rsidRDefault="002629C4">
      <w:r>
        <w:continuationSeparator/>
      </w:r>
    </w:p>
    <w:p w:rsidR="002629C4" w:rsidRDefault="002629C4"/>
    <w:p w:rsidR="002629C4" w:rsidRDefault="00262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9C4" w:rsidRDefault="002629C4">
      <w:r>
        <w:separator/>
      </w:r>
    </w:p>
    <w:p w:rsidR="002629C4" w:rsidRDefault="002629C4"/>
    <w:p w:rsidR="002629C4" w:rsidRDefault="002629C4"/>
  </w:footnote>
  <w:footnote w:type="continuationSeparator" w:id="0">
    <w:p w:rsidR="002629C4" w:rsidRDefault="002629C4">
      <w:r>
        <w:continuationSeparator/>
      </w:r>
    </w:p>
    <w:p w:rsidR="002629C4" w:rsidRDefault="002629C4"/>
    <w:p w:rsidR="002629C4" w:rsidRDefault="002629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629C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629C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C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29C4"/>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590B77-7D4B-4967-B17B-B3045660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62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7B890-FB63-4020-A5C6-FE11127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739</Words>
  <Characters>4488</Characters>
  <Application>Microsoft Office Word</Application>
  <DocSecurity>0</DocSecurity>
  <PresentationFormat/>
  <Lines>498</Lines>
  <Paragraphs>475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4752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