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856D4B" w:rsidTr="00C80ABA">
        <w:trPr>
          <w:trHeight w:val="454"/>
        </w:trPr>
        <w:tc>
          <w:tcPr>
            <w:tcW w:w="1668" w:type="dxa"/>
          </w:tcPr>
          <w:p w:rsidR="00A43AE4" w:rsidRPr="00856D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56D4B">
              <w:t>Signatur</w:t>
            </w:r>
          </w:p>
        </w:tc>
        <w:tc>
          <w:tcPr>
            <w:tcW w:w="6721" w:type="dxa"/>
          </w:tcPr>
          <w:p w:rsidR="00A43AE4" w:rsidRPr="00856D4B" w:rsidRDefault="00856D4B" w:rsidP="00931B1F">
            <w:pPr>
              <w:pStyle w:val="70SignaturX"/>
            </w:pPr>
            <w:proofErr w:type="spellStart"/>
            <w:r w:rsidRPr="00856D4B">
              <w:t>StAZH</w:t>
            </w:r>
            <w:proofErr w:type="spellEnd"/>
            <w:r w:rsidRPr="00856D4B">
              <w:t xml:space="preserve"> MM 3.204 RRB 1994/1721</w:t>
            </w:r>
          </w:p>
        </w:tc>
      </w:tr>
      <w:tr w:rsidR="00A43AE4" w:rsidRPr="00856D4B" w:rsidTr="00C80ABA">
        <w:trPr>
          <w:trHeight w:val="454"/>
        </w:trPr>
        <w:tc>
          <w:tcPr>
            <w:tcW w:w="1668" w:type="dxa"/>
          </w:tcPr>
          <w:p w:rsidR="00A43AE4" w:rsidRPr="00856D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56D4B">
              <w:t>Titel</w:t>
            </w:r>
          </w:p>
        </w:tc>
        <w:tc>
          <w:tcPr>
            <w:tcW w:w="6721" w:type="dxa"/>
          </w:tcPr>
          <w:p w:rsidR="006C59EA" w:rsidRPr="00856D4B" w:rsidRDefault="00856D4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56D4B">
              <w:rPr>
                <w:rFonts w:ascii="Arial Black" w:hAnsi="Arial Black"/>
              </w:rPr>
              <w:t>Grundwasserrecht</w:t>
            </w:r>
          </w:p>
        </w:tc>
      </w:tr>
      <w:tr w:rsidR="00BC0931" w:rsidRPr="00856D4B" w:rsidTr="00C80ABA">
        <w:trPr>
          <w:trHeight w:val="454"/>
        </w:trPr>
        <w:tc>
          <w:tcPr>
            <w:tcW w:w="1668" w:type="dxa"/>
          </w:tcPr>
          <w:p w:rsidR="00BC0931" w:rsidRPr="00856D4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56D4B">
              <w:t>Datum</w:t>
            </w:r>
          </w:p>
        </w:tc>
        <w:tc>
          <w:tcPr>
            <w:tcW w:w="6721" w:type="dxa"/>
          </w:tcPr>
          <w:p w:rsidR="00BC0931" w:rsidRPr="00856D4B" w:rsidRDefault="00856D4B" w:rsidP="00931B1F">
            <w:pPr>
              <w:pStyle w:val="71DatumX"/>
            </w:pPr>
            <w:r w:rsidRPr="00856D4B">
              <w:t>15.06.1994</w:t>
            </w:r>
          </w:p>
        </w:tc>
      </w:tr>
      <w:tr w:rsidR="00A43AE4" w:rsidRPr="00856D4B" w:rsidTr="00C80ABA">
        <w:trPr>
          <w:trHeight w:val="454"/>
        </w:trPr>
        <w:tc>
          <w:tcPr>
            <w:tcW w:w="1668" w:type="dxa"/>
          </w:tcPr>
          <w:p w:rsidR="00A43AE4" w:rsidRPr="00856D4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56D4B">
              <w:t>P.</w:t>
            </w:r>
          </w:p>
        </w:tc>
        <w:tc>
          <w:tcPr>
            <w:tcW w:w="6721" w:type="dxa"/>
          </w:tcPr>
          <w:p w:rsidR="00A43AE4" w:rsidRPr="00856D4B" w:rsidRDefault="00856D4B" w:rsidP="00931B1F">
            <w:pPr>
              <w:pStyle w:val="00Vorgabetext"/>
            </w:pPr>
            <w:r w:rsidRPr="00856D4B">
              <w:t>773–774</w:t>
            </w:r>
          </w:p>
        </w:tc>
      </w:tr>
    </w:tbl>
    <w:p w:rsidR="00616641" w:rsidRPr="00856D4B" w:rsidRDefault="00616641" w:rsidP="0077655B">
      <w:pPr>
        <w:pStyle w:val="00Vorgabetext"/>
        <w:spacing w:before="0" w:after="60"/>
      </w:pPr>
    </w:p>
    <w:p w:rsidR="00856D4B" w:rsidRPr="00856D4B" w:rsidRDefault="00856D4B" w:rsidP="00856D4B">
      <w:pPr>
        <w:spacing w:before="60"/>
        <w:rPr>
          <w:rFonts w:cs="Arial"/>
        </w:rPr>
      </w:pPr>
      <w:bookmarkStart w:id="0" w:name="ContentText"/>
      <w:bookmarkEnd w:id="0"/>
      <w:r w:rsidRPr="00856D4B">
        <w:t>[</w:t>
      </w:r>
      <w:r w:rsidRPr="00856D4B">
        <w:rPr>
          <w:i/>
        </w:rPr>
        <w:t>p. 773</w:t>
      </w:r>
      <w:r w:rsidRPr="00856D4B">
        <w:t xml:space="preserve">] </w:t>
      </w:r>
      <w:r w:rsidRPr="00856D4B">
        <w:rPr>
          <w:rFonts w:cs="Arial"/>
        </w:rPr>
        <w:t xml:space="preserve">Mit RRB Nr. 890/1947 wurde der Wasserversorgungsgenossenschaft </w:t>
      </w:r>
      <w:proofErr w:type="spellStart"/>
      <w:r w:rsidRPr="00856D4B">
        <w:rPr>
          <w:rFonts w:cs="Arial"/>
        </w:rPr>
        <w:t>Gündisau</w:t>
      </w:r>
      <w:proofErr w:type="spellEnd"/>
      <w:r w:rsidRPr="00856D4B">
        <w:rPr>
          <w:rFonts w:cs="Arial"/>
        </w:rPr>
        <w:t xml:space="preserve"> das Recht verliehen, dem Grundwasserstrom von </w:t>
      </w:r>
      <w:proofErr w:type="spellStart"/>
      <w:r w:rsidRPr="00856D4B">
        <w:rPr>
          <w:rFonts w:cs="Arial"/>
        </w:rPr>
        <w:t>Gündisau</w:t>
      </w:r>
      <w:proofErr w:type="spellEnd"/>
      <w:r w:rsidRPr="00856D4B">
        <w:rPr>
          <w:rFonts w:cs="Arial"/>
        </w:rPr>
        <w:t xml:space="preserve"> südlich von </w:t>
      </w:r>
      <w:proofErr w:type="spellStart"/>
      <w:r w:rsidRPr="00856D4B">
        <w:rPr>
          <w:rFonts w:cs="Arial"/>
        </w:rPr>
        <w:t>Gündisau</w:t>
      </w:r>
      <w:proofErr w:type="spellEnd"/>
      <w:r w:rsidRPr="00856D4B">
        <w:rPr>
          <w:rFonts w:cs="Arial"/>
        </w:rPr>
        <w:t xml:space="preserve"> mit Filterbrunnen und Pumpanlage bis zu 250 l/min Wasser zu entnehmen und zu Trink- und Brauchzwecken zu verwenden. Dieses Recht ist auf den 1. Januar 1980 heimgefallen. Mit Schreiben vom 12. November 1993 ersuchte die Wasserversorgungsgenossenschaft um Erneuerung der Konzession und um eine Erhöhung der Entnahmemenge um 60 l/min, da das Amt für Gewässerschutz und Wasserbau bei einem Augenschein festgestellt hatte, dass die Pumpenleistung 340 l/min beträgt.</w:t>
      </w:r>
    </w:p>
    <w:p w:rsidR="00856D4B" w:rsidRPr="00856D4B" w:rsidRDefault="00856D4B" w:rsidP="00856D4B">
      <w:pPr>
        <w:spacing w:before="60"/>
        <w:rPr>
          <w:rFonts w:cs="Arial"/>
        </w:rPr>
      </w:pPr>
      <w:r w:rsidRPr="00856D4B">
        <w:rPr>
          <w:rFonts w:cs="Arial"/>
        </w:rPr>
        <w:t>Die Anlage entspricht nicht mehr den heutigen technischen und hygienischen Anforderungen. Es ist eine umfassende Sanierung von Gebäude und Pumpanlagen notwendig.</w:t>
      </w:r>
    </w:p>
    <w:p w:rsidR="00856D4B" w:rsidRPr="00856D4B" w:rsidRDefault="00856D4B" w:rsidP="00856D4B">
      <w:pPr>
        <w:spacing w:before="60"/>
        <w:rPr>
          <w:rFonts w:cs="Arial"/>
        </w:rPr>
      </w:pPr>
      <w:r w:rsidRPr="00856D4B">
        <w:rPr>
          <w:rFonts w:cs="Arial"/>
        </w:rPr>
        <w:t xml:space="preserve">Für die Grundwasserfassung </w:t>
      </w:r>
      <w:proofErr w:type="spellStart"/>
      <w:r w:rsidRPr="00856D4B">
        <w:rPr>
          <w:rFonts w:cs="Arial"/>
        </w:rPr>
        <w:t>Gündisau</w:t>
      </w:r>
      <w:proofErr w:type="spellEnd"/>
      <w:r w:rsidRPr="00856D4B">
        <w:rPr>
          <w:rFonts w:cs="Arial"/>
        </w:rPr>
        <w:t xml:space="preserve"> bestehen rechtskräftige Schutzzonen, welche mit Verfügung der Baudirektion Nr. 2862 vom 15. Dezember 1987 genehmigt worden sind.</w:t>
      </w:r>
    </w:p>
    <w:p w:rsidR="00856D4B" w:rsidRPr="00856D4B" w:rsidRDefault="00856D4B" w:rsidP="00856D4B">
      <w:pPr>
        <w:spacing w:before="60"/>
        <w:rPr>
          <w:rFonts w:cs="Arial"/>
        </w:rPr>
      </w:pPr>
      <w:r w:rsidRPr="00856D4B">
        <w:rPr>
          <w:rFonts w:cs="Arial"/>
        </w:rPr>
        <w:t>Die nach § 12 der Gebührenverordnung (</w:t>
      </w:r>
      <w:proofErr w:type="spellStart"/>
      <w:r w:rsidRPr="00856D4B">
        <w:rPr>
          <w:rFonts w:cs="Arial"/>
        </w:rPr>
        <w:t>GebührenVO</w:t>
      </w:r>
      <w:proofErr w:type="spellEnd"/>
      <w:r w:rsidRPr="00856D4B">
        <w:rPr>
          <w:rFonts w:cs="Arial"/>
        </w:rPr>
        <w:t xml:space="preserve">) zum Wasserwirtschaftsgesetz (WWG) zu bemessenden Gebühren sind nach konstanter Praxis bei erheblichem öffentlichem Interesse um die Hälfte zu ermässigen, und die Verleihungsgebühr ist zudem bei Konzessionserneuerung auf zwei Drittel zu ermässigen (§§ 4 und 11 </w:t>
      </w:r>
      <w:proofErr w:type="spellStart"/>
      <w:r w:rsidRPr="00856D4B">
        <w:rPr>
          <w:rFonts w:cs="Arial"/>
        </w:rPr>
        <w:t>GebührenVO</w:t>
      </w:r>
      <w:proofErr w:type="spellEnd"/>
      <w:r w:rsidRPr="00856D4B">
        <w:rPr>
          <w:rFonts w:cs="Arial"/>
        </w:rPr>
        <w:t>). Mit Verfügung Nr. 566/1975 wurde die Benützungsgebühr aufgrund von 280 l/min festgesetzt. Für die letzten fünf Jahre (1990 bis 1994) wird deshalb eine Nachgebühr erhoben (§ 47 Abs. 7 WWG). Demzufolge berechnen sich die Verleihungs-, Benützungs- und Nachgebühren wie 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383"/>
        <w:gridCol w:w="522"/>
      </w:tblGrid>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a) Verleihungsgebühr</w:t>
            </w:r>
          </w:p>
        </w:tc>
        <w:tc>
          <w:tcPr>
            <w:tcW w:w="0" w:type="auto"/>
            <w:shd w:val="clear" w:color="auto" w:fill="FFFFFF"/>
          </w:tcPr>
          <w:p w:rsidR="00856D4B" w:rsidRPr="00856D4B" w:rsidRDefault="00856D4B" w:rsidP="000A2F95">
            <w:pPr>
              <w:spacing w:before="60"/>
              <w:jc w:val="center"/>
              <w:rPr>
                <w:rFonts w:cs="Arial"/>
              </w:rPr>
            </w:pPr>
            <w:r w:rsidRPr="00856D4B">
              <w:rPr>
                <w:rFonts w:cs="Arial"/>
              </w:rPr>
              <w:t>Fr.</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340 l/min zu Fr. 3.60</w:t>
            </w:r>
          </w:p>
        </w:tc>
        <w:tc>
          <w:tcPr>
            <w:tcW w:w="0" w:type="auto"/>
            <w:shd w:val="clear" w:color="auto" w:fill="FFFFFF"/>
          </w:tcPr>
          <w:p w:rsidR="00856D4B" w:rsidRPr="00856D4B" w:rsidRDefault="00856D4B" w:rsidP="000A2F95">
            <w:pPr>
              <w:spacing w:before="60"/>
              <w:jc w:val="right"/>
              <w:rPr>
                <w:rFonts w:cs="Arial"/>
              </w:rPr>
            </w:pPr>
            <w:r w:rsidRPr="00856D4B">
              <w:rPr>
                <w:rFonts w:cs="Arial"/>
              </w:rPr>
              <w:t>1224</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abzüglich:</w:t>
            </w:r>
          </w:p>
          <w:p w:rsidR="00856D4B" w:rsidRPr="00856D4B" w:rsidRDefault="00856D4B" w:rsidP="000A2F95">
            <w:pPr>
              <w:spacing w:before="60"/>
              <w:rPr>
                <w:rFonts w:cs="Arial"/>
              </w:rPr>
            </w:pPr>
            <w:r w:rsidRPr="00856D4B">
              <w:rPr>
                <w:rFonts w:cs="Arial"/>
              </w:rPr>
              <w:t>50% für Nutzung im öffentlichen Interesse</w:t>
            </w:r>
          </w:p>
        </w:tc>
        <w:tc>
          <w:tcPr>
            <w:tcW w:w="0" w:type="auto"/>
            <w:shd w:val="clear" w:color="auto" w:fill="FFFFFF"/>
          </w:tcPr>
          <w:p w:rsidR="00856D4B" w:rsidRPr="00856D4B" w:rsidRDefault="00856D4B" w:rsidP="000A2F95">
            <w:pPr>
              <w:spacing w:before="60"/>
              <w:jc w:val="right"/>
              <w:rPr>
                <w:rFonts w:cs="Arial"/>
              </w:rPr>
            </w:pPr>
            <w:r w:rsidRPr="00856D4B">
              <w:rPr>
                <w:rFonts w:cs="Arial"/>
              </w:rPr>
              <w:t>- 612</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szCs w:val="10"/>
              </w:rPr>
            </w:pPr>
          </w:p>
        </w:tc>
        <w:tc>
          <w:tcPr>
            <w:tcW w:w="0" w:type="auto"/>
            <w:shd w:val="clear" w:color="auto" w:fill="FFFFFF"/>
          </w:tcPr>
          <w:p w:rsidR="00856D4B" w:rsidRPr="00856D4B" w:rsidRDefault="00856D4B" w:rsidP="000A2F95">
            <w:pPr>
              <w:spacing w:before="60"/>
              <w:jc w:val="right"/>
              <w:rPr>
                <w:rFonts w:cs="Arial"/>
              </w:rPr>
            </w:pPr>
            <w:r w:rsidRPr="00856D4B">
              <w:rPr>
                <w:rFonts w:cs="Arial"/>
              </w:rPr>
              <w:t>612</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 xml:space="preserve">Ansatz für Konzessionserneuerung </w:t>
            </w:r>
            <w:r w:rsidRPr="00856D4B">
              <w:rPr>
                <w:rFonts w:cs="Arial"/>
                <w:vertAlign w:val="superscript"/>
              </w:rPr>
              <w:t>2</w:t>
            </w:r>
            <w:r w:rsidRPr="00856D4B">
              <w:rPr>
                <w:rFonts w:cs="Arial"/>
              </w:rPr>
              <w:t>/</w:t>
            </w:r>
            <w:r w:rsidRPr="00856D4B">
              <w:rPr>
                <w:rFonts w:cs="Arial"/>
                <w:vertAlign w:val="subscript"/>
              </w:rPr>
              <w:t>3</w:t>
            </w:r>
            <w:r w:rsidRPr="00856D4B">
              <w:rPr>
                <w:rFonts w:cs="Arial"/>
              </w:rPr>
              <w:t xml:space="preserve"> davon</w:t>
            </w:r>
          </w:p>
        </w:tc>
        <w:tc>
          <w:tcPr>
            <w:tcW w:w="0" w:type="auto"/>
            <w:shd w:val="clear" w:color="auto" w:fill="FFFFFF"/>
          </w:tcPr>
          <w:p w:rsidR="00856D4B" w:rsidRPr="00856D4B" w:rsidRDefault="00856D4B" w:rsidP="000A2F95">
            <w:pPr>
              <w:spacing w:before="60"/>
              <w:jc w:val="right"/>
              <w:rPr>
                <w:rFonts w:cs="Arial"/>
              </w:rPr>
            </w:pPr>
            <w:r w:rsidRPr="00856D4B">
              <w:rPr>
                <w:rFonts w:cs="Arial"/>
              </w:rPr>
              <w:t>408</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b) Benützungsgebühr 340 l/min. zu Fr. 3.60</w:t>
            </w:r>
          </w:p>
        </w:tc>
        <w:tc>
          <w:tcPr>
            <w:tcW w:w="0" w:type="auto"/>
            <w:shd w:val="clear" w:color="auto" w:fill="FFFFFF"/>
          </w:tcPr>
          <w:p w:rsidR="00856D4B" w:rsidRPr="00856D4B" w:rsidRDefault="00856D4B" w:rsidP="000A2F95">
            <w:pPr>
              <w:spacing w:before="60"/>
              <w:jc w:val="right"/>
              <w:rPr>
                <w:rFonts w:cs="Arial"/>
              </w:rPr>
            </w:pPr>
            <w:r w:rsidRPr="00856D4B">
              <w:rPr>
                <w:rFonts w:cs="Arial"/>
              </w:rPr>
              <w:t>1224</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abzüglich:</w:t>
            </w:r>
          </w:p>
          <w:p w:rsidR="00856D4B" w:rsidRPr="00856D4B" w:rsidRDefault="00856D4B" w:rsidP="000A2F95">
            <w:pPr>
              <w:spacing w:before="60"/>
              <w:rPr>
                <w:rFonts w:cs="Arial"/>
              </w:rPr>
            </w:pPr>
            <w:r w:rsidRPr="00856D4B">
              <w:rPr>
                <w:rFonts w:cs="Arial"/>
              </w:rPr>
              <w:t>50% für Nutzung im öffentlichen Interesse</w:t>
            </w:r>
          </w:p>
        </w:tc>
        <w:tc>
          <w:tcPr>
            <w:tcW w:w="0" w:type="auto"/>
            <w:shd w:val="clear" w:color="auto" w:fill="FFFFFF"/>
          </w:tcPr>
          <w:p w:rsidR="00856D4B" w:rsidRPr="00856D4B" w:rsidRDefault="00856D4B" w:rsidP="000A2F95">
            <w:pPr>
              <w:spacing w:before="60"/>
              <w:jc w:val="right"/>
              <w:rPr>
                <w:rFonts w:cs="Arial"/>
              </w:rPr>
            </w:pPr>
            <w:r w:rsidRPr="00856D4B">
              <w:rPr>
                <w:rFonts w:cs="Arial"/>
              </w:rPr>
              <w:t>- 612</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szCs w:val="10"/>
              </w:rPr>
            </w:pPr>
          </w:p>
        </w:tc>
        <w:tc>
          <w:tcPr>
            <w:tcW w:w="0" w:type="auto"/>
            <w:shd w:val="clear" w:color="auto" w:fill="FFFFFF"/>
          </w:tcPr>
          <w:p w:rsidR="00856D4B" w:rsidRPr="00856D4B" w:rsidRDefault="00856D4B" w:rsidP="000A2F95">
            <w:pPr>
              <w:spacing w:before="60"/>
              <w:jc w:val="right"/>
              <w:rPr>
                <w:rFonts w:cs="Arial"/>
              </w:rPr>
            </w:pPr>
            <w:r w:rsidRPr="00856D4B">
              <w:rPr>
                <w:rFonts w:cs="Arial"/>
              </w:rPr>
              <w:t>612</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c) Nachgebühr</w:t>
            </w:r>
          </w:p>
          <w:p w:rsidR="00856D4B" w:rsidRPr="00856D4B" w:rsidRDefault="00856D4B" w:rsidP="000A2F95">
            <w:pPr>
              <w:spacing w:before="60"/>
              <w:rPr>
                <w:rFonts w:cs="Arial"/>
              </w:rPr>
            </w:pPr>
            <w:r w:rsidRPr="00856D4B">
              <w:rPr>
                <w:rFonts w:cs="Arial"/>
              </w:rPr>
              <w:t xml:space="preserve">1990 60 l/min zu Fr. 2.60 X </w:t>
            </w:r>
            <w:r w:rsidRPr="00856D4B">
              <w:rPr>
                <w:rFonts w:cs="Arial"/>
                <w:vertAlign w:val="superscript"/>
              </w:rPr>
              <w:t>1</w:t>
            </w:r>
            <w:r w:rsidRPr="00856D4B">
              <w:rPr>
                <w:rFonts w:cs="Arial"/>
              </w:rPr>
              <w:t>/</w:t>
            </w:r>
            <w:r w:rsidRPr="00856D4B">
              <w:rPr>
                <w:rFonts w:cs="Arial"/>
                <w:vertAlign w:val="subscript"/>
              </w:rPr>
              <w:t>2</w:t>
            </w:r>
            <w:r w:rsidRPr="00856D4B">
              <w:rPr>
                <w:rFonts w:cs="Arial"/>
              </w:rPr>
              <w:t xml:space="preserve"> x 1 J.</w:t>
            </w:r>
          </w:p>
        </w:tc>
        <w:tc>
          <w:tcPr>
            <w:tcW w:w="0" w:type="auto"/>
            <w:shd w:val="clear" w:color="auto" w:fill="FFFFFF"/>
          </w:tcPr>
          <w:p w:rsidR="00856D4B" w:rsidRPr="00856D4B" w:rsidRDefault="00856D4B" w:rsidP="000A2F95">
            <w:pPr>
              <w:spacing w:before="60"/>
              <w:jc w:val="right"/>
              <w:rPr>
                <w:rFonts w:cs="Arial"/>
              </w:rPr>
            </w:pPr>
            <w:r w:rsidRPr="00856D4B">
              <w:rPr>
                <w:rFonts w:cs="Arial"/>
              </w:rPr>
              <w:t>78</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lastRenderedPageBreak/>
              <w:t xml:space="preserve">1991, 1992 60 l/min zu Fr. 3.- x </w:t>
            </w:r>
            <w:r w:rsidRPr="00856D4B">
              <w:rPr>
                <w:rFonts w:cs="Arial"/>
                <w:vertAlign w:val="superscript"/>
              </w:rPr>
              <w:t>1</w:t>
            </w:r>
            <w:r w:rsidRPr="00856D4B">
              <w:rPr>
                <w:rFonts w:cs="Arial"/>
              </w:rPr>
              <w:t>/</w:t>
            </w:r>
            <w:r w:rsidRPr="00856D4B">
              <w:rPr>
                <w:rFonts w:cs="Arial"/>
                <w:vertAlign w:val="subscript"/>
              </w:rPr>
              <w:t>2</w:t>
            </w:r>
            <w:r w:rsidRPr="00856D4B">
              <w:rPr>
                <w:rFonts w:cs="Arial"/>
              </w:rPr>
              <w:t xml:space="preserve"> x 2 J.</w:t>
            </w:r>
          </w:p>
        </w:tc>
        <w:tc>
          <w:tcPr>
            <w:tcW w:w="0" w:type="auto"/>
            <w:shd w:val="clear" w:color="auto" w:fill="FFFFFF"/>
          </w:tcPr>
          <w:p w:rsidR="00856D4B" w:rsidRPr="00856D4B" w:rsidRDefault="00856D4B" w:rsidP="000A2F95">
            <w:pPr>
              <w:spacing w:before="60"/>
              <w:jc w:val="right"/>
              <w:rPr>
                <w:rFonts w:cs="Arial"/>
              </w:rPr>
            </w:pPr>
            <w:r w:rsidRPr="00856D4B">
              <w:rPr>
                <w:rFonts w:cs="Arial"/>
              </w:rPr>
              <w:t>180</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rPr>
            </w:pPr>
            <w:r w:rsidRPr="00856D4B">
              <w:rPr>
                <w:rFonts w:cs="Arial"/>
              </w:rPr>
              <w:t xml:space="preserve">1993, 1994 60 l/min zu Fr. 3.60 x </w:t>
            </w:r>
            <w:r w:rsidRPr="00856D4B">
              <w:rPr>
                <w:rFonts w:cs="Arial"/>
                <w:vertAlign w:val="superscript"/>
              </w:rPr>
              <w:t>1</w:t>
            </w:r>
            <w:r w:rsidRPr="00856D4B">
              <w:rPr>
                <w:rFonts w:cs="Arial"/>
              </w:rPr>
              <w:t>/</w:t>
            </w:r>
            <w:r w:rsidRPr="00856D4B">
              <w:rPr>
                <w:rFonts w:cs="Arial"/>
                <w:vertAlign w:val="subscript"/>
              </w:rPr>
              <w:t>2</w:t>
            </w:r>
            <w:r w:rsidRPr="00856D4B">
              <w:rPr>
                <w:rFonts w:cs="Arial"/>
              </w:rPr>
              <w:t xml:space="preserve"> x 2 J.</w:t>
            </w:r>
          </w:p>
        </w:tc>
        <w:tc>
          <w:tcPr>
            <w:tcW w:w="0" w:type="auto"/>
            <w:shd w:val="clear" w:color="auto" w:fill="FFFFFF"/>
          </w:tcPr>
          <w:p w:rsidR="00856D4B" w:rsidRPr="00856D4B" w:rsidRDefault="00856D4B" w:rsidP="000A2F95">
            <w:pPr>
              <w:spacing w:before="60"/>
              <w:jc w:val="right"/>
              <w:rPr>
                <w:rFonts w:cs="Arial"/>
              </w:rPr>
            </w:pPr>
            <w:r w:rsidRPr="00856D4B">
              <w:rPr>
                <w:rFonts w:cs="Arial"/>
              </w:rPr>
              <w:t>216</w:t>
            </w:r>
          </w:p>
        </w:tc>
      </w:tr>
      <w:tr w:rsidR="00856D4B" w:rsidRPr="00856D4B" w:rsidTr="000A2F95">
        <w:trPr>
          <w:trHeight w:val="283"/>
        </w:trPr>
        <w:tc>
          <w:tcPr>
            <w:tcW w:w="0" w:type="auto"/>
            <w:shd w:val="clear" w:color="auto" w:fill="FFFFFF"/>
          </w:tcPr>
          <w:p w:rsidR="00856D4B" w:rsidRPr="00856D4B" w:rsidRDefault="00856D4B" w:rsidP="000A2F95">
            <w:pPr>
              <w:spacing w:before="60"/>
              <w:rPr>
                <w:rFonts w:cs="Arial"/>
                <w:szCs w:val="10"/>
              </w:rPr>
            </w:pPr>
          </w:p>
        </w:tc>
        <w:tc>
          <w:tcPr>
            <w:tcW w:w="0" w:type="auto"/>
            <w:shd w:val="clear" w:color="auto" w:fill="FFFFFF"/>
          </w:tcPr>
          <w:p w:rsidR="00856D4B" w:rsidRPr="00856D4B" w:rsidRDefault="00856D4B" w:rsidP="000A2F95">
            <w:pPr>
              <w:spacing w:before="60"/>
              <w:jc w:val="right"/>
              <w:rPr>
                <w:rFonts w:cs="Arial"/>
              </w:rPr>
            </w:pPr>
            <w:r w:rsidRPr="00856D4B">
              <w:rPr>
                <w:rFonts w:cs="Arial"/>
              </w:rPr>
              <w:t>474</w:t>
            </w:r>
          </w:p>
        </w:tc>
      </w:tr>
    </w:tbl>
    <w:p w:rsidR="00856D4B" w:rsidRPr="00856D4B" w:rsidRDefault="00856D4B" w:rsidP="00856D4B">
      <w:pPr>
        <w:spacing w:before="60"/>
        <w:rPr>
          <w:rFonts w:cs="Arial"/>
        </w:rPr>
      </w:pPr>
      <w:r w:rsidRPr="00856D4B">
        <w:rPr>
          <w:rFonts w:cs="Arial"/>
        </w:rPr>
        <w:t xml:space="preserve">Auf die öffentliche Bekanntmachung des Gesuches hin sind gemäss Schreiben des Gemeinderates </w:t>
      </w:r>
      <w:proofErr w:type="spellStart"/>
      <w:r w:rsidRPr="00856D4B">
        <w:rPr>
          <w:rFonts w:cs="Arial"/>
        </w:rPr>
        <w:t>Russikon</w:t>
      </w:r>
      <w:proofErr w:type="spellEnd"/>
      <w:r w:rsidRPr="00856D4B">
        <w:rPr>
          <w:rFonts w:cs="Arial"/>
        </w:rPr>
        <w:t xml:space="preserve"> vom 9. März 1994 keine Einsprachen eingegangen. Die im Sinne der §§ 36f. und 70 WWG erforderliche Konzession kann unter Bedingungen verliehen werden.</w:t>
      </w:r>
    </w:p>
    <w:p w:rsidR="00856D4B" w:rsidRPr="00856D4B" w:rsidRDefault="00856D4B" w:rsidP="00856D4B">
      <w:pPr>
        <w:spacing w:before="60"/>
        <w:rPr>
          <w:rFonts w:cs="Arial"/>
        </w:rPr>
      </w:pPr>
      <w:r w:rsidRPr="00856D4B">
        <w:rPr>
          <w:rFonts w:cs="Arial"/>
        </w:rPr>
        <w:t>Auf Antrag der Direktion der öffentlichen Bauten</w:t>
      </w:r>
    </w:p>
    <w:p w:rsidR="00856D4B" w:rsidRPr="00856D4B" w:rsidRDefault="00856D4B" w:rsidP="00856D4B">
      <w:pPr>
        <w:spacing w:before="60"/>
        <w:jc w:val="center"/>
        <w:rPr>
          <w:rFonts w:cs="Arial"/>
        </w:rPr>
      </w:pPr>
      <w:r w:rsidRPr="00856D4B">
        <w:rPr>
          <w:rFonts w:cs="Arial"/>
        </w:rPr>
        <w:t>beschliesst der Regierungsrat:</w:t>
      </w:r>
    </w:p>
    <w:p w:rsidR="00856D4B" w:rsidRPr="00856D4B" w:rsidRDefault="00856D4B" w:rsidP="00856D4B">
      <w:pPr>
        <w:spacing w:before="60"/>
        <w:rPr>
          <w:rFonts w:cs="Arial"/>
        </w:rPr>
      </w:pPr>
      <w:r w:rsidRPr="00856D4B">
        <w:rPr>
          <w:rFonts w:cs="Arial"/>
        </w:rPr>
        <w:t xml:space="preserve">I. Der Wasserversorgungsgenossenschaft </w:t>
      </w:r>
      <w:proofErr w:type="spellStart"/>
      <w:r w:rsidRPr="00856D4B">
        <w:rPr>
          <w:rFonts w:cs="Arial"/>
        </w:rPr>
        <w:t>Gündisau</w:t>
      </w:r>
      <w:proofErr w:type="spellEnd"/>
      <w:r w:rsidRPr="00856D4B">
        <w:rPr>
          <w:rFonts w:cs="Arial"/>
        </w:rPr>
        <w:t xml:space="preserve"> wird das Recht verliehen, dem Grundwasserstrom von </w:t>
      </w:r>
      <w:proofErr w:type="spellStart"/>
      <w:r w:rsidRPr="00856D4B">
        <w:rPr>
          <w:rFonts w:cs="Arial"/>
        </w:rPr>
        <w:t>Gündisau</w:t>
      </w:r>
      <w:proofErr w:type="spellEnd"/>
      <w:r w:rsidRPr="00856D4B">
        <w:rPr>
          <w:rFonts w:cs="Arial"/>
        </w:rPr>
        <w:t xml:space="preserve"> mit Filterbrunnen und Pumpanlage im Grundstück Prot. Band 14, S. 416/417, bis zu 340 // [</w:t>
      </w:r>
      <w:r w:rsidRPr="00856D4B">
        <w:rPr>
          <w:rFonts w:cs="Arial"/>
          <w:i/>
        </w:rPr>
        <w:t>p. 774</w:t>
      </w:r>
      <w:r w:rsidR="00A27F68">
        <w:rPr>
          <w:rFonts w:cs="Arial"/>
        </w:rPr>
        <w:t>] l</w:t>
      </w:r>
      <w:bookmarkStart w:id="1" w:name="_GoBack"/>
      <w:bookmarkEnd w:id="1"/>
      <w:r w:rsidRPr="00856D4B">
        <w:rPr>
          <w:rFonts w:cs="Arial"/>
        </w:rPr>
        <w:t>/min Wasser zu entnehmen und in der Wasserversorgung zu Trink- und Brauchzwecken zu verwenden (GWR h 21 - 1).</w:t>
      </w:r>
    </w:p>
    <w:p w:rsidR="00856D4B" w:rsidRPr="00856D4B" w:rsidRDefault="00856D4B" w:rsidP="00856D4B">
      <w:pPr>
        <w:spacing w:before="60"/>
        <w:rPr>
          <w:rFonts w:cs="Arial"/>
        </w:rPr>
      </w:pPr>
      <w:r w:rsidRPr="00856D4B">
        <w:rPr>
          <w:rFonts w:cs="Arial"/>
        </w:rPr>
        <w:t>Massgebende Unterlagen:</w:t>
      </w:r>
    </w:p>
    <w:p w:rsidR="00856D4B" w:rsidRPr="00856D4B" w:rsidRDefault="00856D4B" w:rsidP="00856D4B">
      <w:pPr>
        <w:tabs>
          <w:tab w:val="left" w:pos="222"/>
        </w:tabs>
        <w:spacing w:before="60"/>
        <w:rPr>
          <w:rFonts w:cs="Arial"/>
        </w:rPr>
      </w:pPr>
      <w:r w:rsidRPr="00856D4B">
        <w:rPr>
          <w:rFonts w:cs="Arial"/>
        </w:rPr>
        <w:t>- Übersichtsplan 1:25 000 vom 11. Mai 1994</w:t>
      </w:r>
    </w:p>
    <w:p w:rsidR="00856D4B" w:rsidRPr="00856D4B" w:rsidRDefault="00856D4B" w:rsidP="00856D4B">
      <w:pPr>
        <w:tabs>
          <w:tab w:val="left" w:pos="226"/>
        </w:tabs>
        <w:spacing w:before="60"/>
        <w:rPr>
          <w:rFonts w:cs="Arial"/>
        </w:rPr>
      </w:pPr>
      <w:r w:rsidRPr="00856D4B">
        <w:rPr>
          <w:rFonts w:cs="Arial"/>
        </w:rPr>
        <w:t>- Situation 1: 3500 vom 3. Dezember 1993 Massgebende Bedingungen:</w:t>
      </w:r>
    </w:p>
    <w:p w:rsidR="00856D4B" w:rsidRPr="00856D4B" w:rsidRDefault="00856D4B" w:rsidP="00856D4B">
      <w:pPr>
        <w:tabs>
          <w:tab w:val="left" w:pos="255"/>
        </w:tabs>
        <w:spacing w:before="60"/>
        <w:rPr>
          <w:rFonts w:cs="Arial"/>
        </w:rPr>
      </w:pPr>
      <w:r w:rsidRPr="00856D4B">
        <w:rPr>
          <w:rFonts w:cs="Arial"/>
        </w:rPr>
        <w:t>1. Allgemeine Konzessionsbedingungen für Grundwasserrechte vom 4. Januar 1993.</w:t>
      </w:r>
    </w:p>
    <w:p w:rsidR="00856D4B" w:rsidRPr="00856D4B" w:rsidRDefault="00856D4B" w:rsidP="00856D4B">
      <w:pPr>
        <w:tabs>
          <w:tab w:val="left" w:pos="279"/>
        </w:tabs>
        <w:spacing w:before="60"/>
        <w:rPr>
          <w:rFonts w:cs="Arial"/>
        </w:rPr>
      </w:pPr>
      <w:r w:rsidRPr="00856D4B">
        <w:rPr>
          <w:rFonts w:cs="Arial"/>
        </w:rPr>
        <w:t>2. Die Anlage ist bis 31. Dezember 1998 vollständig zu sanieren. Bei Beginn der Planung ist mit dem Amt für Gewässerschutz und Wasserbau Kontakt aufzunehmen.</w:t>
      </w:r>
    </w:p>
    <w:p w:rsidR="00856D4B" w:rsidRPr="00856D4B" w:rsidRDefault="00856D4B" w:rsidP="00856D4B">
      <w:pPr>
        <w:tabs>
          <w:tab w:val="left" w:pos="542"/>
        </w:tabs>
        <w:spacing w:before="60"/>
        <w:rPr>
          <w:rFonts w:cs="Arial"/>
        </w:rPr>
      </w:pPr>
      <w:r w:rsidRPr="00856D4B">
        <w:rPr>
          <w:rFonts w:cs="Arial"/>
        </w:rPr>
        <w:t>II. Die Verleihung gemäss Dispositiv I erlischt am 31. Dezember 2014, sofern sie nicht auf rechtzeitiges Gesuch hin erneuert wird.</w:t>
      </w:r>
    </w:p>
    <w:p w:rsidR="00856D4B" w:rsidRPr="00856D4B" w:rsidRDefault="00856D4B" w:rsidP="00856D4B">
      <w:pPr>
        <w:tabs>
          <w:tab w:val="left" w:pos="606"/>
        </w:tabs>
        <w:spacing w:before="60"/>
        <w:rPr>
          <w:rFonts w:cs="Arial"/>
        </w:rPr>
      </w:pPr>
      <w:r w:rsidRPr="00856D4B">
        <w:rPr>
          <w:rFonts w:cs="Arial"/>
        </w:rPr>
        <w:t>III. Die einmalige Verleihungsgebühr beträgt Fr. 408. Die jährliche Nutzungsgebühr beträgt vorbehältlich neuer Gebührenordnung Fr. 612.</w:t>
      </w:r>
    </w:p>
    <w:p w:rsidR="00856D4B" w:rsidRPr="00856D4B" w:rsidRDefault="00856D4B" w:rsidP="00856D4B">
      <w:pPr>
        <w:spacing w:before="60"/>
        <w:rPr>
          <w:rFonts w:cs="Arial"/>
        </w:rPr>
      </w:pPr>
      <w:r w:rsidRPr="00856D4B">
        <w:rPr>
          <w:rFonts w:cs="Arial"/>
        </w:rPr>
        <w:t>Erstere ist zahlbar nach Erhalt der Rechnung (Konto 3015.4112.002, Konzessionen und Patente).</w:t>
      </w:r>
    </w:p>
    <w:p w:rsidR="00856D4B" w:rsidRPr="00856D4B" w:rsidRDefault="00856D4B" w:rsidP="00856D4B">
      <w:pPr>
        <w:spacing w:before="60"/>
        <w:rPr>
          <w:rFonts w:cs="Arial"/>
        </w:rPr>
      </w:pPr>
      <w:r w:rsidRPr="00856D4B">
        <w:rPr>
          <w:rFonts w:cs="Arial"/>
        </w:rPr>
        <w:t>Letztere ist jeweils fällig am 30. Juni, erstmals in diesem Betrag am 30. Juni 1995 (Konto 3015.4340.003, Grundwasserrechtszinse).</w:t>
      </w:r>
    </w:p>
    <w:p w:rsidR="00856D4B" w:rsidRPr="00856D4B" w:rsidRDefault="00856D4B" w:rsidP="00856D4B">
      <w:pPr>
        <w:tabs>
          <w:tab w:val="left" w:pos="606"/>
        </w:tabs>
        <w:spacing w:before="60"/>
        <w:rPr>
          <w:rFonts w:cs="Arial"/>
        </w:rPr>
      </w:pPr>
      <w:r w:rsidRPr="00856D4B">
        <w:rPr>
          <w:rFonts w:cs="Arial"/>
        </w:rPr>
        <w:t>IV. Die Nachgebühr für die erhöhte Grundwasserentnahme von 1990 bis 1994 beträgt im Sinne der Erwägungen Fr. 474 und ist fällig nach Erhalt der Rechnung (Konto 3015.4340.003, Grundwasserrechtszinse).</w:t>
      </w:r>
    </w:p>
    <w:p w:rsidR="00856D4B" w:rsidRPr="00856D4B" w:rsidRDefault="00856D4B" w:rsidP="00856D4B">
      <w:pPr>
        <w:tabs>
          <w:tab w:val="left" w:pos="601"/>
        </w:tabs>
        <w:spacing w:before="60"/>
        <w:rPr>
          <w:rFonts w:cs="Arial"/>
        </w:rPr>
      </w:pPr>
      <w:r w:rsidRPr="00856D4B">
        <w:rPr>
          <w:rFonts w:cs="Arial"/>
        </w:rPr>
        <w:t xml:space="preserve">V. Die Verleihung gemäss Dispositiv I und II ist am Grundbuchblatt Prot. Band 14, S. 416/417, </w:t>
      </w:r>
      <w:proofErr w:type="spellStart"/>
      <w:r w:rsidRPr="00856D4B">
        <w:rPr>
          <w:rFonts w:cs="Arial"/>
        </w:rPr>
        <w:t>Russikon</w:t>
      </w:r>
      <w:proofErr w:type="spellEnd"/>
      <w:r w:rsidRPr="00856D4B">
        <w:rPr>
          <w:rFonts w:cs="Arial"/>
        </w:rPr>
        <w:t xml:space="preserve">, als </w:t>
      </w:r>
      <w:proofErr w:type="spellStart"/>
      <w:r w:rsidRPr="00856D4B">
        <w:rPr>
          <w:rFonts w:cs="Arial"/>
        </w:rPr>
        <w:t>öffentlichrechtliche</w:t>
      </w:r>
      <w:proofErr w:type="spellEnd"/>
      <w:r w:rsidRPr="00856D4B">
        <w:rPr>
          <w:rFonts w:cs="Arial"/>
        </w:rPr>
        <w:t xml:space="preserve"> Eigentumsbeschränkung anzumerken.</w:t>
      </w:r>
    </w:p>
    <w:p w:rsidR="00856D4B" w:rsidRPr="00856D4B" w:rsidRDefault="00856D4B" w:rsidP="00856D4B">
      <w:pPr>
        <w:spacing w:before="60"/>
        <w:rPr>
          <w:rFonts w:cs="Arial"/>
        </w:rPr>
      </w:pPr>
      <w:r w:rsidRPr="00856D4B">
        <w:rPr>
          <w:rFonts w:cs="Arial"/>
        </w:rPr>
        <w:t>Das Grundbuchamt Pfäffikon wird eingeladen, diese Anmerkung nach Eintritt der Rechtskraft vorzunehmen und hierüber der Baudirektion (AGW) ein Zeugnis zuzustellen.</w:t>
      </w:r>
    </w:p>
    <w:p w:rsidR="00856D4B" w:rsidRPr="00856D4B" w:rsidRDefault="00856D4B" w:rsidP="00856D4B">
      <w:pPr>
        <w:tabs>
          <w:tab w:val="left" w:pos="639"/>
        </w:tabs>
        <w:spacing w:before="60"/>
        <w:rPr>
          <w:rFonts w:cs="Arial"/>
        </w:rPr>
      </w:pPr>
      <w:r w:rsidRPr="00856D4B">
        <w:rPr>
          <w:rFonts w:cs="Arial"/>
        </w:rPr>
        <w:t>VI. Die Staats- und Ausfertigungsgebühren fallen ausser Ansatz.</w:t>
      </w:r>
    </w:p>
    <w:p w:rsidR="00856D4B" w:rsidRPr="00856D4B" w:rsidRDefault="00856D4B" w:rsidP="00856D4B">
      <w:pPr>
        <w:tabs>
          <w:tab w:val="left" w:pos="678"/>
        </w:tabs>
        <w:spacing w:before="60"/>
        <w:rPr>
          <w:rFonts w:cs="Arial"/>
        </w:rPr>
      </w:pPr>
      <w:r w:rsidRPr="00856D4B">
        <w:rPr>
          <w:rFonts w:cs="Arial"/>
        </w:rPr>
        <w:t>VII.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856D4B" w:rsidRPr="00856D4B" w:rsidRDefault="00856D4B" w:rsidP="00856D4B">
      <w:pPr>
        <w:pStyle w:val="00Vorgabetext"/>
        <w:keepNext/>
        <w:keepLines/>
        <w:rPr>
          <w:rFonts w:cs="Arial"/>
        </w:rPr>
      </w:pPr>
      <w:r w:rsidRPr="00856D4B">
        <w:rPr>
          <w:rFonts w:cs="Arial"/>
        </w:rPr>
        <w:lastRenderedPageBreak/>
        <w:t xml:space="preserve">VIII. Mitteilung an die Wasserversorgungsgenossenschaft </w:t>
      </w:r>
      <w:proofErr w:type="spellStart"/>
      <w:r w:rsidRPr="00856D4B">
        <w:rPr>
          <w:rFonts w:cs="Arial"/>
        </w:rPr>
        <w:t>Gündisau</w:t>
      </w:r>
      <w:proofErr w:type="spellEnd"/>
      <w:r w:rsidRPr="00856D4B">
        <w:rPr>
          <w:rFonts w:cs="Arial"/>
        </w:rPr>
        <w:t xml:space="preserve"> (Präsident: Urs </w:t>
      </w:r>
      <w:proofErr w:type="spellStart"/>
      <w:r w:rsidRPr="00856D4B">
        <w:rPr>
          <w:rFonts w:cs="Arial"/>
        </w:rPr>
        <w:t>Digion</w:t>
      </w:r>
      <w:proofErr w:type="spellEnd"/>
      <w:r w:rsidRPr="00856D4B">
        <w:rPr>
          <w:rFonts w:cs="Arial"/>
        </w:rPr>
        <w:t xml:space="preserve">, Schulhaus </w:t>
      </w:r>
      <w:proofErr w:type="spellStart"/>
      <w:r w:rsidRPr="00856D4B">
        <w:rPr>
          <w:rFonts w:cs="Arial"/>
        </w:rPr>
        <w:t>Gündisau</w:t>
      </w:r>
      <w:proofErr w:type="spellEnd"/>
      <w:r w:rsidRPr="00856D4B">
        <w:rPr>
          <w:rFonts w:cs="Arial"/>
        </w:rPr>
        <w:t xml:space="preserve">, 8322 </w:t>
      </w:r>
      <w:proofErr w:type="spellStart"/>
      <w:r w:rsidRPr="00856D4B">
        <w:rPr>
          <w:rFonts w:cs="Arial"/>
        </w:rPr>
        <w:t>Madetswil</w:t>
      </w:r>
      <w:proofErr w:type="spellEnd"/>
      <w:r w:rsidRPr="00856D4B">
        <w:rPr>
          <w:rFonts w:cs="Arial"/>
        </w:rPr>
        <w:t xml:space="preserve">), den Gemeinderat </w:t>
      </w:r>
      <w:proofErr w:type="spellStart"/>
      <w:r w:rsidRPr="00856D4B">
        <w:rPr>
          <w:rFonts w:cs="Arial"/>
        </w:rPr>
        <w:t>Russikon</w:t>
      </w:r>
      <w:proofErr w:type="spellEnd"/>
      <w:r w:rsidRPr="00856D4B">
        <w:rPr>
          <w:rFonts w:cs="Arial"/>
        </w:rPr>
        <w:t xml:space="preserve">, 8332 </w:t>
      </w:r>
      <w:proofErr w:type="spellStart"/>
      <w:r w:rsidRPr="00856D4B">
        <w:rPr>
          <w:rFonts w:cs="Arial"/>
        </w:rPr>
        <w:t>Russikon</w:t>
      </w:r>
      <w:proofErr w:type="spellEnd"/>
      <w:r w:rsidRPr="00856D4B">
        <w:rPr>
          <w:rFonts w:cs="Arial"/>
        </w:rPr>
        <w:t xml:space="preserve">, nach Eintritt der Rechtskraft an das Grundbuchamt Pfäffikon, </w:t>
      </w:r>
      <w:proofErr w:type="spellStart"/>
      <w:r w:rsidRPr="00856D4B">
        <w:rPr>
          <w:rFonts w:cs="Arial"/>
        </w:rPr>
        <w:t>Büelstrasse</w:t>
      </w:r>
      <w:proofErr w:type="spellEnd"/>
      <w:r w:rsidRPr="00856D4B">
        <w:rPr>
          <w:rFonts w:cs="Arial"/>
        </w:rPr>
        <w:t xml:space="preserve"> 32, 8330 Pfäffikon (gilt als Anmeldung zur Anmerkung im Grundbuch), sowie an die Direktionen des Gesundheitswesens und der öffentlichen Bauten.</w:t>
      </w:r>
    </w:p>
    <w:p w:rsidR="00856D4B" w:rsidRPr="00856D4B" w:rsidRDefault="00856D4B" w:rsidP="00856D4B">
      <w:pPr>
        <w:pStyle w:val="00Vorgabetext"/>
        <w:keepNext/>
        <w:keepLines/>
        <w:rPr>
          <w:rFonts w:cs="Arial"/>
        </w:rPr>
      </w:pPr>
    </w:p>
    <w:p w:rsidR="00856D4B" w:rsidRPr="00856D4B" w:rsidRDefault="00856D4B" w:rsidP="00856D4B">
      <w:pPr>
        <w:pStyle w:val="00Vorgabetext"/>
        <w:keepNext/>
        <w:keepLines/>
        <w:rPr>
          <w:rFonts w:cs="Arial"/>
        </w:rPr>
      </w:pPr>
    </w:p>
    <w:p w:rsidR="00BE768B" w:rsidRPr="00856D4B" w:rsidRDefault="00856D4B" w:rsidP="00856D4B">
      <w:pPr>
        <w:pStyle w:val="00Vorgabetext"/>
        <w:keepNext/>
        <w:keepLines/>
      </w:pPr>
      <w:r w:rsidRPr="00856D4B">
        <w:rPr>
          <w:rFonts w:cs="Arial"/>
        </w:rPr>
        <w:t>[</w:t>
      </w:r>
      <w:r w:rsidRPr="00856D4B">
        <w:rPr>
          <w:rFonts w:cs="Arial"/>
          <w:i/>
        </w:rPr>
        <w:t xml:space="preserve">Transkript: OCR (Überarbeitung: Team </w:t>
      </w:r>
      <w:proofErr w:type="gramStart"/>
      <w:r w:rsidRPr="00856D4B">
        <w:rPr>
          <w:rFonts w:cs="Arial"/>
          <w:i/>
        </w:rPr>
        <w:t>TKR)/</w:t>
      </w:r>
      <w:proofErr w:type="gramEnd"/>
      <w:r w:rsidRPr="00856D4B">
        <w:rPr>
          <w:rFonts w:cs="Arial"/>
          <w:i/>
        </w:rPr>
        <w:t>14.09.2017</w:t>
      </w:r>
      <w:r w:rsidRPr="00856D4B">
        <w:rPr>
          <w:rFonts w:cs="Arial"/>
        </w:rPr>
        <w:t xml:space="preserve">] </w:t>
      </w:r>
    </w:p>
    <w:sectPr w:rsidR="00BE768B" w:rsidRPr="00856D4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D4B" w:rsidRDefault="00856D4B">
      <w:r>
        <w:separator/>
      </w:r>
    </w:p>
    <w:p w:rsidR="00856D4B" w:rsidRDefault="00856D4B"/>
    <w:p w:rsidR="00856D4B" w:rsidRDefault="00856D4B"/>
  </w:endnote>
  <w:endnote w:type="continuationSeparator" w:id="0">
    <w:p w:rsidR="00856D4B" w:rsidRDefault="00856D4B">
      <w:r>
        <w:continuationSeparator/>
      </w:r>
    </w:p>
    <w:p w:rsidR="00856D4B" w:rsidRDefault="00856D4B"/>
    <w:p w:rsidR="00856D4B" w:rsidRDefault="00856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D4B" w:rsidRDefault="00856D4B">
      <w:r>
        <w:separator/>
      </w:r>
    </w:p>
    <w:p w:rsidR="00856D4B" w:rsidRDefault="00856D4B"/>
    <w:p w:rsidR="00856D4B" w:rsidRDefault="00856D4B"/>
  </w:footnote>
  <w:footnote w:type="continuationSeparator" w:id="0">
    <w:p w:rsidR="00856D4B" w:rsidRDefault="00856D4B">
      <w:r>
        <w:continuationSeparator/>
      </w:r>
    </w:p>
    <w:p w:rsidR="00856D4B" w:rsidRDefault="00856D4B"/>
    <w:p w:rsidR="00856D4B" w:rsidRDefault="00856D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A27F68">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27F68">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A27F68">
        <w:rPr>
          <w:noProof/>
        </w:rPr>
        <w:t>StAZH MM 3.204 RRB 1994/1721</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A27F68">
        <w:rPr>
          <w:noProof/>
        </w:rPr>
        <w:t>15.06.1994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27F6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4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56D4B"/>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27F68"/>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F025FF"/>
  <w15:docId w15:val="{3DA948BD-9E45-4BA0-AE8F-C903BF4F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56D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D0600-CF57-40BF-A2F9-1CB20E1C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703</Words>
  <Characters>4318</Characters>
  <Application>Microsoft Office Word</Application>
  <DocSecurity>0</DocSecurity>
  <PresentationFormat/>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dc:subject>
  <dc:creator>Staatsarchiv des Kantons Zürich</dc:creator>
  <cp:lastModifiedBy>B106T10 MitarbeiterIn Temporär</cp:lastModifiedBy>
  <cp:revision>2</cp:revision>
  <cp:lastPrinted>2012-06-15T14:37:00Z</cp:lastPrinted>
  <dcterms:created xsi:type="dcterms:W3CDTF">2017-09-14T06:55:00Z</dcterms:created>
  <dcterms:modified xsi:type="dcterms:W3CDTF">2018-09-14T09:03:00Z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