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91094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3.17 RRB 1903/0584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9109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Flußkorrektionen</w:t>
            </w:r>
            <w:proofErr w:type="spellEnd"/>
            <w:r>
              <w:rPr>
                <w:rFonts w:ascii="Arial Black" w:hAnsi="Arial Black"/>
              </w:rPr>
              <w:t>, Steinlieferungen.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91094" w:rsidP="00931B1F">
            <w:pPr>
              <w:pStyle w:val="71DatumX"/>
            </w:pPr>
            <w:r>
              <w:t>26.03.1903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91094" w:rsidP="00931B1F">
            <w:pPr>
              <w:pStyle w:val="00Vorgabetext"/>
            </w:pPr>
            <w:r>
              <w:t>221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91094" w:rsidRPr="00153EB0" w:rsidRDefault="00691094" w:rsidP="00691094">
      <w:pPr>
        <w:tabs>
          <w:tab w:val="left" w:pos="976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91094">
        <w:rPr>
          <w:i/>
        </w:rPr>
        <w:t>p. 221</w:t>
      </w:r>
      <w:r w:rsidRPr="00691094">
        <w:t>]</w:t>
      </w:r>
      <w:r w:rsidRPr="00153EB0">
        <w:rPr>
          <w:rFonts w:cs="Arial"/>
        </w:rPr>
        <w:t xml:space="preserve"> Für</w:t>
      </w:r>
    </w:p>
    <w:p w:rsidR="00691094" w:rsidRPr="00153EB0" w:rsidRDefault="00691094" w:rsidP="00691094">
      <w:pPr>
        <w:spacing w:before="60"/>
        <w:rPr>
          <w:rFonts w:cs="Arial"/>
        </w:rPr>
      </w:pPr>
      <w:r w:rsidRPr="00153EB0">
        <w:rPr>
          <w:rFonts w:cs="Arial"/>
        </w:rPr>
        <w:t xml:space="preserve">die Vervollständigung des Uferschutzes durch Steinwurf und Pflasterung bedarf die Rhein-, </w:t>
      </w:r>
      <w:proofErr w:type="spellStart"/>
      <w:r w:rsidRPr="00153EB0">
        <w:rPr>
          <w:rFonts w:cs="Arial"/>
        </w:rPr>
        <w:t>Thur</w:t>
      </w:r>
      <w:proofErr w:type="spellEnd"/>
      <w:r w:rsidRPr="00153EB0">
        <w:rPr>
          <w:rFonts w:cs="Arial"/>
        </w:rPr>
        <w:t xml:space="preserve">- und </w:t>
      </w:r>
      <w:proofErr w:type="spellStart"/>
      <w:r w:rsidRPr="00153EB0">
        <w:rPr>
          <w:rFonts w:cs="Arial"/>
        </w:rPr>
        <w:t>Tößkorrektion</w:t>
      </w:r>
      <w:proofErr w:type="spellEnd"/>
      <w:r w:rsidRPr="00153EB0">
        <w:rPr>
          <w:rFonts w:cs="Arial"/>
        </w:rPr>
        <w:t xml:space="preserve"> pro Baujahr 1903 einer Lieferung von rund 7000 Tonnen Steine.</w:t>
      </w:r>
    </w:p>
    <w:p w:rsidR="00691094" w:rsidRPr="00153EB0" w:rsidRDefault="00691094" w:rsidP="00691094">
      <w:pPr>
        <w:spacing w:before="60"/>
        <w:rPr>
          <w:rFonts w:cs="Arial"/>
        </w:rPr>
      </w:pPr>
      <w:r w:rsidRPr="00153EB0">
        <w:rPr>
          <w:rFonts w:cs="Arial"/>
        </w:rPr>
        <w:t>Die Lieferung dieses Bedarfes wurde am 14. Februar 1903 öffentlich zur Konkurrenz ausgeschrieben, und es sind bis zum Eingabetermin, den 1. März 1903, folgende Offerten bei der Baudirektion eingegangen, nämlich:</w:t>
      </w:r>
    </w:p>
    <w:tbl>
      <w:tblPr>
        <w:tblOverlap w:val="never"/>
        <w:tblW w:w="80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"/>
        <w:gridCol w:w="1999"/>
        <w:gridCol w:w="1933"/>
        <w:gridCol w:w="525"/>
        <w:gridCol w:w="493"/>
        <w:gridCol w:w="564"/>
        <w:gridCol w:w="607"/>
        <w:gridCol w:w="511"/>
        <w:gridCol w:w="607"/>
        <w:gridCol w:w="607"/>
      </w:tblGrid>
      <w:tr w:rsidR="00691094" w:rsidRPr="00153EB0" w:rsidTr="0000351F">
        <w:trPr>
          <w:cantSplit/>
          <w:trHeight w:val="246"/>
        </w:trPr>
        <w:tc>
          <w:tcPr>
            <w:tcW w:w="0" w:type="auto"/>
            <w:shd w:val="clear" w:color="auto" w:fill="FFFFFF"/>
          </w:tcPr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Ankaufspreis</w:t>
            </w:r>
          </w:p>
        </w:tc>
        <w:tc>
          <w:tcPr>
            <w:tcW w:w="0" w:type="auto"/>
            <w:shd w:val="clear" w:color="auto" w:fill="FFFFFF"/>
            <w:textDirection w:val="btLr"/>
          </w:tcPr>
          <w:p w:rsidR="00691094" w:rsidRPr="00153EB0" w:rsidRDefault="00691094" w:rsidP="000D3853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gridSpan w:val="4"/>
            <w:shd w:val="pct15" w:color="auto" w:fill="FFFFFF"/>
          </w:tcPr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Preis auf</w:t>
            </w:r>
          </w:p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der Abnahmestation</w:t>
            </w:r>
          </w:p>
          <w:p w:rsidR="00691094" w:rsidRPr="00153EB0" w:rsidRDefault="00691094" w:rsidP="000D3853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pro Tonne</w:t>
            </w:r>
          </w:p>
        </w:tc>
      </w:tr>
      <w:tr w:rsidR="00581949" w:rsidRPr="00153EB0" w:rsidTr="00BA65FC">
        <w:trPr>
          <w:cantSplit/>
          <w:trHeight w:val="985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bookmarkStart w:id="1" w:name="_GoBack" w:colFirst="5" w:colLast="5"/>
            <w:r w:rsidRPr="00153EB0">
              <w:rPr>
                <w:rFonts w:cs="Arial"/>
                <w:sz w:val="14"/>
                <w:szCs w:val="14"/>
              </w:rPr>
              <w:t>Nr.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Name.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Abgangsstation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(resp. Landungsplatz)</w:t>
            </w:r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pro Tonne </w:t>
            </w:r>
          </w:p>
          <w:p w:rsidR="00581949" w:rsidRPr="00153EB0" w:rsidRDefault="00581949" w:rsidP="00581949">
            <w:pPr>
              <w:tabs>
                <w:tab w:val="left" w:leader="underscore" w:pos="768"/>
              </w:tabs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pro m</w:t>
            </w:r>
            <w:r w:rsidRPr="00153EB0">
              <w:rPr>
                <w:rFonts w:cs="Arial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Preis pro m3 Depotplatz </w:t>
            </w:r>
            <w:proofErr w:type="spellStart"/>
            <w:r w:rsidRPr="00153EB0">
              <w:rPr>
                <w:rFonts w:cs="Arial"/>
                <w:sz w:val="14"/>
                <w:szCs w:val="14"/>
              </w:rPr>
              <w:t>Thurmündung</w:t>
            </w:r>
            <w:proofErr w:type="spellEnd"/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Andelfingen</w:t>
            </w:r>
            <w:proofErr w:type="spellEnd"/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Ossingen</w:t>
            </w:r>
            <w:proofErr w:type="spellEnd"/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Winterthur</w:t>
            </w:r>
          </w:p>
        </w:tc>
        <w:tc>
          <w:tcPr>
            <w:tcW w:w="0" w:type="auto"/>
            <w:shd w:val="clear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Töss</w:t>
            </w:r>
            <w:proofErr w:type="spellEnd"/>
          </w:p>
        </w:tc>
      </w:tr>
      <w:bookmarkEnd w:id="1"/>
      <w:tr w:rsidR="00581949" w:rsidRPr="00153EB0" w:rsidTr="0000351F">
        <w:trPr>
          <w:cantSplit/>
          <w:trHeight w:val="246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Bedarf: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400 m</w:t>
            </w:r>
            <w:r w:rsidRPr="00153EB0">
              <w:rPr>
                <w:rFonts w:cs="Arial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1500 </w:t>
            </w:r>
            <w:r w:rsidRPr="00153EB0">
              <w:rPr>
                <w:rFonts w:cs="Arial"/>
                <w:sz w:val="14"/>
                <w:szCs w:val="14"/>
                <w:lang w:eastAsia="fr-FR" w:bidi="fr-FR"/>
              </w:rPr>
              <w:t>T.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500 T.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2200 T.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1000 T.</w:t>
            </w:r>
          </w:p>
        </w:tc>
      </w:tr>
      <w:tr w:rsidR="00581949" w:rsidRPr="00153EB0" w:rsidTr="0000351F">
        <w:trPr>
          <w:cantSplit/>
          <w:trHeight w:val="246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Lägernbruch</w:t>
            </w:r>
            <w:proofErr w:type="spellEnd"/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Regensberg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Steinmaur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2. 20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4. 60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4 80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4.20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4. 20</w:t>
            </w:r>
          </w:p>
        </w:tc>
      </w:tr>
      <w:tr w:rsidR="00581949" w:rsidRPr="00153EB0" w:rsidTr="0000351F">
        <w:trPr>
          <w:cantSplit/>
          <w:trHeight w:val="246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Moser-Moser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Neukausen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153EB0">
              <w:rPr>
                <w:rFonts w:cs="Arial"/>
                <w:sz w:val="14"/>
                <w:szCs w:val="14"/>
              </w:rPr>
              <w:t>Reinau</w:t>
            </w:r>
            <w:proofErr w:type="spellEnd"/>
            <w:proofErr w:type="gramStart"/>
            <w:r w:rsidRPr="00153EB0">
              <w:rPr>
                <w:rFonts w:cs="Arial"/>
                <w:sz w:val="14"/>
                <w:szCs w:val="14"/>
              </w:rPr>
              <w:t>) .</w:t>
            </w:r>
            <w:proofErr w:type="gramEnd"/>
            <w:r w:rsidRPr="00153EB0">
              <w:rPr>
                <w:rFonts w:cs="Arial"/>
                <w:sz w:val="14"/>
                <w:szCs w:val="14"/>
              </w:rPr>
              <w:t xml:space="preserve"> 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6.50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  <w:vertAlign w:val="superscript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8 </w:t>
            </w:r>
            <w:r w:rsidRPr="00153EB0">
              <w:rPr>
                <w:rFonts w:cs="Arial"/>
                <w:sz w:val="14"/>
                <w:szCs w:val="14"/>
                <w:vertAlign w:val="superscript"/>
              </w:rPr>
              <w:t>70*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  <w:vertAlign w:val="superscript"/>
              </w:rPr>
              <w:t>80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</w:tc>
      </w:tr>
      <w:tr w:rsidR="00581949" w:rsidRPr="00153EB0" w:rsidTr="0000351F">
        <w:trPr>
          <w:cantSplit/>
          <w:trHeight w:val="246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3.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Ernst </w:t>
            </w:r>
            <w:proofErr w:type="spellStart"/>
            <w:r w:rsidRPr="00153EB0">
              <w:rPr>
                <w:rFonts w:cs="Arial"/>
                <w:sz w:val="14"/>
                <w:szCs w:val="14"/>
              </w:rPr>
              <w:t>Jestetten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Jestetten</w:t>
            </w:r>
            <w:proofErr w:type="spellEnd"/>
            <w:r w:rsidRPr="00153EB0">
              <w:rPr>
                <w:rFonts w:cs="Arial"/>
                <w:sz w:val="14"/>
                <w:szCs w:val="14"/>
              </w:rPr>
              <w:t xml:space="preserve"> und </w:t>
            </w:r>
            <w:proofErr w:type="gramStart"/>
            <w:r w:rsidRPr="00153EB0">
              <w:rPr>
                <w:rFonts w:cs="Arial"/>
                <w:sz w:val="14"/>
                <w:szCs w:val="14"/>
              </w:rPr>
              <w:t>Rheinau .</w:t>
            </w:r>
            <w:proofErr w:type="gramEnd"/>
            <w:r w:rsidRPr="00153EB0">
              <w:rPr>
                <w:rFonts w:cs="Arial"/>
                <w:sz w:val="14"/>
                <w:szCs w:val="14"/>
              </w:rPr>
              <w:t xml:space="preserve"> 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1.85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6.80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  <w:vertAlign w:val="superscript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9 </w:t>
            </w:r>
            <w:r w:rsidRPr="00153EB0">
              <w:rPr>
                <w:rFonts w:cs="Arial"/>
                <w:sz w:val="14"/>
                <w:szCs w:val="14"/>
                <w:vertAlign w:val="superscript"/>
              </w:rPr>
              <w:t>00*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  <w:vertAlign w:val="superscript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3.45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4.15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4. 05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3.95</w:t>
            </w:r>
          </w:p>
        </w:tc>
      </w:tr>
      <w:tr w:rsidR="00581949" w:rsidRPr="00153EB0" w:rsidTr="00C84893">
        <w:trPr>
          <w:cantSplit/>
          <w:trHeight w:val="1014"/>
        </w:trPr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5.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6.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7.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Cencic</w:t>
            </w:r>
            <w:proofErr w:type="spellEnd"/>
            <w:r w:rsidRPr="00153EB0">
              <w:rPr>
                <w:rFonts w:cs="Arial"/>
                <w:sz w:val="14"/>
                <w:szCs w:val="14"/>
              </w:rPr>
              <w:t xml:space="preserve"> Brunnen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  <w:lang w:eastAsia="fr-FR" w:bidi="fr-FR"/>
              </w:rPr>
              <w:t xml:space="preserve">Rossi </w:t>
            </w:r>
            <w:r w:rsidRPr="00153EB0">
              <w:rPr>
                <w:rFonts w:cs="Arial"/>
                <w:sz w:val="14"/>
                <w:szCs w:val="14"/>
              </w:rPr>
              <w:t>Schaffhausen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Baumann</w:t>
            </w:r>
            <w:proofErr w:type="gramStart"/>
            <w:r w:rsidRPr="00153EB0">
              <w:rPr>
                <w:rFonts w:cs="Arial"/>
                <w:sz w:val="14"/>
                <w:szCs w:val="14"/>
              </w:rPr>
              <w:t xml:space="preserve"> ..</w:t>
            </w:r>
            <w:proofErr w:type="gramEnd"/>
            <w:r w:rsidRPr="00153EB0">
              <w:rPr>
                <w:rFonts w:cs="Arial"/>
                <w:sz w:val="14"/>
                <w:szCs w:val="14"/>
              </w:rPr>
              <w:t xml:space="preserve"> Schaffhausen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Meier </w:t>
            </w:r>
            <w:proofErr w:type="spellStart"/>
            <w:r w:rsidRPr="00153EB0">
              <w:rPr>
                <w:rFonts w:cs="Arial"/>
                <w:sz w:val="14"/>
                <w:szCs w:val="14"/>
              </w:rPr>
              <w:t>Würenlingen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Brunnen oder </w:t>
            </w:r>
            <w:proofErr w:type="gramStart"/>
            <w:r w:rsidRPr="00153EB0">
              <w:rPr>
                <w:rFonts w:cs="Arial"/>
                <w:sz w:val="14"/>
                <w:szCs w:val="14"/>
              </w:rPr>
              <w:t>Luzern .</w:t>
            </w:r>
            <w:proofErr w:type="gramEnd"/>
            <w:r w:rsidRPr="00153EB0">
              <w:rPr>
                <w:rFonts w:cs="Arial"/>
                <w:sz w:val="14"/>
                <w:szCs w:val="14"/>
              </w:rPr>
              <w:t xml:space="preserve"> 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Schaffhausen.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Schaffhausen.</w:t>
            </w:r>
          </w:p>
          <w:p w:rsidR="00581949" w:rsidRPr="00153EB0" w:rsidRDefault="00581949" w:rsidP="00581949">
            <w:pPr>
              <w:spacing w:before="60"/>
              <w:rPr>
                <w:rFonts w:cs="Arial"/>
                <w:sz w:val="14"/>
                <w:szCs w:val="14"/>
              </w:rPr>
            </w:pPr>
            <w:proofErr w:type="spellStart"/>
            <w:r w:rsidRPr="00153EB0">
              <w:rPr>
                <w:rFonts w:cs="Arial"/>
                <w:sz w:val="14"/>
                <w:szCs w:val="14"/>
              </w:rPr>
              <w:t>Siggenthal</w:t>
            </w:r>
            <w:proofErr w:type="spellEnd"/>
            <w:r w:rsidRPr="00153EB0">
              <w:rPr>
                <w:rFonts w:cs="Arial"/>
                <w:sz w:val="14"/>
                <w:szCs w:val="14"/>
              </w:rPr>
              <w:t xml:space="preserve"> .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2. 80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2. 20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2.25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2.-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pct15" w:color="auto" w:fill="FFFFFF"/>
            <w:textDirection w:val="btLr"/>
          </w:tcPr>
          <w:p w:rsidR="00581949" w:rsidRPr="00153EB0" w:rsidRDefault="00581949" w:rsidP="00581949">
            <w:pPr>
              <w:spacing w:before="60"/>
              <w:ind w:left="113" w:right="113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Laut verbindlicher Offerte der Schiffsleute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7.20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3. 60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3. 65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5.10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7. 40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4. 20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4. 25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 xml:space="preserve">5.30 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6. 00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4.20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4.25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4.70</w:t>
            </w:r>
          </w:p>
        </w:tc>
        <w:tc>
          <w:tcPr>
            <w:tcW w:w="0" w:type="auto"/>
            <w:shd w:val="clear" w:color="auto" w:fill="FFFFFF"/>
          </w:tcPr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6.90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4.30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 35'</w:t>
            </w:r>
          </w:p>
          <w:p w:rsidR="00581949" w:rsidRPr="00153EB0" w:rsidRDefault="00581949" w:rsidP="00581949">
            <w:pPr>
              <w:spacing w:before="60"/>
              <w:jc w:val="right"/>
              <w:rPr>
                <w:rFonts w:cs="Arial"/>
                <w:sz w:val="14"/>
                <w:szCs w:val="14"/>
              </w:rPr>
            </w:pPr>
            <w:r w:rsidRPr="00153EB0">
              <w:rPr>
                <w:rFonts w:cs="Arial"/>
                <w:sz w:val="14"/>
                <w:szCs w:val="14"/>
              </w:rPr>
              <w:t>4.60</w:t>
            </w:r>
          </w:p>
        </w:tc>
      </w:tr>
    </w:tbl>
    <w:p w:rsidR="00691094" w:rsidRPr="00153EB0" w:rsidRDefault="00691094" w:rsidP="00691094">
      <w:pPr>
        <w:spacing w:before="60"/>
        <w:rPr>
          <w:rFonts w:cs="Arial"/>
        </w:rPr>
      </w:pPr>
      <w:r w:rsidRPr="00153EB0">
        <w:rPr>
          <w:rFonts w:cs="Arial"/>
        </w:rPr>
        <w:t>Aus der vorstehenden Zusammenstellung ergibt sich folgende engere Konkurrenz:</w:t>
      </w:r>
    </w:p>
    <w:p w:rsidR="00691094" w:rsidRPr="00153EB0" w:rsidRDefault="00691094" w:rsidP="00691094">
      <w:pPr>
        <w:tabs>
          <w:tab w:val="left" w:pos="755"/>
        </w:tabs>
        <w:spacing w:before="60"/>
        <w:rPr>
          <w:rFonts w:cs="Arial"/>
        </w:rPr>
      </w:pPr>
      <w:r w:rsidRPr="00153EB0">
        <w:rPr>
          <w:rFonts w:cs="Arial"/>
        </w:rPr>
        <w:t xml:space="preserve">a) Lieferung nach dem Depotplatz an der </w:t>
      </w:r>
      <w:proofErr w:type="spellStart"/>
      <w:r w:rsidRPr="00153EB0">
        <w:rPr>
          <w:rFonts w:cs="Arial"/>
        </w:rPr>
        <w:t>Thurmündung</w:t>
      </w:r>
      <w:proofErr w:type="spellEnd"/>
      <w:r w:rsidRPr="00153EB0">
        <w:rPr>
          <w:rFonts w:cs="Arial"/>
        </w:rPr>
        <w:t xml:space="preserve"> Nr. 2 (Moser) und Nr. 3 (Ernst),</w:t>
      </w:r>
    </w:p>
    <w:p w:rsidR="00691094" w:rsidRPr="00153EB0" w:rsidRDefault="00691094" w:rsidP="00691094">
      <w:pPr>
        <w:tabs>
          <w:tab w:val="clear" w:pos="794"/>
          <w:tab w:val="left" w:pos="770"/>
        </w:tabs>
        <w:spacing w:before="60"/>
        <w:rPr>
          <w:rFonts w:cs="Arial"/>
        </w:rPr>
      </w:pPr>
      <w:r w:rsidRPr="00153EB0">
        <w:rPr>
          <w:rFonts w:cs="Arial"/>
        </w:rPr>
        <w:t xml:space="preserve">b) Lieferung nach der Station </w:t>
      </w:r>
      <w:proofErr w:type="spellStart"/>
      <w:r w:rsidRPr="00153EB0">
        <w:rPr>
          <w:rFonts w:cs="Arial"/>
        </w:rPr>
        <w:t>Andelfingen</w:t>
      </w:r>
      <w:proofErr w:type="spellEnd"/>
      <w:r w:rsidRPr="00153EB0">
        <w:rPr>
          <w:rFonts w:cs="Arial"/>
        </w:rPr>
        <w:t xml:space="preserve"> und </w:t>
      </w:r>
      <w:proofErr w:type="spellStart"/>
      <w:r w:rsidRPr="00153EB0">
        <w:rPr>
          <w:rFonts w:cs="Arial"/>
        </w:rPr>
        <w:t>Ossingen</w:t>
      </w:r>
      <w:proofErr w:type="spellEnd"/>
      <w:r w:rsidRPr="00153EB0">
        <w:rPr>
          <w:rFonts w:cs="Arial"/>
        </w:rPr>
        <w:t xml:space="preserve"> Nr. 3 (Ernst) und Nr. 5 </w:t>
      </w:r>
      <w:r w:rsidRPr="00153EB0">
        <w:rPr>
          <w:rFonts w:cs="Arial"/>
          <w:lang w:eastAsia="fr-FR" w:bidi="fr-FR"/>
        </w:rPr>
        <w:t>(Rossi),</w:t>
      </w:r>
    </w:p>
    <w:p w:rsidR="00691094" w:rsidRPr="00153EB0" w:rsidRDefault="00691094" w:rsidP="00691094">
      <w:pPr>
        <w:tabs>
          <w:tab w:val="clear" w:pos="794"/>
          <w:tab w:val="left" w:pos="770"/>
        </w:tabs>
        <w:spacing w:before="60"/>
        <w:rPr>
          <w:rFonts w:cs="Arial"/>
        </w:rPr>
      </w:pPr>
      <w:r w:rsidRPr="00153EB0">
        <w:rPr>
          <w:rFonts w:cs="Arial"/>
        </w:rPr>
        <w:t xml:space="preserve">c) Lieferung nach der Station Winterthur (resp. </w:t>
      </w:r>
      <w:r w:rsidRPr="00153EB0">
        <w:rPr>
          <w:rFonts w:cs="Arial"/>
          <w:lang w:eastAsia="fr-FR" w:bidi="fr-FR"/>
        </w:rPr>
        <w:t xml:space="preserve">T. T. </w:t>
      </w:r>
      <w:r w:rsidRPr="00153EB0">
        <w:rPr>
          <w:rFonts w:cs="Arial"/>
        </w:rPr>
        <w:t xml:space="preserve">B.) Nr. 1 (Lägern) und Nr. 3 (Ernst) und Nr. 5 </w:t>
      </w:r>
      <w:r w:rsidRPr="00153EB0">
        <w:rPr>
          <w:rFonts w:cs="Arial"/>
          <w:lang w:eastAsia="fr-FR" w:bidi="fr-FR"/>
        </w:rPr>
        <w:t>(Rossi),</w:t>
      </w:r>
    </w:p>
    <w:p w:rsidR="00691094" w:rsidRPr="00153EB0" w:rsidRDefault="00691094" w:rsidP="00691094">
      <w:pPr>
        <w:tabs>
          <w:tab w:val="clear" w:pos="794"/>
          <w:tab w:val="left" w:pos="770"/>
        </w:tabs>
        <w:spacing w:before="60"/>
        <w:rPr>
          <w:rFonts w:cs="Arial"/>
        </w:rPr>
      </w:pPr>
      <w:r w:rsidRPr="00153EB0">
        <w:rPr>
          <w:rFonts w:cs="Arial"/>
        </w:rPr>
        <w:t xml:space="preserve">d) Lieferung nach der Station </w:t>
      </w:r>
      <w:proofErr w:type="spellStart"/>
      <w:r w:rsidRPr="00153EB0">
        <w:rPr>
          <w:rFonts w:cs="Arial"/>
        </w:rPr>
        <w:t>Töß</w:t>
      </w:r>
      <w:proofErr w:type="spellEnd"/>
      <w:r w:rsidRPr="00153EB0">
        <w:rPr>
          <w:rFonts w:cs="Arial"/>
        </w:rPr>
        <w:t xml:space="preserve"> Nr. 1 (Lägern) und Nr. 3 (Ernst).</w:t>
      </w:r>
    </w:p>
    <w:p w:rsidR="00691094" w:rsidRPr="00153EB0" w:rsidRDefault="00691094" w:rsidP="00691094">
      <w:pPr>
        <w:spacing w:before="60"/>
        <w:jc w:val="center"/>
        <w:rPr>
          <w:rFonts w:cs="Arial"/>
        </w:rPr>
      </w:pPr>
      <w:r w:rsidRPr="00153EB0">
        <w:rPr>
          <w:rFonts w:cs="Arial"/>
        </w:rPr>
        <w:t>Hierüber ist mitzuteilen: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153EB0">
        <w:rPr>
          <w:rFonts w:cs="Arial"/>
        </w:rPr>
        <w:t>Zu a) Die bei der Bauinspektion in Schaffhausen über den Lieferanten Moser eingezogenen Erkundigungen lauten</w:t>
      </w:r>
      <w:r w:rsidRPr="00536DD0">
        <w:rPr>
          <w:rFonts w:cs="Arial"/>
        </w:rPr>
        <w:t>recht günstig, und soweit eigene Beobachtung reicht, steht</w:t>
      </w:r>
      <w:r>
        <w:rPr>
          <w:rFonts w:cs="Arial"/>
        </w:rPr>
        <w:t xml:space="preserve"> </w:t>
      </w:r>
      <w:r w:rsidRPr="00536DD0">
        <w:rPr>
          <w:rFonts w:cs="Arial"/>
        </w:rPr>
        <w:t>das von Moser aus seinem Bruch im Kanton Schaffhausen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gelieferte </w:t>
      </w:r>
      <w:r w:rsidRPr="00536DD0">
        <w:rPr>
          <w:rFonts w:cs="Arial"/>
        </w:rPr>
        <w:lastRenderedPageBreak/>
        <w:t>Material demjenigen von Ernst nicht nach. Da zudem Moser etwas billiger liefert, so kann demselben die</w:t>
      </w:r>
      <w:r>
        <w:rPr>
          <w:rFonts w:cs="Arial"/>
        </w:rPr>
        <w:t xml:space="preserve"> </w:t>
      </w:r>
      <w:r w:rsidRPr="00536DD0">
        <w:rPr>
          <w:rFonts w:cs="Arial"/>
        </w:rPr>
        <w:t>Lieferung von za. 400 m</w:t>
      </w:r>
      <w:r w:rsidRPr="00536DD0">
        <w:rPr>
          <w:rFonts w:cs="Arial"/>
          <w:vertAlign w:val="superscript"/>
        </w:rPr>
        <w:t>3</w:t>
      </w:r>
      <w:r w:rsidRPr="00536DD0">
        <w:rPr>
          <w:rFonts w:cs="Arial"/>
        </w:rPr>
        <w:t xml:space="preserve"> an den Rhein übertragen werden.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 xml:space="preserve">Zu b) In Bezug auf Leistungsfähigkeit und Materialbeschaffenheit darf erfahrungsgemäß dem Bewerber </w:t>
      </w:r>
      <w:r w:rsidRPr="00536DD0">
        <w:rPr>
          <w:rFonts w:cs="Arial"/>
          <w:lang w:eastAsia="fr-FR" w:bidi="fr-FR"/>
        </w:rPr>
        <w:t xml:space="preserve">Rossi </w:t>
      </w:r>
      <w:r w:rsidRPr="00536DD0">
        <w:rPr>
          <w:rFonts w:cs="Arial"/>
        </w:rPr>
        <w:t>in</w:t>
      </w:r>
      <w:r>
        <w:rPr>
          <w:rFonts w:cs="Arial"/>
        </w:rPr>
        <w:t xml:space="preserve"> </w:t>
      </w:r>
      <w:r w:rsidRPr="00536DD0">
        <w:rPr>
          <w:rFonts w:cs="Arial"/>
        </w:rPr>
        <w:t>Schaff hausen unbedingt der Vorzug gegeben werden. Derselbe ist stets zufriedenstellend seinen Verpflichtungen nachgekommen, was von Ernst nicht gesagt werden kann. Da</w:t>
      </w:r>
      <w:r>
        <w:rPr>
          <w:rFonts w:cs="Arial"/>
        </w:rPr>
        <w:t xml:space="preserve"> </w:t>
      </w:r>
      <w:r w:rsidRPr="00536DD0">
        <w:rPr>
          <w:rFonts w:cs="Arial"/>
          <w:lang w:eastAsia="fr-FR" w:bidi="fr-FR"/>
        </w:rPr>
        <w:t xml:space="preserve">Rossi </w:t>
      </w:r>
      <w:r w:rsidRPr="00536DD0">
        <w:rPr>
          <w:rFonts w:cs="Arial"/>
        </w:rPr>
        <w:t xml:space="preserve">zudem im Inland, Ernst im Ausland sein Geschäft betreibt, so verdient die geringe Preisdifferenz zu </w:t>
      </w:r>
      <w:proofErr w:type="spellStart"/>
      <w:r w:rsidRPr="00536DD0">
        <w:rPr>
          <w:rFonts w:cs="Arial"/>
        </w:rPr>
        <w:t>gunsten</w:t>
      </w:r>
      <w:proofErr w:type="spellEnd"/>
      <w:r w:rsidRPr="00536DD0">
        <w:rPr>
          <w:rFonts w:cs="Arial"/>
        </w:rPr>
        <w:t xml:space="preserve"> von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Ernst keine besondere Berücksichtigung, und es ist die Lieferung von zirka 3300 Tonnen nach </w:t>
      </w:r>
      <w:proofErr w:type="spellStart"/>
      <w:r w:rsidRPr="00536DD0">
        <w:rPr>
          <w:rFonts w:cs="Arial"/>
        </w:rPr>
        <w:t>Andelfingen</w:t>
      </w:r>
      <w:proofErr w:type="spellEnd"/>
      <w:r w:rsidRPr="00536DD0">
        <w:rPr>
          <w:rFonts w:cs="Arial"/>
        </w:rPr>
        <w:t xml:space="preserve"> und </w:t>
      </w:r>
      <w:proofErr w:type="spellStart"/>
      <w:r w:rsidRPr="00536DD0">
        <w:rPr>
          <w:rFonts w:cs="Arial"/>
        </w:rPr>
        <w:t>Ossingen</w:t>
      </w:r>
      <w:proofErr w:type="spellEnd"/>
      <w:r>
        <w:rPr>
          <w:rFonts w:cs="Arial"/>
        </w:rPr>
        <w:t xml:space="preserve"> </w:t>
      </w:r>
      <w:r w:rsidRPr="00536DD0">
        <w:rPr>
          <w:rFonts w:cs="Arial"/>
        </w:rPr>
        <w:t xml:space="preserve">dem Bewerber </w:t>
      </w:r>
      <w:r w:rsidRPr="00536DD0">
        <w:rPr>
          <w:rFonts w:cs="Arial"/>
          <w:lang w:eastAsia="fr-FR" w:bidi="fr-FR"/>
        </w:rPr>
        <w:t xml:space="preserve">Rossi </w:t>
      </w:r>
      <w:r w:rsidRPr="00536DD0">
        <w:rPr>
          <w:rFonts w:cs="Arial"/>
        </w:rPr>
        <w:t>zu vergeben.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 xml:space="preserve">Zu c) Da </w:t>
      </w:r>
      <w:r w:rsidRPr="00536DD0">
        <w:rPr>
          <w:rFonts w:cs="Arial"/>
          <w:lang w:eastAsia="fr-FR" w:bidi="fr-FR"/>
        </w:rPr>
        <w:t xml:space="preserve">Rossi </w:t>
      </w:r>
      <w:r w:rsidRPr="00536DD0">
        <w:rPr>
          <w:rFonts w:cs="Arial"/>
        </w:rPr>
        <w:t>bereits mit einer großen Lieferung bedacht worden ist, sind nun noch die Bewerber Nr. 1 (Lägern)</w:t>
      </w:r>
      <w:r>
        <w:rPr>
          <w:rFonts w:cs="Arial"/>
        </w:rPr>
        <w:t xml:space="preserve"> </w:t>
      </w:r>
      <w:r w:rsidRPr="00536DD0">
        <w:rPr>
          <w:rFonts w:cs="Arial"/>
        </w:rPr>
        <w:t>und Nr. 3 (Ernst) in Berücksichtigung zu ziehen. Bezüglich</w:t>
      </w:r>
      <w:r>
        <w:rPr>
          <w:rFonts w:cs="Arial"/>
        </w:rPr>
        <w:t xml:space="preserve"> </w:t>
      </w:r>
      <w:r w:rsidRPr="00536DD0">
        <w:rPr>
          <w:rFonts w:cs="Arial"/>
        </w:rPr>
        <w:t>Qualität der Steine stehen sich die beiden Bewerber etwa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gleich. Es </w:t>
      </w:r>
      <w:proofErr w:type="spellStart"/>
      <w:r w:rsidRPr="00536DD0">
        <w:rPr>
          <w:rFonts w:cs="Arial"/>
        </w:rPr>
        <w:t>muß</w:t>
      </w:r>
      <w:proofErr w:type="spellEnd"/>
      <w:r w:rsidRPr="00536DD0">
        <w:rPr>
          <w:rFonts w:cs="Arial"/>
        </w:rPr>
        <w:t xml:space="preserve"> aber auch hier darauf hingewiesen werden,</w:t>
      </w:r>
      <w:r>
        <w:rPr>
          <w:rFonts w:cs="Arial"/>
        </w:rPr>
        <w:t xml:space="preserve"> </w:t>
      </w:r>
      <w:proofErr w:type="spellStart"/>
      <w:r w:rsidRPr="00536DD0">
        <w:rPr>
          <w:rFonts w:cs="Arial"/>
        </w:rPr>
        <w:t>daß</w:t>
      </w:r>
      <w:proofErr w:type="spellEnd"/>
      <w:r w:rsidRPr="00536DD0">
        <w:rPr>
          <w:rFonts w:cs="Arial"/>
        </w:rPr>
        <w:t xml:space="preserve"> Ernst sein Geschäft im Ausland, die </w:t>
      </w:r>
      <w:proofErr w:type="spellStart"/>
      <w:r w:rsidRPr="00536DD0">
        <w:rPr>
          <w:rFonts w:cs="Arial"/>
        </w:rPr>
        <w:t>Lägerngesellschaft</w:t>
      </w:r>
      <w:proofErr w:type="spellEnd"/>
      <w:r>
        <w:rPr>
          <w:rFonts w:cs="Arial"/>
        </w:rPr>
        <w:t xml:space="preserve"> </w:t>
      </w:r>
      <w:r w:rsidRPr="00536DD0">
        <w:rPr>
          <w:rFonts w:cs="Arial"/>
        </w:rPr>
        <w:t xml:space="preserve">dagegen im Kanton Zürich betreibt, und </w:t>
      </w:r>
      <w:proofErr w:type="spellStart"/>
      <w:r w:rsidRPr="00536DD0">
        <w:rPr>
          <w:rFonts w:cs="Arial"/>
        </w:rPr>
        <w:t>daß</w:t>
      </w:r>
      <w:proofErr w:type="spellEnd"/>
      <w:r w:rsidRPr="00536DD0">
        <w:rPr>
          <w:rFonts w:cs="Arial"/>
        </w:rPr>
        <w:t xml:space="preserve"> die Preisdifferenz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ebenfalls nur wenig zu </w:t>
      </w:r>
      <w:proofErr w:type="spellStart"/>
      <w:r w:rsidRPr="00536DD0">
        <w:rPr>
          <w:rFonts w:cs="Arial"/>
        </w:rPr>
        <w:t>gunsten</w:t>
      </w:r>
      <w:proofErr w:type="spellEnd"/>
      <w:r w:rsidRPr="00536DD0">
        <w:rPr>
          <w:rFonts w:cs="Arial"/>
        </w:rPr>
        <w:t>. von Ernst sich zeigt. Es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ist daher die Steinlieferung zirka 2200 Tonnen für das </w:t>
      </w:r>
      <w:proofErr w:type="spellStart"/>
      <w:r w:rsidRPr="00536DD0">
        <w:rPr>
          <w:rFonts w:cs="Arial"/>
        </w:rPr>
        <w:t>Tößthal</w:t>
      </w:r>
      <w:proofErr w:type="spellEnd"/>
      <w:r w:rsidRPr="00536DD0">
        <w:rPr>
          <w:rFonts w:cs="Arial"/>
        </w:rPr>
        <w:t xml:space="preserve"> von Winterthur aufwärts an die </w:t>
      </w:r>
      <w:proofErr w:type="spellStart"/>
      <w:r w:rsidRPr="00536DD0">
        <w:rPr>
          <w:rFonts w:cs="Arial"/>
        </w:rPr>
        <w:t>Lägernsteinbruchgesellschaft</w:t>
      </w:r>
      <w:proofErr w:type="spellEnd"/>
      <w:r w:rsidRPr="00536DD0">
        <w:rPr>
          <w:rFonts w:cs="Arial"/>
        </w:rPr>
        <w:t xml:space="preserve"> zu übertragen.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 xml:space="preserve">Zu d) Da die </w:t>
      </w:r>
      <w:proofErr w:type="spellStart"/>
      <w:r w:rsidRPr="00536DD0">
        <w:rPr>
          <w:rFonts w:cs="Arial"/>
        </w:rPr>
        <w:t>Lägernsteinbruchgesellschaft</w:t>
      </w:r>
      <w:proofErr w:type="spellEnd"/>
      <w:r w:rsidRPr="00536DD0">
        <w:rPr>
          <w:rFonts w:cs="Arial"/>
        </w:rPr>
        <w:t xml:space="preserve"> bereits mit</w:t>
      </w:r>
      <w:r>
        <w:rPr>
          <w:rFonts w:cs="Arial"/>
        </w:rPr>
        <w:t xml:space="preserve"> </w:t>
      </w:r>
      <w:r w:rsidRPr="00536DD0">
        <w:rPr>
          <w:rFonts w:cs="Arial"/>
        </w:rPr>
        <w:t>einer größeren Lieferung versehen ist, dürfte diese kleine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Lieferung von zirka 1000 Tonnen nach Station </w:t>
      </w:r>
      <w:proofErr w:type="spellStart"/>
      <w:r w:rsidRPr="00536DD0">
        <w:rPr>
          <w:rFonts w:cs="Arial"/>
        </w:rPr>
        <w:t>Töß</w:t>
      </w:r>
      <w:proofErr w:type="spellEnd"/>
      <w:r w:rsidRPr="00536DD0">
        <w:rPr>
          <w:rFonts w:cs="Arial"/>
        </w:rPr>
        <w:t xml:space="preserve"> an den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Bewerber Ernst vergeben werden, und zwar </w:t>
      </w:r>
      <w:proofErr w:type="spellStart"/>
      <w:r w:rsidRPr="00536DD0">
        <w:rPr>
          <w:rFonts w:cs="Arial"/>
        </w:rPr>
        <w:t>um so</w:t>
      </w:r>
      <w:proofErr w:type="spellEnd"/>
      <w:r w:rsidRPr="00536DD0">
        <w:rPr>
          <w:rFonts w:cs="Arial"/>
        </w:rPr>
        <w:t xml:space="preserve"> eher, als</w:t>
      </w:r>
      <w:r>
        <w:rPr>
          <w:rFonts w:cs="Arial"/>
        </w:rPr>
        <w:t xml:space="preserve"> </w:t>
      </w:r>
      <w:r w:rsidRPr="00536DD0">
        <w:rPr>
          <w:rFonts w:cs="Arial"/>
        </w:rPr>
        <w:t>sich bei dieser Abnahmestelle die Preisverhältnisse am</w:t>
      </w:r>
      <w:r>
        <w:rPr>
          <w:rFonts w:cs="Arial"/>
        </w:rPr>
        <w:t xml:space="preserve"> </w:t>
      </w:r>
      <w:r w:rsidRPr="00536DD0">
        <w:rPr>
          <w:rFonts w:cs="Arial"/>
        </w:rPr>
        <w:t>günstigsten für Ernst stellen.</w:t>
      </w:r>
    </w:p>
    <w:p w:rsidR="00691094" w:rsidRDefault="00691094" w:rsidP="00691094">
      <w:pPr>
        <w:spacing w:before="60"/>
        <w:jc w:val="center"/>
        <w:rPr>
          <w:rFonts w:cs="Arial"/>
        </w:rPr>
      </w:pPr>
      <w:r w:rsidRPr="00536DD0">
        <w:rPr>
          <w:rFonts w:cs="Arial"/>
        </w:rPr>
        <w:t>Nach Einsicht eines Antrages der Baudirektion,</w:t>
      </w:r>
    </w:p>
    <w:p w:rsidR="00691094" w:rsidRDefault="00691094" w:rsidP="00691094">
      <w:pPr>
        <w:spacing w:before="60"/>
        <w:jc w:val="center"/>
        <w:rPr>
          <w:rFonts w:cs="Arial"/>
        </w:rPr>
      </w:pPr>
      <w:r w:rsidRPr="00536DD0">
        <w:rPr>
          <w:rFonts w:cs="Arial"/>
        </w:rPr>
        <w:t>beschließt der Regierungsrat:</w:t>
      </w:r>
    </w:p>
    <w:p w:rsidR="00691094" w:rsidRPr="00536DD0" w:rsidRDefault="00691094" w:rsidP="00691094">
      <w:pPr>
        <w:tabs>
          <w:tab w:val="left" w:pos="715"/>
        </w:tabs>
        <w:spacing w:before="60"/>
        <w:rPr>
          <w:rFonts w:cs="Arial"/>
        </w:rPr>
      </w:pPr>
      <w:r w:rsidRPr="00536DD0">
        <w:rPr>
          <w:rFonts w:cs="Arial"/>
        </w:rPr>
        <w:t>I.</w:t>
      </w:r>
      <w:r>
        <w:rPr>
          <w:rFonts w:cs="Arial"/>
        </w:rPr>
        <w:t xml:space="preserve"> </w:t>
      </w:r>
      <w:r w:rsidRPr="00536DD0">
        <w:rPr>
          <w:rFonts w:cs="Arial"/>
        </w:rPr>
        <w:t>Die Lieferung der für den Uferschutz am Rhein, an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der </w:t>
      </w:r>
      <w:proofErr w:type="spellStart"/>
      <w:r w:rsidRPr="00536DD0">
        <w:rPr>
          <w:rFonts w:cs="Arial"/>
        </w:rPr>
        <w:t>Thur</w:t>
      </w:r>
      <w:proofErr w:type="spellEnd"/>
      <w:r w:rsidRPr="00536DD0">
        <w:rPr>
          <w:rFonts w:cs="Arial"/>
        </w:rPr>
        <w:t xml:space="preserve"> und an der </w:t>
      </w:r>
      <w:proofErr w:type="spellStart"/>
      <w:r w:rsidRPr="00536DD0">
        <w:rPr>
          <w:rFonts w:cs="Arial"/>
        </w:rPr>
        <w:t>Töß</w:t>
      </w:r>
      <w:proofErr w:type="spellEnd"/>
      <w:r w:rsidRPr="00536DD0">
        <w:rPr>
          <w:rFonts w:cs="Arial"/>
        </w:rPr>
        <w:t xml:space="preserve"> erforderlichen Steine wird wie</w:t>
      </w:r>
      <w:r>
        <w:rPr>
          <w:rFonts w:cs="Arial"/>
        </w:rPr>
        <w:t xml:space="preserve"> </w:t>
      </w:r>
      <w:r w:rsidRPr="00536DD0">
        <w:rPr>
          <w:rFonts w:cs="Arial"/>
        </w:rPr>
        <w:t>folgt vergeben: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>Der Bedarf am Rhein an Herrn Moser</w:t>
      </w:r>
      <w:r>
        <w:rPr>
          <w:rFonts w:cs="Arial"/>
        </w:rPr>
        <w:t>-</w:t>
      </w:r>
      <w:r w:rsidRPr="00536DD0">
        <w:rPr>
          <w:rFonts w:cs="Arial"/>
        </w:rPr>
        <w:t>Moser in Neuhausen (zirka 400 m</w:t>
      </w:r>
      <w:r>
        <w:rPr>
          <w:rFonts w:cs="Arial"/>
          <w:vertAlign w:val="superscript"/>
        </w:rPr>
        <w:t>3</w:t>
      </w:r>
      <w:r w:rsidRPr="00536DD0">
        <w:rPr>
          <w:rFonts w:cs="Arial"/>
        </w:rPr>
        <w:t xml:space="preserve"> </w:t>
      </w:r>
      <w:r w:rsidRPr="00536DD0">
        <w:rPr>
          <w:rFonts w:cs="Arial"/>
          <w:lang w:eastAsia="fr-FR" w:bidi="fr-FR"/>
        </w:rPr>
        <w:t xml:space="preserve">à </w:t>
      </w:r>
      <w:r w:rsidRPr="00536DD0">
        <w:rPr>
          <w:rFonts w:cs="Arial"/>
        </w:rPr>
        <w:t xml:space="preserve">Fr. 6.50 pro </w:t>
      </w:r>
      <w:r>
        <w:rPr>
          <w:rFonts w:cs="Arial"/>
        </w:rPr>
        <w:t>m</w:t>
      </w:r>
      <w:r>
        <w:rPr>
          <w:rFonts w:cs="Arial"/>
          <w:vertAlign w:val="superscript"/>
        </w:rPr>
        <w:t>3</w:t>
      </w:r>
      <w:r w:rsidRPr="00536DD0">
        <w:rPr>
          <w:rFonts w:cs="Arial"/>
        </w:rPr>
        <w:t>);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 xml:space="preserve">Der Bedarf an der </w:t>
      </w:r>
      <w:proofErr w:type="spellStart"/>
      <w:r w:rsidRPr="00536DD0">
        <w:rPr>
          <w:rFonts w:cs="Arial"/>
        </w:rPr>
        <w:t>Thur</w:t>
      </w:r>
      <w:proofErr w:type="spellEnd"/>
      <w:r w:rsidRPr="00536DD0">
        <w:rPr>
          <w:rFonts w:cs="Arial"/>
        </w:rPr>
        <w:t xml:space="preserve"> an Herrn </w:t>
      </w:r>
      <w:r w:rsidRPr="00536DD0">
        <w:rPr>
          <w:rFonts w:cs="Arial"/>
          <w:lang w:eastAsia="fr-FR" w:bidi="fr-FR"/>
        </w:rPr>
        <w:t xml:space="preserve">Rossi, </w:t>
      </w:r>
      <w:proofErr w:type="spellStart"/>
      <w:r w:rsidRPr="00536DD0">
        <w:rPr>
          <w:rFonts w:cs="Arial"/>
        </w:rPr>
        <w:t>Mühlethal</w:t>
      </w:r>
      <w:proofErr w:type="spellEnd"/>
      <w:r w:rsidRPr="00536DD0">
        <w:rPr>
          <w:rFonts w:cs="Arial"/>
        </w:rPr>
        <w:t>,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Schaffhausen (za. 3300 Tonnen </w:t>
      </w:r>
      <w:r w:rsidRPr="00536DD0">
        <w:rPr>
          <w:rFonts w:cs="Arial"/>
          <w:lang w:eastAsia="fr-FR" w:bidi="fr-FR"/>
        </w:rPr>
        <w:t xml:space="preserve">à </w:t>
      </w:r>
      <w:r w:rsidRPr="00536DD0">
        <w:rPr>
          <w:rFonts w:cs="Arial"/>
        </w:rPr>
        <w:t>Fr. 2.20 pro Tonne)</w:t>
      </w:r>
      <w:r w:rsidR="00291B3F">
        <w:rPr>
          <w:rFonts w:cs="Arial"/>
        </w:rPr>
        <w:t>;</w:t>
      </w:r>
    </w:p>
    <w:p w:rsidR="00691094" w:rsidRPr="00536DD0" w:rsidRDefault="00691094" w:rsidP="00691094">
      <w:pPr>
        <w:spacing w:before="60"/>
        <w:rPr>
          <w:rFonts w:cs="Arial"/>
        </w:rPr>
      </w:pPr>
      <w:r w:rsidRPr="00536DD0">
        <w:rPr>
          <w:rFonts w:cs="Arial"/>
        </w:rPr>
        <w:t xml:space="preserve">Der Bedarf an die </w:t>
      </w:r>
      <w:proofErr w:type="spellStart"/>
      <w:r w:rsidRPr="00536DD0">
        <w:rPr>
          <w:rFonts w:cs="Arial"/>
        </w:rPr>
        <w:t>Töß</w:t>
      </w:r>
      <w:proofErr w:type="spellEnd"/>
      <w:r w:rsidRPr="00536DD0">
        <w:rPr>
          <w:rFonts w:cs="Arial"/>
        </w:rPr>
        <w:t xml:space="preserve"> (Stationen der </w:t>
      </w:r>
      <w:r w:rsidRPr="00536DD0">
        <w:rPr>
          <w:rFonts w:cs="Arial"/>
          <w:lang w:eastAsia="fr-FR" w:bidi="fr-FR"/>
        </w:rPr>
        <w:t xml:space="preserve">T. T. </w:t>
      </w:r>
      <w:r w:rsidRPr="00536DD0">
        <w:rPr>
          <w:rFonts w:cs="Arial"/>
        </w:rPr>
        <w:t>B.) an die</w:t>
      </w:r>
      <w:r>
        <w:rPr>
          <w:rFonts w:cs="Arial"/>
        </w:rPr>
        <w:t xml:space="preserve"> </w:t>
      </w:r>
      <w:proofErr w:type="spellStart"/>
      <w:r w:rsidRPr="00536DD0">
        <w:rPr>
          <w:rFonts w:cs="Arial"/>
        </w:rPr>
        <w:t>Lägernsteinbruchgesellschaft</w:t>
      </w:r>
      <w:proofErr w:type="spellEnd"/>
      <w:r w:rsidRPr="00536DD0">
        <w:rPr>
          <w:rFonts w:cs="Arial"/>
        </w:rPr>
        <w:t xml:space="preserve"> in </w:t>
      </w:r>
      <w:proofErr w:type="spellStart"/>
      <w:r w:rsidRPr="00536DD0">
        <w:rPr>
          <w:rFonts w:cs="Arial"/>
        </w:rPr>
        <w:t>Regensberg</w:t>
      </w:r>
      <w:proofErr w:type="spellEnd"/>
      <w:r w:rsidRPr="00536DD0">
        <w:rPr>
          <w:rFonts w:cs="Arial"/>
        </w:rPr>
        <w:t>’ (za. 2200 Tonnen</w:t>
      </w:r>
      <w:r>
        <w:rPr>
          <w:rFonts w:cs="Arial"/>
        </w:rPr>
        <w:t xml:space="preserve"> </w:t>
      </w:r>
      <w:r w:rsidRPr="00536DD0">
        <w:rPr>
          <w:rFonts w:cs="Arial"/>
          <w:lang w:eastAsia="fr-FR" w:bidi="fr-FR"/>
        </w:rPr>
        <w:t xml:space="preserve">à </w:t>
      </w:r>
      <w:r w:rsidRPr="00536DD0">
        <w:rPr>
          <w:rFonts w:cs="Arial"/>
        </w:rPr>
        <w:t>Fr. 2.20 pro Tonne);</w:t>
      </w:r>
    </w:p>
    <w:p w:rsidR="00691094" w:rsidRPr="00536DD0" w:rsidRDefault="00691094" w:rsidP="00691094">
      <w:pPr>
        <w:keepNext/>
        <w:keepLines/>
        <w:spacing w:before="60"/>
        <w:rPr>
          <w:rFonts w:cs="Arial"/>
        </w:rPr>
      </w:pPr>
      <w:r w:rsidRPr="00536DD0">
        <w:rPr>
          <w:rFonts w:cs="Arial"/>
        </w:rPr>
        <w:t xml:space="preserve">Der Bedarf an die </w:t>
      </w:r>
      <w:proofErr w:type="spellStart"/>
      <w:r w:rsidRPr="00536DD0">
        <w:rPr>
          <w:rFonts w:cs="Arial"/>
        </w:rPr>
        <w:t>Töß</w:t>
      </w:r>
      <w:proofErr w:type="spellEnd"/>
      <w:r w:rsidRPr="00536DD0">
        <w:rPr>
          <w:rFonts w:cs="Arial"/>
        </w:rPr>
        <w:t xml:space="preserve"> (Station </w:t>
      </w:r>
      <w:proofErr w:type="spellStart"/>
      <w:r w:rsidRPr="00536DD0">
        <w:rPr>
          <w:rFonts w:cs="Arial"/>
        </w:rPr>
        <w:t>Töß</w:t>
      </w:r>
      <w:proofErr w:type="spellEnd"/>
      <w:r w:rsidRPr="00536DD0">
        <w:rPr>
          <w:rFonts w:cs="Arial"/>
        </w:rPr>
        <w:t>) an Herrn J. Ernst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in </w:t>
      </w:r>
      <w:proofErr w:type="spellStart"/>
      <w:r w:rsidRPr="00536DD0">
        <w:rPr>
          <w:rFonts w:cs="Arial"/>
        </w:rPr>
        <w:t>Jestetten</w:t>
      </w:r>
      <w:proofErr w:type="spellEnd"/>
      <w:r w:rsidRPr="00536DD0">
        <w:rPr>
          <w:rFonts w:cs="Arial"/>
        </w:rPr>
        <w:t xml:space="preserve"> (zirka 1000 Tonnen </w:t>
      </w:r>
      <w:r w:rsidRPr="00536DD0">
        <w:rPr>
          <w:rFonts w:cs="Arial"/>
          <w:lang w:eastAsia="fr-FR" w:bidi="fr-FR"/>
        </w:rPr>
        <w:t xml:space="preserve">à </w:t>
      </w:r>
      <w:r w:rsidRPr="00536DD0">
        <w:rPr>
          <w:rFonts w:cs="Arial"/>
        </w:rPr>
        <w:t>Fr. 1.85 pro Tonne,</w:t>
      </w:r>
      <w:r>
        <w:rPr>
          <w:rFonts w:cs="Arial"/>
        </w:rPr>
        <w:t xml:space="preserve"> </w:t>
      </w:r>
      <w:r w:rsidRPr="00536DD0">
        <w:rPr>
          <w:rFonts w:cs="Arial"/>
        </w:rPr>
        <w:t>zollfrei).</w:t>
      </w:r>
    </w:p>
    <w:p w:rsidR="00691094" w:rsidRDefault="00691094" w:rsidP="00691094">
      <w:pPr>
        <w:pStyle w:val="00Vorgabetext"/>
        <w:keepNext/>
        <w:keepLines/>
        <w:rPr>
          <w:rFonts w:cs="Arial"/>
        </w:rPr>
      </w:pPr>
      <w:r w:rsidRPr="00536DD0">
        <w:rPr>
          <w:rFonts w:cs="Arial"/>
        </w:rPr>
        <w:t>II.</w:t>
      </w:r>
      <w:r>
        <w:rPr>
          <w:rFonts w:cs="Arial"/>
        </w:rPr>
        <w:t xml:space="preserve"> </w:t>
      </w:r>
      <w:r w:rsidRPr="00536DD0">
        <w:rPr>
          <w:rFonts w:cs="Arial"/>
        </w:rPr>
        <w:t xml:space="preserve">Mitteilung an die Baudirektion, unter </w:t>
      </w:r>
      <w:proofErr w:type="spellStart"/>
      <w:r w:rsidRPr="00536DD0">
        <w:rPr>
          <w:rFonts w:cs="Arial"/>
        </w:rPr>
        <w:t>Rückschluß</w:t>
      </w:r>
      <w:proofErr w:type="spellEnd"/>
      <w:r w:rsidRPr="00536DD0">
        <w:rPr>
          <w:rFonts w:cs="Arial"/>
        </w:rPr>
        <w:t xml:space="preserve"> der</w:t>
      </w:r>
      <w:r>
        <w:rPr>
          <w:rFonts w:cs="Arial"/>
        </w:rPr>
        <w:t xml:space="preserve"> </w:t>
      </w:r>
      <w:r w:rsidRPr="00536DD0">
        <w:rPr>
          <w:rFonts w:cs="Arial"/>
        </w:rPr>
        <w:t>Akten.</w:t>
      </w:r>
    </w:p>
    <w:p w:rsidR="00691094" w:rsidRDefault="00691094" w:rsidP="00691094">
      <w:pPr>
        <w:pStyle w:val="00Vorgabetext"/>
        <w:keepNext/>
        <w:keepLines/>
        <w:rPr>
          <w:rFonts w:cs="Arial"/>
        </w:rPr>
      </w:pPr>
    </w:p>
    <w:p w:rsidR="00691094" w:rsidRDefault="00691094" w:rsidP="00691094">
      <w:pPr>
        <w:pStyle w:val="00Vorgabetext"/>
        <w:keepNext/>
        <w:keepLines/>
        <w:rPr>
          <w:rFonts w:cs="Arial"/>
        </w:rPr>
      </w:pPr>
    </w:p>
    <w:p w:rsidR="00BE768B" w:rsidRDefault="00691094" w:rsidP="00691094">
      <w:pPr>
        <w:pStyle w:val="00Vorgabetext"/>
        <w:keepNext/>
        <w:keepLines/>
      </w:pPr>
      <w:r>
        <w:rPr>
          <w:rFonts w:cs="Arial"/>
        </w:rPr>
        <w:t>[</w:t>
      </w:r>
      <w:r w:rsidRPr="00691094">
        <w:rPr>
          <w:rFonts w:cs="Arial"/>
          <w:i/>
        </w:rPr>
        <w:t xml:space="preserve">Transkript: OCR (Überarbeitung: Team </w:t>
      </w:r>
      <w:proofErr w:type="gramStart"/>
      <w:r w:rsidRPr="00691094">
        <w:rPr>
          <w:rFonts w:cs="Arial"/>
          <w:i/>
        </w:rPr>
        <w:t>TKR)/</w:t>
      </w:r>
      <w:proofErr w:type="gramEnd"/>
      <w:r w:rsidRPr="00691094">
        <w:rPr>
          <w:rFonts w:cs="Arial"/>
          <w:i/>
        </w:rPr>
        <w:t>15.03.2017</w:t>
      </w:r>
      <w:r w:rsidRPr="00691094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94" w:rsidRDefault="00691094">
      <w:r>
        <w:separator/>
      </w:r>
    </w:p>
    <w:p w:rsidR="00691094" w:rsidRDefault="00691094"/>
    <w:p w:rsidR="00691094" w:rsidRDefault="00691094"/>
  </w:endnote>
  <w:endnote w:type="continuationSeparator" w:id="0">
    <w:p w:rsidR="00691094" w:rsidRDefault="00691094">
      <w:r>
        <w:continuationSeparator/>
      </w:r>
    </w:p>
    <w:p w:rsidR="00691094" w:rsidRDefault="00691094"/>
    <w:p w:rsidR="00691094" w:rsidRDefault="00691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94" w:rsidRDefault="00691094">
      <w:r>
        <w:separator/>
      </w:r>
    </w:p>
    <w:p w:rsidR="00691094" w:rsidRDefault="00691094"/>
    <w:p w:rsidR="00691094" w:rsidRDefault="00691094"/>
  </w:footnote>
  <w:footnote w:type="continuationSeparator" w:id="0">
    <w:p w:rsidR="00691094" w:rsidRDefault="00691094">
      <w:r>
        <w:continuationSeparator/>
      </w:r>
    </w:p>
    <w:p w:rsidR="00691094" w:rsidRDefault="00691094"/>
    <w:p w:rsidR="00691094" w:rsidRDefault="006910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58194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8194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00351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581949">
        <w:rPr>
          <w:noProof/>
        </w:rPr>
        <w:t>StAZH MM 3.17 RRB 1903/0584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581949">
        <w:rPr>
          <w:noProof/>
        </w:rPr>
        <w:t>26.03.1903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8194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94"/>
    <w:rsid w:val="00001EA4"/>
    <w:rsid w:val="0000351F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1B3F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1949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094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5:docId w15:val="{1BB4C2ED-B751-4289-82B3-8C9AA923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1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\Documents\Projekte\StaZH\TKR\TP_TKR_BatchExporter\TP_TKR_BatchExporter\TP_TKR_BatchExporter\bin\Release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D499-09F2-4F84-962E-F2BFBE5C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682</Words>
  <Characters>3675</Characters>
  <Application>Microsoft Office Word</Application>
  <DocSecurity>0</DocSecurity>
  <PresentationFormat/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Flußkorrektionen, Steinlieferungen.</dc:subject>
  <dc:creator>Staatsarchiv des Kantons Zürich</dc:creator>
  <cp:lastModifiedBy>Plüss, Rebekka</cp:lastModifiedBy>
  <cp:revision>4</cp:revision>
  <cp:lastPrinted>2012-06-15T14:37:00Z</cp:lastPrinted>
  <dcterms:created xsi:type="dcterms:W3CDTF">2017-03-15T14:38:00Z</dcterms:created>
  <dcterms:modified xsi:type="dcterms:W3CDTF">2021-07-27T15:47:00Z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