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i w:val="false"/>
          <w:i w:val="false"/>
          <w:iCs w:val="false"/>
        </w:rPr>
      </w:pPr>
      <w:r>
        <w:rPr>
          <w:i w:val="false"/>
          <w:iCs w:val="false"/>
        </w:rPr>
        <w:t xml:space="preserve">Am 27. Juni 1721 wendet sich </w:t>
      </w:r>
      <w:r>
        <w:rPr>
          <w:i w:val="false"/>
          <w:iCs w:val="false"/>
        </w:rPr>
        <w:t>Hans Jakob</w:t>
      </w:r>
      <w:r>
        <w:rPr>
          <w:i w:val="false"/>
          <w:iCs w:val="false"/>
        </w:rPr>
        <w:t xml:space="preserve"> Amman, der Pfarrer von Augst an den Antistes Johann Ludwig Nüscheler. Barbeli Senn, die zehnjährige Tochter von Ruedi Senn und Verena Ernin, die wegen des Lebenswandels ihrer Eltern verdingt worden war, </w:t>
      </w:r>
      <w:r>
        <w:rPr>
          <w:i w:val="false"/>
          <w:iCs w:val="false"/>
        </w:rPr>
        <w:t xml:space="preserve">könne zaubern. </w:t>
      </w:r>
      <w:r>
        <w:rPr>
          <w:i w:val="false"/>
          <w:iCs w:val="false"/>
        </w:rPr>
        <w:t xml:space="preserve">Bevor er auf den eigentlichen Fall zu sprechen kommt erzählt er die Vorgeschichte der Familie – </w:t>
      </w:r>
      <w:r>
        <w:rPr>
          <w:i w:val="false"/>
          <w:iCs w:val="false"/>
        </w:rPr>
        <w:t>einer Familie die ein unstetiges leben zwischen Bern und Zürich führt</w:t>
      </w:r>
      <w:r>
        <w:rPr>
          <w:i w:val="false"/>
          <w:iCs w:val="false"/>
        </w:rPr>
        <w:t xml:space="preserve">. </w:t>
      </w:r>
      <w:r>
        <w:rPr>
          <w:i w:val="false"/>
          <w:iCs w:val="false"/>
        </w:rPr>
        <w:t xml:space="preserve">Nun habe </w:t>
      </w:r>
      <w:r>
        <w:rPr>
          <w:i w:val="false"/>
          <w:iCs w:val="false"/>
        </w:rPr>
        <w:t xml:space="preserve">Barbeli, </w:t>
      </w:r>
      <w:r>
        <w:rPr>
          <w:i w:val="false"/>
          <w:iCs w:val="false"/>
        </w:rPr>
        <w:t>die</w:t>
      </w:r>
      <w:r>
        <w:rPr>
          <w:i w:val="false"/>
          <w:iCs w:val="false"/>
        </w:rPr>
        <w:t xml:space="preserve"> er</w:t>
      </w:r>
      <w:r>
        <w:rPr>
          <w:i w:val="false"/>
          <w:iCs w:val="false"/>
        </w:rPr>
        <w:t xml:space="preserve"> nur mit Mühe ha</w:t>
      </w:r>
      <w:r>
        <w:rPr>
          <w:i w:val="false"/>
          <w:iCs w:val="false"/>
        </w:rPr>
        <w:t>tte</w:t>
      </w:r>
      <w:r>
        <w:rPr>
          <w:i w:val="false"/>
          <w:iCs w:val="false"/>
        </w:rPr>
        <w:t xml:space="preserve"> verdingen können, </w:t>
      </w:r>
      <w:r>
        <w:rPr>
          <w:i w:val="false"/>
          <w:iCs w:val="false"/>
        </w:rPr>
        <w:t>den</w:t>
      </w:r>
      <w:r>
        <w:rPr>
          <w:i w:val="false"/>
          <w:iCs w:val="false"/>
        </w:rPr>
        <w:t xml:space="preserve"> Kindern </w:t>
      </w:r>
      <w:r>
        <w:rPr>
          <w:i w:val="false"/>
          <w:iCs w:val="false"/>
        </w:rPr>
        <w:t xml:space="preserve">der Familie, in der </w:t>
      </w:r>
      <w:r>
        <w:rPr>
          <w:i w:val="false"/>
          <w:iCs w:val="false"/>
        </w:rPr>
        <w:t>sie</w:t>
      </w:r>
      <w:r>
        <w:rPr>
          <w:i w:val="false"/>
          <w:iCs w:val="false"/>
        </w:rPr>
        <w:t xml:space="preserve"> </w:t>
      </w:r>
      <w:r>
        <w:rPr>
          <w:i w:val="false"/>
          <w:iCs w:val="false"/>
        </w:rPr>
        <w:t>seit sechs Wochen</w:t>
      </w:r>
      <w:r>
        <w:rPr>
          <w:i w:val="false"/>
          <w:iCs w:val="false"/>
        </w:rPr>
        <w:t xml:space="preserve"> lebe, angeboten</w:t>
      </w:r>
      <w:r>
        <w:rPr>
          <w:i w:val="false"/>
          <w:iCs w:val="false"/>
        </w:rPr>
        <w:t xml:space="preserve"> gegen die Bezahlung von 20 Bazen zu zeigen, wie sie schwarze Vögel zaube. </w:t>
      </w:r>
      <w:r>
        <w:rPr>
          <w:i w:val="false"/>
          <w:iCs w:val="false"/>
        </w:rPr>
        <w:t xml:space="preserve">Der Sohn </w:t>
      </w:r>
      <w:r>
        <w:rPr>
          <w:i w:val="false"/>
          <w:iCs w:val="false"/>
        </w:rPr>
        <w:t xml:space="preserve">Heinrich Maurer </w:t>
      </w:r>
      <w:r>
        <w:rPr>
          <w:i w:val="false"/>
          <w:iCs w:val="false"/>
        </w:rPr>
        <w:t>gebe</w:t>
      </w:r>
      <w:r>
        <w:rPr>
          <w:i w:val="false"/>
          <w:iCs w:val="false"/>
        </w:rPr>
        <w:t xml:space="preserve"> an, er habe gesehen, wie sie Kräuter in den Bach leg</w:t>
      </w:r>
      <w:r>
        <w:rPr>
          <w:i w:val="false"/>
          <w:iCs w:val="false"/>
        </w:rPr>
        <w:t>t</w:t>
      </w:r>
      <w:r>
        <w:rPr>
          <w:i w:val="false"/>
          <w:iCs w:val="false"/>
        </w:rPr>
        <w:t xml:space="preserve">e, </w:t>
      </w:r>
      <w:r>
        <w:rPr>
          <w:i w:val="false"/>
          <w:iCs w:val="false"/>
        </w:rPr>
        <w:t xml:space="preserve">diese </w:t>
      </w:r>
      <w:r>
        <w:rPr>
          <w:i w:val="false"/>
          <w:iCs w:val="false"/>
        </w:rPr>
        <w:t>mit einem Stecken sch</w:t>
      </w:r>
      <w:r>
        <w:rPr>
          <w:i w:val="false"/>
          <w:iCs w:val="false"/>
        </w:rPr>
        <w:t>lug</w:t>
      </w:r>
      <w:r>
        <w:rPr>
          <w:i w:val="false"/>
          <w:iCs w:val="false"/>
        </w:rPr>
        <w:t xml:space="preserve"> und sodann schwarze Vögel davon </w:t>
      </w:r>
      <w:r>
        <w:rPr>
          <w:i w:val="false"/>
          <w:iCs w:val="false"/>
        </w:rPr>
        <w:t>flogen</w:t>
      </w:r>
      <w:r>
        <w:rPr>
          <w:i w:val="false"/>
          <w:iCs w:val="false"/>
        </w:rPr>
        <w:t xml:space="preserve">. Pfarrer Amman </w:t>
      </w:r>
      <w:r>
        <w:rPr>
          <w:i w:val="false"/>
          <w:iCs w:val="false"/>
        </w:rPr>
        <w:t>legt dem Brief auch ein Verhör</w:t>
      </w:r>
      <w:r>
        <w:rPr>
          <w:i w:val="false"/>
          <w:iCs w:val="false"/>
        </w:rPr>
        <w:t>p</w:t>
      </w:r>
      <w:r>
        <w:rPr>
          <w:i w:val="false"/>
          <w:iCs w:val="false"/>
        </w:rPr>
        <w:t>rotokoll bei. Z</w:t>
      </w:r>
      <w:r>
        <w:rPr>
          <w:i w:val="false"/>
          <w:iCs w:val="false"/>
        </w:rPr>
        <w:t xml:space="preserve">usammen mit seinem Sohn – ebenfalls ausgebildeter Pfarrer – </w:t>
      </w:r>
      <w:r>
        <w:rPr>
          <w:i w:val="false"/>
          <w:iCs w:val="false"/>
        </w:rPr>
        <w:t>hatte er sie befragt, und das</w:t>
      </w:r>
      <w:r>
        <w:rPr>
          <w:i w:val="false"/>
          <w:iCs w:val="false"/>
        </w:rPr>
        <w:t xml:space="preserve"> Mädchen </w:t>
      </w:r>
      <w:r>
        <w:rPr>
          <w:i w:val="false"/>
          <w:iCs w:val="false"/>
        </w:rPr>
        <w:t xml:space="preserve">hatte </w:t>
      </w:r>
      <w:r>
        <w:rPr>
          <w:i w:val="false"/>
          <w:iCs w:val="false"/>
        </w:rPr>
        <w:t>unter anderem ausgesagt</w:t>
      </w:r>
      <w:r>
        <w:rPr>
          <w:i w:val="false"/>
          <w:iCs w:val="false"/>
        </w:rPr>
        <w:t xml:space="preserve">, dass sein Vater ihm </w:t>
      </w:r>
      <w:r>
        <w:rPr>
          <w:i w:val="false"/>
          <w:iCs w:val="false"/>
        </w:rPr>
        <w:t xml:space="preserve">das Zaubern </w:t>
      </w:r>
      <w:r>
        <w:rPr>
          <w:i w:val="false"/>
          <w:iCs w:val="false"/>
        </w:rPr>
        <w:t xml:space="preserve">beigebracht und  </w:t>
      </w:r>
      <w:r>
        <w:rPr>
          <w:i w:val="false"/>
          <w:iCs w:val="false"/>
        </w:rPr>
        <w:t xml:space="preserve">auch </w:t>
      </w:r>
      <w:r>
        <w:rPr>
          <w:i w:val="false"/>
          <w:iCs w:val="false"/>
        </w:rPr>
        <w:t xml:space="preserve">befohlen </w:t>
      </w:r>
      <w:r>
        <w:rPr>
          <w:i w:val="false"/>
          <w:iCs w:val="false"/>
        </w:rPr>
        <w:t>hatte</w:t>
      </w:r>
      <w:r>
        <w:rPr>
          <w:i w:val="false"/>
          <w:iCs w:val="false"/>
        </w:rPr>
        <w:t xml:space="preserve">. </w:t>
      </w:r>
      <w:r>
        <w:rPr>
          <w:i w:val="false"/>
          <w:iCs w:val="false"/>
        </w:rPr>
        <w:t>Pfarrer Amman betont in seinem Schreiben zudem, dass das Kind sonst schön beten und auch die «Fragestückli» (Katechismus) aufsagen könne.</w:t>
      </w:r>
      <w:r>
        <w:rPr>
          <w:i w:val="false"/>
          <w:iCs w:val="false"/>
        </w:rPr>
        <w:t xml:space="preserve"> Bereits am nächsten Tag befasst sich der kleine Rat von Zürich mit dem Fall. Die Nachgänger sollen alle im Brief erwähnten Personen befragen. Am 1. Juli verhören Johann Conrad Werdmüller und Zunftmeister Lavater den </w:t>
      </w:r>
      <w:r>
        <w:rPr>
          <w:i w:val="false"/>
          <w:iCs w:val="false"/>
        </w:rPr>
        <w:t>zwanzigj</w:t>
      </w:r>
      <w:r>
        <w:rPr>
          <w:i w:val="false"/>
          <w:iCs w:val="false"/>
        </w:rPr>
        <w:t xml:space="preserve">ährigen Heinrich Maurer </w:t>
      </w:r>
      <w:r>
        <w:rPr>
          <w:i w:val="false"/>
          <w:iCs w:val="false"/>
        </w:rPr>
        <w:t>und</w:t>
      </w:r>
      <w:r>
        <w:rPr>
          <w:i w:val="false"/>
          <w:iCs w:val="false"/>
        </w:rPr>
        <w:t xml:space="preserve"> seine fünfzehnjährige Schwester Barbara, </w:t>
      </w:r>
      <w:r>
        <w:rPr>
          <w:i w:val="false"/>
          <w:iCs w:val="false"/>
        </w:rPr>
        <w:t xml:space="preserve">die das Mädchen für das «Vögelimachen» bezahlt hatten. Deren Vater, bei dem das Kind verdingt war und Hans Senn, bei welchen Barbeli zuvor «am Tisch gewesen». Beide Männer </w:t>
      </w:r>
      <w:r>
        <w:rPr>
          <w:i w:val="false"/>
          <w:iCs w:val="false"/>
        </w:rPr>
        <w:t>sagen aus, dass sie Barbeli nie</w:t>
      </w:r>
      <w:r>
        <w:rPr>
          <w:i w:val="false"/>
          <w:iCs w:val="false"/>
        </w:rPr>
        <w:t xml:space="preserve"> haben </w:t>
      </w:r>
      <w:r>
        <w:rPr>
          <w:i w:val="false"/>
          <w:iCs w:val="false"/>
        </w:rPr>
        <w:t>vögel machen</w:t>
      </w:r>
      <w:r>
        <w:rPr>
          <w:i w:val="false"/>
          <w:iCs w:val="false"/>
        </w:rPr>
        <w:t xml:space="preserve"> sehen, Senn beschriebt </w:t>
      </w:r>
      <w:r>
        <w:rPr>
          <w:i w:val="false"/>
          <w:iCs w:val="false"/>
        </w:rPr>
        <w:t>sie</w:t>
      </w:r>
      <w:r>
        <w:rPr>
          <w:i w:val="false"/>
          <w:iCs w:val="false"/>
        </w:rPr>
        <w:t xml:space="preserve"> aber als «</w:t>
      </w:r>
      <w:r>
        <w:rPr>
          <w:i w:val="false"/>
          <w:iCs w:val="false"/>
        </w:rPr>
        <w:t xml:space="preserve">mutwillig und hallstarrig». </w:t>
      </w:r>
      <w:r>
        <w:rPr>
          <w:i w:val="false"/>
          <w:iCs w:val="false"/>
        </w:rPr>
        <w:t>Als letzte</w:t>
      </w:r>
      <w:r>
        <w:rPr>
          <w:i w:val="false"/>
          <w:iCs w:val="false"/>
        </w:rPr>
        <w:t xml:space="preserve"> wird Barbeli Senn befragt. </w:t>
      </w:r>
      <w:r>
        <w:rPr>
          <w:i w:val="false"/>
          <w:iCs w:val="false"/>
        </w:rPr>
        <w:t>Sie</w:t>
      </w:r>
      <w:r>
        <w:rPr>
          <w:i w:val="false"/>
          <w:iCs w:val="false"/>
        </w:rPr>
        <w:t xml:space="preserve"> erklärt wie </w:t>
      </w:r>
      <w:r>
        <w:rPr>
          <w:i w:val="false"/>
          <w:iCs w:val="false"/>
        </w:rPr>
        <w:t>sie</w:t>
      </w:r>
      <w:r>
        <w:rPr>
          <w:i w:val="false"/>
          <w:iCs w:val="false"/>
        </w:rPr>
        <w:t xml:space="preserve"> die Vögel zaubert, </w:t>
      </w:r>
      <w:r>
        <w:rPr>
          <w:i w:val="false"/>
          <w:iCs w:val="false"/>
        </w:rPr>
        <w:t>welche Kräuter sie sammelt,</w:t>
      </w:r>
      <w:r>
        <w:rPr>
          <w:i w:val="false"/>
          <w:iCs w:val="false"/>
        </w:rPr>
        <w:t xml:space="preserve"> </w:t>
      </w:r>
      <w:r>
        <w:rPr>
          <w:i w:val="false"/>
          <w:iCs w:val="false"/>
        </w:rPr>
        <w:t>und</w:t>
      </w:r>
      <w:r>
        <w:rPr>
          <w:i w:val="false"/>
          <w:iCs w:val="false"/>
        </w:rPr>
        <w:t xml:space="preserve"> dass die </w:t>
      </w:r>
      <w:r>
        <w:rPr>
          <w:i w:val="false"/>
          <w:iCs w:val="false"/>
        </w:rPr>
        <w:t>Vögel</w:t>
      </w:r>
      <w:r>
        <w:rPr>
          <w:i w:val="false"/>
          <w:iCs w:val="false"/>
        </w:rPr>
        <w:t xml:space="preserve"> </w:t>
      </w:r>
      <w:r>
        <w:rPr>
          <w:i w:val="false"/>
          <w:iCs w:val="false"/>
        </w:rPr>
        <w:t xml:space="preserve">wirklich </w:t>
      </w:r>
      <w:r>
        <w:rPr>
          <w:i w:val="false"/>
          <w:iCs w:val="false"/>
        </w:rPr>
        <w:t>fliegen können. Jeden Tag habe es Vögel gezaubert, «d</w:t>
      </w:r>
      <w:r>
        <w:rPr>
          <w:i w:val="false"/>
          <w:iCs w:val="false"/>
        </w:rPr>
        <w:t xml:space="preserve">enn sein ädti habe g‘sagt müsse alle tag machen, sonst holle es der Teüffel». </w:t>
      </w:r>
      <w:r>
        <w:rPr>
          <w:i w:val="false"/>
          <w:iCs w:val="false"/>
        </w:rPr>
        <w:t xml:space="preserve">Auch hätte es dem Vogel das Geld, dass sie von den anderen Kindern verlangt hatte, in den Schnabel legen müssen, damit er es dem Vater bringt. </w:t>
      </w:r>
      <w:r>
        <w:rPr>
          <w:i w:val="false"/>
          <w:iCs w:val="false"/>
        </w:rPr>
        <w:t>Nach dem Verhör wird dem Mädchen von den Nachgängern «</w:t>
      </w:r>
      <w:r>
        <w:rPr>
          <w:i w:val="false"/>
          <w:iCs w:val="false"/>
        </w:rPr>
        <w:t xml:space="preserve">freündt-ernstliche» </w:t>
      </w:r>
      <w:r>
        <w:rPr>
          <w:i w:val="false"/>
          <w:iCs w:val="false"/>
        </w:rPr>
        <w:t xml:space="preserve">zugesprochen und ihm verständlich gemacht, dass es sich das alles nur einbildet, bis </w:t>
      </w:r>
      <w:r>
        <w:rPr>
          <w:i w:val="false"/>
          <w:iCs w:val="false"/>
        </w:rPr>
        <w:t>sich Barbeli</w:t>
      </w:r>
      <w:r>
        <w:rPr>
          <w:i w:val="false"/>
          <w:iCs w:val="false"/>
        </w:rPr>
        <w:t xml:space="preserve"> «eines </w:t>
      </w:r>
      <w:r>
        <w:rPr>
          <w:i w:val="false"/>
          <w:iCs w:val="false"/>
        </w:rPr>
        <w:t xml:space="preserve">besseren besinth» </w:t>
      </w:r>
      <w:r>
        <w:rPr>
          <w:i w:val="false"/>
          <w:iCs w:val="false"/>
        </w:rPr>
        <w:t xml:space="preserve">und </w:t>
      </w:r>
      <w:r>
        <w:rPr>
          <w:i w:val="false"/>
          <w:iCs w:val="false"/>
        </w:rPr>
        <w:t xml:space="preserve">angibt </w:t>
      </w:r>
      <w:r>
        <w:rPr>
          <w:i w:val="false"/>
          <w:iCs w:val="false"/>
        </w:rPr>
        <w:t xml:space="preserve">zukünftig brav beten </w:t>
      </w:r>
      <w:r>
        <w:rPr>
          <w:i w:val="false"/>
          <w:iCs w:val="false"/>
        </w:rPr>
        <w:t>zu wollen</w:t>
      </w:r>
      <w:r>
        <w:rPr>
          <w:i w:val="false"/>
          <w:iCs w:val="false"/>
        </w:rPr>
        <w:t xml:space="preserve">. Am 3. Juli befasst sich der kleine Rat wieder mit dem Fall – das Mädchen soll mit Ruten gezüchtigt werden </w:t>
      </w:r>
      <w:r>
        <w:rPr>
          <w:i w:val="false"/>
          <w:iCs w:val="false"/>
        </w:rPr>
        <w:t>zudem soll</w:t>
      </w:r>
      <w:r>
        <w:rPr>
          <w:i w:val="false"/>
          <w:iCs w:val="false"/>
        </w:rPr>
        <w:t xml:space="preserve"> der Pfarrer im </w:t>
      </w:r>
      <w:r>
        <w:rPr>
          <w:i w:val="false"/>
          <w:iCs w:val="false"/>
        </w:rPr>
        <w:t>Oe</w:t>
      </w:r>
      <w:r>
        <w:rPr>
          <w:i w:val="false"/>
          <w:iCs w:val="false"/>
        </w:rPr>
        <w:t xml:space="preserve">tenbach es besuchen </w:t>
      </w:r>
      <w:r>
        <w:rPr>
          <w:i w:val="false"/>
          <w:iCs w:val="false"/>
        </w:rPr>
        <w:t>und</w:t>
      </w:r>
      <w:r>
        <w:rPr>
          <w:i w:val="false"/>
          <w:iCs w:val="false"/>
        </w:rPr>
        <w:t xml:space="preserve"> im Handel des Heils unterrichten. Bereits drei Tage später schreibt Josef Jakob Ulrich an den Rat. Das Mädchen beharre nun darauf, dass es nie Vögel gemacht habe, noch machen können, was auch viel glaubwürdiger sei, als wenn es das Gegenteil behaupten würde. </w:t>
      </w:r>
      <w:r>
        <w:rPr>
          <w:i w:val="false"/>
          <w:iCs w:val="false"/>
        </w:rPr>
        <w:t>Ulrich widerspricht in seinem Brief dem Dorfpfarrer Amman. Das «arme Kind» Barbeli sei in der Religion unwissend, könne weder lesen, noch schreiben, noch die Fragestücklein aus dem Katechismus. Die einzigen Gebete die es kenne spreche es in Rothwel</w:t>
      </w:r>
      <w:r>
        <w:rPr>
          <w:i w:val="false"/>
          <w:iCs w:val="false"/>
        </w:rPr>
        <w:t>s</w:t>
      </w:r>
      <w:r>
        <w:rPr>
          <w:i w:val="false"/>
          <w:iCs w:val="false"/>
        </w:rPr>
        <w:t xml:space="preserve">ch – einem Jargon von Bettler und Fahrenden. </w:t>
      </w:r>
      <w:r>
        <w:rPr>
          <w:i w:val="false"/>
          <w:iCs w:val="false"/>
        </w:rPr>
        <w:t>Daraufhin beschliesst der Rat am 9. Juli, dass das Kind einige Zeit im Oet</w:t>
      </w:r>
      <w:r>
        <w:rPr>
          <w:i w:val="false"/>
          <w:iCs w:val="false"/>
        </w:rPr>
        <w:t>e</w:t>
      </w:r>
      <w:r>
        <w:rPr>
          <w:i w:val="false"/>
          <w:iCs w:val="false"/>
        </w:rPr>
        <w:t xml:space="preserve">nbach bleiben soll um vom Pfarrer Ulrich unterrichtet zu werden. Zudem soll ihr Vater vom </w:t>
      </w:r>
      <w:r>
        <w:rPr>
          <w:i w:val="false"/>
          <w:iCs w:val="false"/>
        </w:rPr>
        <w:t>z</w:t>
      </w:r>
      <w:r>
        <w:rPr>
          <w:i w:val="false"/>
          <w:iCs w:val="false"/>
        </w:rPr>
        <w:t>uständigen Vogt aufgesucht werden für eine Ansprache. Weil das Mädchen bereits zu einem früheren Zeitpunkt gezüchtigt worden war, wird sie keiner weiteren Körperstrafe unterzogen.</w:t>
      </w:r>
    </w:p>
    <w:p>
      <w:pPr>
        <w:pStyle w:val="Normal"/>
        <w:bidi w:val="0"/>
        <w:jc w:val="left"/>
        <w:rPr>
          <w:i w:val="false"/>
          <w:i w:val="false"/>
          <w:iCs w:val="false"/>
        </w:rPr>
      </w:pPr>
      <w:r>
        <w:rPr>
          <w:i w:val="false"/>
          <w:iCs w:val="false"/>
        </w:rPr>
      </w:r>
    </w:p>
    <w:p>
      <w:pPr>
        <w:pStyle w:val="Normal"/>
        <w:bidi w:val="0"/>
        <w:jc w:val="left"/>
        <w:rPr>
          <w:i w:val="false"/>
          <w:i w:val="false"/>
          <w:iCs w:val="false"/>
        </w:rPr>
      </w:pPr>
      <w:r>
        <w:rPr>
          <w:i w:val="false"/>
          <w:iCs w:val="false"/>
        </w:rPr>
        <w:t xml:space="preserve">Der Fall «Barbeli Senn» passt in das Bild der späten Hexenprozesse. </w:t>
      </w:r>
      <w:r>
        <w:rPr>
          <w:i w:val="false"/>
          <w:iCs w:val="false"/>
        </w:rPr>
        <w:t xml:space="preserve">Im </w:t>
      </w:r>
      <w:r>
        <w:rPr>
          <w:i w:val="false"/>
          <w:iCs w:val="false"/>
        </w:rPr>
        <w:t xml:space="preserve">Lauf der ca. 350 Jahren, in welchen in Westeuropa die Hexenverfolgung legal war, spielten Kinderhexenprozesse eine immer grössere Rolle. </w:t>
      </w:r>
      <w:r>
        <w:rPr>
          <w:i w:val="false"/>
          <w:iCs w:val="false"/>
        </w:rPr>
        <w:t xml:space="preserve">Kinderhexenprozesse, das heisst Hexenprozesse die dadurch ausgelöst wurden, dass ein Kind sich selbst </w:t>
      </w:r>
      <w:r>
        <w:rPr>
          <w:i w:val="false"/>
          <w:iCs w:val="false"/>
        </w:rPr>
        <w:t xml:space="preserve">oder andere </w:t>
      </w:r>
      <w:r>
        <w:rPr>
          <w:i w:val="false"/>
          <w:iCs w:val="false"/>
        </w:rPr>
        <w:t xml:space="preserve">der Hexerei bezichtigte. In frühen Hexenprozessen waren Kinder meist passive Opfer: Sie sollten dem Teufel geopfert, von den Hexen gefressen oder für Zauberzwecke getötet werden. Mit den ersten Welle der Hexenverfolgungen in den Jahrzehnten nach 1585 wurde ihre Rolle eine aktive – sowohl bei der angeblichen Zauberei als auch bei der Denunziation. In der grossen Verfolgungswelle der Jahre 1626 – 30 waren zunehmend mehr Kinder beteiligt. Als Auslöser aber auch als Opfer. </w:t>
      </w:r>
      <w:r>
        <w:rPr>
          <w:i w:val="false"/>
          <w:iCs w:val="false"/>
        </w:rPr>
        <w:t>I</w:t>
      </w:r>
      <w:r>
        <w:rPr>
          <w:i w:val="false"/>
          <w:iCs w:val="false"/>
        </w:rPr>
        <w:t xml:space="preserve">m 17. Jahrhundert stieg in erheblichem Mass </w:t>
      </w:r>
      <w:r>
        <w:rPr>
          <w:i w:val="false"/>
          <w:iCs w:val="false"/>
        </w:rPr>
        <w:t>der Anteil der Kinder in den Prozessen</w:t>
      </w:r>
      <w:r>
        <w:rPr>
          <w:i w:val="false"/>
          <w:iCs w:val="false"/>
        </w:rPr>
        <w:t xml:space="preserve">. So waren ein Viertel der in Würzburg als Hexen verbrannten Menschen Kinder. Nach der grossen Verfolgungswelle gingen die Hexenprozesse generell zurück. Die Zahl der Kinderprozesse blieb aber relativ konstant – dadurch stiegen sie proportional in ihre Bedeutung an. Die grossen, skandalösen Prozesse des späteren 17. und frühen 18. Jahrhundert waren meist Kinderhexenprozesse. </w:t>
      </w:r>
      <w:r>
        <w:rPr>
          <w:i w:val="false"/>
          <w:iCs w:val="false"/>
        </w:rPr>
        <w:t xml:space="preserve">Prof. Dr. Wolfgang Behringer, der seit Jahrzehnten über die Hexenprozesse forscht, legt nahe, dass zahlreiche Kinderprozesse des 17. Jahrhunderts den Anschein erwecken, als hätten die Kinder mit ihrer beschränkten Erlebniswelt lediglich irgendwelche unverstandenen Erzählungen, die ihre Phantasie beschäftigten, auf Personen der nächsten Umgebung projiziert. Zudem hätten es die Kinder, die immer den Erwachsenen ausgeliefert waren, in diesen Prozessen plötzlich in der Hand gehabt über das Schicksal der Erwachsenen zu bestimmen. Sie konnten zum Mittelpunkt der Aufmerksamkeit eines ganzen Gemeinwesens werden. </w:t>
      </w:r>
      <w:r>
        <w:rPr>
          <w:i w:val="false"/>
          <w:iCs w:val="false"/>
        </w:rPr>
        <w:t xml:space="preserve">Dass Kinder in ihren Aussagen Personen beschuldigten, die bereits einen schlechten Ruf hatten, war nicht unüblich. Sie mischten ihre Phantasien mit den Gerüchten der Bevölkerung und machten sich damit quasi zum Sprachrohr dieser Gerüchte. </w:t>
      </w:r>
      <w:r>
        <w:rPr>
          <w:i w:val="false"/>
          <w:iCs w:val="false"/>
        </w:rPr>
        <w:t>Welche Motive hinter den Aussagen der Barbeli Senn standen, kann 300 Jahre später nicht mehr gesagt werde</w:t>
      </w:r>
      <w:r>
        <w:rPr>
          <w:i w:val="false"/>
          <w:iCs w:val="false"/>
        </w:rPr>
        <w:t>n</w:t>
      </w:r>
      <w:r>
        <w:rPr>
          <w:i w:val="false"/>
          <w:iCs w:val="false"/>
        </w:rPr>
        <w:t xml:space="preserve">. </w:t>
      </w:r>
      <w:r>
        <w:rPr>
          <w:i w:val="false"/>
          <w:iCs w:val="false"/>
        </w:rPr>
        <w:t>Was wir wissen ist, dass das Kind aus ei</w:t>
      </w:r>
      <w:r>
        <w:rPr>
          <w:i w:val="false"/>
          <w:iCs w:val="false"/>
        </w:rPr>
        <w:t>ne</w:t>
      </w:r>
      <w:r>
        <w:rPr>
          <w:i w:val="false"/>
          <w:iCs w:val="false"/>
        </w:rPr>
        <w:t xml:space="preserve">r Familie kam, die sich am Rand der Gesellschaft befunden hat – dem Bericht des Pfarrers Amman zu Folge </w:t>
      </w:r>
      <w:r>
        <w:rPr>
          <w:i w:val="false"/>
          <w:iCs w:val="false"/>
        </w:rPr>
        <w:t xml:space="preserve">führte </w:t>
      </w:r>
      <w:r>
        <w:rPr>
          <w:i w:val="false"/>
          <w:iCs w:val="false"/>
        </w:rPr>
        <w:t xml:space="preserve">die Eltern </w:t>
      </w:r>
      <w:r>
        <w:rPr>
          <w:i w:val="false"/>
          <w:iCs w:val="false"/>
        </w:rPr>
        <w:t xml:space="preserve">ein unstetes Leben zwischen dem Bernergebiet und Aeugst, zogen mit den Kindern durchs Land. </w:t>
      </w:r>
      <w:r>
        <w:rPr>
          <w:i w:val="false"/>
          <w:iCs w:val="false"/>
        </w:rPr>
        <w:t>Aktenkundig wurden sie, als</w:t>
      </w:r>
      <w:r>
        <w:rPr>
          <w:i w:val="false"/>
          <w:iCs w:val="false"/>
        </w:rPr>
        <w:t xml:space="preserve"> die</w:t>
      </w:r>
      <w:r>
        <w:rPr>
          <w:i w:val="false"/>
          <w:iCs w:val="false"/>
        </w:rPr>
        <w:t xml:space="preserve"> Kinder ein Lied </w:t>
      </w:r>
      <w:r>
        <w:rPr>
          <w:i w:val="false"/>
          <w:iCs w:val="false"/>
        </w:rPr>
        <w:t>sangen,</w:t>
      </w:r>
      <w:r>
        <w:rPr>
          <w:i w:val="false"/>
          <w:iCs w:val="false"/>
        </w:rPr>
        <w:t xml:space="preserve"> </w:t>
      </w:r>
      <w:r>
        <w:rPr>
          <w:i w:val="false"/>
          <w:iCs w:val="false"/>
        </w:rPr>
        <w:t>das als so gotteslästerlich und schrecklich bef</w:t>
      </w:r>
      <w:r>
        <w:rPr>
          <w:i w:val="false"/>
          <w:iCs w:val="false"/>
        </w:rPr>
        <w:t>u</w:t>
      </w:r>
      <w:r>
        <w:rPr>
          <w:i w:val="false"/>
          <w:iCs w:val="false"/>
        </w:rPr>
        <w:t>nden wurde, dass der Rat bei der Urteilsverkünung beschloss «d</w:t>
      </w:r>
      <w:r>
        <w:rPr>
          <w:i w:val="false"/>
          <w:iCs w:val="false"/>
        </w:rPr>
        <w:t>ass das in der Ca</w:t>
      </w:r>
      <w:r>
        <w:rPr>
          <w:i w:val="false"/>
          <w:iCs w:val="false"/>
        </w:rPr>
        <w:t>n</w:t>
      </w:r>
      <w:r>
        <w:rPr>
          <w:i w:val="false"/>
          <w:iCs w:val="false"/>
        </w:rPr>
        <w:t xml:space="preserve">tzeley sich befindende </w:t>
      </w:r>
      <w:r>
        <w:rPr>
          <w:i w:val="false"/>
          <w:iCs w:val="false"/>
        </w:rPr>
        <w:t>g</w:t>
      </w:r>
      <w:r>
        <w:rPr>
          <w:i w:val="false"/>
          <w:iCs w:val="false"/>
        </w:rPr>
        <w:t xml:space="preserve">otslästerliche liedlin ohnnütz gemacht und vrezehret» </w:t>
      </w:r>
      <w:r>
        <w:rPr>
          <w:i w:val="false"/>
          <w:iCs w:val="false"/>
        </w:rPr>
        <w:t xml:space="preserve">werden soll. </w:t>
      </w:r>
      <w:r>
        <w:rPr>
          <w:i w:val="false"/>
          <w:iCs w:val="false"/>
        </w:rPr>
        <w:t xml:space="preserve">Weil die Mutter ihnen das Lied beigebracht haben soll, wurde </w:t>
      </w:r>
      <w:r>
        <w:rPr>
          <w:i w:val="false"/>
          <w:iCs w:val="false"/>
        </w:rPr>
        <w:t>diese</w:t>
      </w:r>
      <w:r>
        <w:rPr>
          <w:i w:val="false"/>
          <w:iCs w:val="false"/>
        </w:rPr>
        <w:t xml:space="preserve"> </w:t>
      </w:r>
      <w:r>
        <w:rPr>
          <w:i w:val="false"/>
          <w:iCs w:val="false"/>
        </w:rPr>
        <w:t xml:space="preserve">für 6 Jahre verbannt. Ansonsten wurde beschlossen, dass die Kinder, bis sie verdingt werden, im Oetenbach leben sollen, die beiden Ältesten ausgepeitscht werden </w:t>
      </w:r>
      <w:r>
        <w:rPr>
          <w:i w:val="false"/>
          <w:iCs w:val="false"/>
        </w:rPr>
        <w:t>und</w:t>
      </w:r>
      <w:r>
        <w:rPr>
          <w:i w:val="false"/>
          <w:iCs w:val="false"/>
        </w:rPr>
        <w:t xml:space="preserve"> das zweitjüngste bei </w:t>
      </w:r>
      <w:r>
        <w:rPr>
          <w:i w:val="false"/>
          <w:iCs w:val="false"/>
        </w:rPr>
        <w:t>der Strafe</w:t>
      </w:r>
      <w:r>
        <w:rPr>
          <w:i w:val="false"/>
          <w:iCs w:val="false"/>
        </w:rPr>
        <w:t xml:space="preserve"> zusehen müsse. Barbeli, als </w:t>
      </w:r>
      <w:r>
        <w:rPr>
          <w:i w:val="false"/>
          <w:iCs w:val="false"/>
        </w:rPr>
        <w:t>J</w:t>
      </w:r>
      <w:r>
        <w:rPr>
          <w:i w:val="false"/>
          <w:iCs w:val="false"/>
        </w:rPr>
        <w:t xml:space="preserve">üngste, musste nicht zusehen, </w:t>
      </w:r>
      <w:r>
        <w:rPr>
          <w:i w:val="false"/>
          <w:iCs w:val="false"/>
        </w:rPr>
        <w:t>wie ihre Geschwister bestraft wurden.</w:t>
      </w:r>
      <w:r>
        <w:rPr>
          <w:i w:val="false"/>
          <w:iCs w:val="false"/>
        </w:rPr>
        <w:t xml:space="preserve"> </w:t>
      </w:r>
      <w:r>
        <w:rPr>
          <w:i w:val="false"/>
          <w:iCs w:val="false"/>
        </w:rPr>
        <w:t>S</w:t>
      </w:r>
      <w:r>
        <w:rPr>
          <w:i w:val="false"/>
          <w:iCs w:val="false"/>
        </w:rPr>
        <w:t>ie wurde nur verdingt. Dem Vater wurde lediglich gut zugesproch</w:t>
      </w:r>
      <w:r>
        <w:rPr>
          <w:i w:val="false"/>
          <w:iCs w:val="false"/>
        </w:rPr>
        <w:t>e</w:t>
      </w:r>
      <w:r>
        <w:rPr>
          <w:i w:val="false"/>
          <w:iCs w:val="false"/>
        </w:rPr>
        <w:t xml:space="preserve">n, dass er künftig brav arbeite. Doch der dachte nicht daran und entführte die beiden Töchter um mit seiner Frau das Land zu verlassen – nur um sie </w:t>
      </w:r>
      <w:r>
        <w:rPr>
          <w:i w:val="false"/>
          <w:iCs w:val="false"/>
        </w:rPr>
        <w:t>einige</w:t>
      </w:r>
      <w:r>
        <w:rPr>
          <w:i w:val="false"/>
          <w:iCs w:val="false"/>
        </w:rPr>
        <w:t xml:space="preserve"> Wochen später wieder zurück zu </w:t>
      </w:r>
      <w:r>
        <w:rPr>
          <w:i w:val="false"/>
          <w:iCs w:val="false"/>
        </w:rPr>
        <w:t>schicken</w:t>
      </w:r>
      <w:r>
        <w:rPr>
          <w:i w:val="false"/>
          <w:iCs w:val="false"/>
        </w:rPr>
        <w:t xml:space="preserve">. Man kann sich vorstellen, dass weder der Pfarrer noch die Bauernfamilie, bei der das Barbeli Senn lebte, besonders gut von diesem Vater sprach. </w:t>
      </w:r>
      <w:r>
        <w:rPr>
          <w:i w:val="false"/>
          <w:iCs w:val="false"/>
        </w:rPr>
        <w:t xml:space="preserve">Für </w:t>
      </w:r>
      <w:r>
        <w:rPr>
          <w:i w:val="false"/>
          <w:iCs w:val="false"/>
        </w:rPr>
        <w:t>B</w:t>
      </w:r>
      <w:r>
        <w:rPr>
          <w:i w:val="false"/>
          <w:iCs w:val="false"/>
        </w:rPr>
        <w:t xml:space="preserve">arbeli kommt hinzu, dass die Maurers nicht die erste Familie war, bei denen sie verdingt war – zuvor lebte sie bei Hans Senn im Stallikertal, der sie als mutwillig und halsstarrig bezeichnete. </w:t>
      </w:r>
    </w:p>
    <w:p>
      <w:pPr>
        <w:pStyle w:val="Normal"/>
        <w:bidi w:val="0"/>
        <w:jc w:val="left"/>
        <w:rPr>
          <w:i w:val="false"/>
          <w:i w:val="false"/>
          <w:iCs w:val="false"/>
        </w:rPr>
      </w:pPr>
      <w:r>
        <w:rPr>
          <w:i w:val="false"/>
          <w:iCs w:val="false"/>
        </w:rPr>
        <w:t>B</w:t>
      </w:r>
      <w:r>
        <w:rPr>
          <w:i w:val="false"/>
          <w:iCs w:val="false"/>
        </w:rPr>
        <w:t xml:space="preserve">arbeli Senn wurde im Laut ihrer Gefangenschaft im Oetenbach ausgepeitscht. </w:t>
      </w:r>
      <w:r>
        <w:rPr>
          <w:i w:val="false"/>
          <w:iCs w:val="false"/>
        </w:rPr>
        <w:t xml:space="preserve">Ob Kinder, das hiess unter 14jährige, gefoltert werden dürfen war </w:t>
      </w:r>
      <w:r>
        <w:rPr>
          <w:i w:val="false"/>
          <w:iCs w:val="false"/>
        </w:rPr>
        <w:t>in der Frühen Neuzeit</w:t>
      </w:r>
      <w:r>
        <w:rPr>
          <w:i w:val="false"/>
          <w:iCs w:val="false"/>
        </w:rPr>
        <w:t xml:space="preserve"> umstritten. Wenn, da waren sich die meisten Rechtsgelehrten einige, dann durften sie nicht mit Hilfe der üblichen Foltermethoden befragt werden, sondern «nur» </w:t>
      </w:r>
      <w:r>
        <w:rPr>
          <w:i w:val="false"/>
          <w:iCs w:val="false"/>
        </w:rPr>
        <w:t>ausgepeitscht</w:t>
      </w:r>
      <w:r>
        <w:rPr>
          <w:i w:val="false"/>
          <w:iCs w:val="false"/>
        </w:rPr>
        <w:t xml:space="preserve"> werden. Da es sich aber bei der Hexerei um kein normales Verbrechen handelte, so argumentierte der Trier Weihbischof Peter Binsfeld bereits 1589, würden auch nicht die normalen Regeln gelten. Darum kam es in den meisten Kinderhexenprozessen zu Folterungen der Kinder. Auch bei anderen Verbrechen galt nicht überall die Grenze von</w:t>
      </w:r>
      <w:r>
        <w:rPr>
          <w:i w:val="false"/>
          <w:iCs w:val="false"/>
        </w:rPr>
        <w:t xml:space="preserve"> 14 Jahren. Im Gebiet des heutigen Kanton Zürich lag sie, das zeigen die Gerichtsakten, bei etwa 10 Jahren. Christian Knupp war knapp 11 Jahre alt, als er 1565 auf der Kyburg mit Hilfe der Streckfolter befragt wurde. Bei der Streckfolter wurde der Angeschuldigte an den nach hinten gestreckten Armen aufgehängt und je nach Grad der Folter mit Steinen verschiedenen Gewichts beschwert. Knupp überlebte die Folterung nicht. Auch bei der Todesstrafe lag die Grenze in Zürich nicht bei 14 Jahren wie sonst an den meisten Orten des Heiligen Römischen Reiches deutscher Nationen. 1696 wurde auf der Kyburg der 10jährige Rudeli Isler wegen Homosexualität enthauptet. </w:t>
      </w:r>
    </w:p>
    <w:p>
      <w:pPr>
        <w:pStyle w:val="Normal"/>
        <w:bidi w:val="0"/>
        <w:jc w:val="left"/>
        <w:rPr>
          <w:i w:val="false"/>
          <w:i w:val="false"/>
          <w:iCs w:val="false"/>
        </w:rPr>
      </w:pPr>
      <w:r>
        <w:rPr>
          <w:i w:val="false"/>
          <w:iCs w:val="false"/>
        </w:rPr>
        <w:t>Die Anklage gegen Barbeli Senn endet nicht mit einem Todesurteil</w:t>
      </w:r>
      <w:r>
        <w:rPr>
          <w:i w:val="false"/>
          <w:iCs w:val="false"/>
        </w:rPr>
        <w:t xml:space="preserve">. </w:t>
      </w:r>
      <w:r>
        <w:rPr>
          <w:i w:val="false"/>
          <w:iCs w:val="false"/>
          <w:u w:val="none"/>
        </w:rPr>
        <w:t xml:space="preserve">Prof. Dr. Susanna Burghartz vertritt die Ansicht, dass es für einen erfolgreichen Hexenprozess immer zwei Seiten braucht: Die Nachbarschaft, die </w:t>
      </w:r>
      <w:r>
        <w:rPr>
          <w:i w:val="false"/>
          <w:iCs w:val="false"/>
          <w:u w:val="none"/>
        </w:rPr>
        <w:t>unliebsame Mitmenschen loswerden will</w:t>
      </w:r>
      <w:r>
        <w:rPr>
          <w:i w:val="false"/>
          <w:iCs w:val="false"/>
          <w:u w:val="none"/>
        </w:rPr>
        <w:t xml:space="preserve"> und </w:t>
      </w:r>
      <w:r>
        <w:rPr>
          <w:i w:val="false"/>
          <w:iCs w:val="false"/>
          <w:u w:val="none"/>
        </w:rPr>
        <w:t>eine Herrschaft, die</w:t>
      </w:r>
      <w:r>
        <w:rPr>
          <w:i w:val="false"/>
          <w:iCs w:val="false"/>
          <w:u w:val="none"/>
        </w:rPr>
        <w:t xml:space="preserve"> daran interessiert ist den Prozess zu führen, </w:t>
      </w:r>
      <w:r>
        <w:rPr>
          <w:i w:val="false"/>
          <w:iCs w:val="false"/>
          <w:u w:val="none"/>
        </w:rPr>
        <w:t>z.B. weil sie ihre Macht demonstrieren will</w:t>
      </w:r>
      <w:r>
        <w:rPr>
          <w:i w:val="false"/>
          <w:iCs w:val="false"/>
          <w:u w:val="none"/>
        </w:rPr>
        <w:t xml:space="preserve">. Eine Denunziation alleine reichte selten für einen Prozess. Meistens kam es zu weiteren Befragungen im Umfeld, </w:t>
      </w:r>
      <w:r>
        <w:rPr>
          <w:i w:val="false"/>
          <w:iCs w:val="false"/>
          <w:u w:val="none"/>
        </w:rPr>
        <w:t xml:space="preserve">in der Nachbarschaft. Stimmten diese Aussagen nicht mit der Anschuldigung überein, wurde der Denunziation meist wenig Glauben geschenkt. </w:t>
      </w:r>
      <w:r>
        <w:rPr>
          <w:i w:val="false"/>
          <w:iCs w:val="false"/>
          <w:u w:val="none"/>
        </w:rPr>
        <w:t xml:space="preserve">Barbeli </w:t>
      </w:r>
      <w:r>
        <w:rPr>
          <w:i w:val="false"/>
          <w:iCs w:val="false"/>
          <w:u w:val="none"/>
        </w:rPr>
        <w:t>wird nicht von allen der Hexerei bezichtigt</w:t>
      </w:r>
      <w:r>
        <w:rPr>
          <w:i w:val="false"/>
          <w:iCs w:val="false"/>
          <w:u w:val="none"/>
        </w:rPr>
        <w:t xml:space="preserve">. Der 20jährige Heinrich Maurer gibt an, er habe, in Absprache mit der Pfarrersfrau, dem Barbeli Geld versprochen, wenn sie vor ihm Vögel mache, weil sie seiner Schwester von diesem Können erzählt habe. Er will auch die Vögel gesehen haben, die Barbeli daraufhin gemacht habe. </w:t>
      </w:r>
      <w:r>
        <w:rPr>
          <w:i w:val="false"/>
          <w:iCs w:val="false"/>
          <w:u w:val="none"/>
        </w:rPr>
        <w:t xml:space="preserve">Er beschuldigt sie </w:t>
      </w:r>
      <w:r>
        <w:rPr>
          <w:i w:val="false"/>
          <w:iCs w:val="false"/>
          <w:u w:val="none"/>
        </w:rPr>
        <w:t xml:space="preserve">demnach </w:t>
      </w:r>
      <w:r>
        <w:rPr>
          <w:i w:val="false"/>
          <w:iCs w:val="false"/>
          <w:u w:val="none"/>
        </w:rPr>
        <w:t>klar der Hexerei.</w:t>
      </w:r>
      <w:r>
        <w:rPr>
          <w:i w:val="false"/>
          <w:iCs w:val="false"/>
          <w:u w:val="none"/>
        </w:rPr>
        <w:t xml:space="preserve"> Der 58jährige Hans Senn aus dem Stallikertal </w:t>
      </w:r>
      <w:r>
        <w:rPr>
          <w:i w:val="false"/>
          <w:iCs w:val="false"/>
          <w:u w:val="none"/>
        </w:rPr>
        <w:t xml:space="preserve">wiederum spricht auch nicht positiv von ihr, </w:t>
      </w:r>
      <w:r>
        <w:rPr>
          <w:i w:val="false"/>
          <w:iCs w:val="false"/>
          <w:u w:val="none"/>
        </w:rPr>
        <w:t>gibt aber an, dass er sie nie hat</w:t>
      </w:r>
      <w:r>
        <w:rPr>
          <w:i w:val="false"/>
          <w:iCs w:val="false"/>
          <w:u w:val="none"/>
        </w:rPr>
        <w:t xml:space="preserve"> hexen </w:t>
      </w:r>
      <w:r>
        <w:rPr>
          <w:i w:val="false"/>
          <w:iCs w:val="false"/>
          <w:u w:val="none"/>
        </w:rPr>
        <w:t xml:space="preserve">sehen. Auch der Vater von Heinrich, </w:t>
      </w:r>
      <w:r>
        <w:rPr>
          <w:i w:val="false"/>
          <w:iCs w:val="false"/>
          <w:u w:val="none"/>
        </w:rPr>
        <w:t>der 46 Jährige Hans Maurer, bei welchem Barbeli seit 6 Wochen lebte, gibt an, er habe sie nie zaubern sehen.</w:t>
      </w:r>
    </w:p>
    <w:p>
      <w:pPr>
        <w:pStyle w:val="Normal"/>
        <w:bidi w:val="0"/>
        <w:jc w:val="left"/>
        <w:rPr>
          <w:i w:val="false"/>
          <w:i w:val="false"/>
          <w:iCs w:val="false"/>
        </w:rPr>
      </w:pPr>
      <w:r>
        <w:rPr>
          <w:i w:val="false"/>
          <w:iCs w:val="false"/>
          <w:u w:val="none"/>
        </w:rPr>
        <w:t xml:space="preserve">Die zweite Seite die es für einen erfolgreichen Hexenprozess braucht, ist </w:t>
      </w:r>
      <w:r>
        <w:rPr>
          <w:i w:val="false"/>
          <w:iCs w:val="false"/>
          <w:u w:val="none"/>
        </w:rPr>
        <w:t>d</w:t>
      </w:r>
      <w:r>
        <w:rPr>
          <w:i w:val="false"/>
          <w:iCs w:val="false"/>
          <w:u w:val="none"/>
        </w:rPr>
        <w:t xml:space="preserve">ie Obrigkeit. </w:t>
      </w:r>
      <w:r>
        <w:rPr>
          <w:i w:val="false"/>
          <w:iCs w:val="false"/>
          <w:u w:val="none"/>
        </w:rPr>
        <w:t xml:space="preserve">Dazu gehört auch die Kirche. Der 66jährige Pfarrer Amman will – so scheint es – einen Prozess. Er führt ein Verhör durch, zeigt in seinem Schreiben auch mit auf, aus welcher Gesellschaft das Mädchen kommt. Und er schickt Mädchen und Brief nicht wie üblich zum kleinen Rat, sondern zum Antistes </w:t>
      </w:r>
      <w:r>
        <w:rPr>
          <w:i w:val="false"/>
          <w:iCs w:val="false"/>
          <w:u w:val="none"/>
        </w:rPr>
        <w:t xml:space="preserve">den Vorsteher der Kirche. </w:t>
      </w:r>
      <w:r>
        <w:rPr>
          <w:i w:val="false"/>
          <w:iCs w:val="false"/>
          <w:u w:val="none"/>
        </w:rPr>
        <w:t xml:space="preserve">An </w:t>
      </w:r>
      <w:r>
        <w:rPr>
          <w:i w:val="false"/>
          <w:iCs w:val="false"/>
          <w:u w:val="none"/>
        </w:rPr>
        <w:t>Antistes Johann Ludwig Nüscheler, der als ausgesprochener Vertreter der Spätorthodoxie g</w:t>
      </w:r>
      <w:r>
        <w:rPr>
          <w:i w:val="false"/>
          <w:iCs w:val="false"/>
          <w:u w:val="none"/>
        </w:rPr>
        <w:t>i</w:t>
      </w:r>
      <w:r>
        <w:rPr>
          <w:i w:val="false"/>
          <w:iCs w:val="false"/>
          <w:u w:val="none"/>
        </w:rPr>
        <w:t>lt.</w:t>
      </w:r>
      <w:r>
        <w:rPr>
          <w:i w:val="false"/>
          <w:iCs w:val="false"/>
          <w:u w:val="none"/>
        </w:rPr>
        <w:t xml:space="preserve"> </w:t>
      </w:r>
      <w:r>
        <w:rPr>
          <w:i w:val="false"/>
          <w:iCs w:val="false"/>
          <w:u w:val="none"/>
        </w:rPr>
        <w:t>Nach einer Verhaftun</w:t>
      </w:r>
      <w:r>
        <w:rPr>
          <w:i w:val="false"/>
          <w:iCs w:val="false"/>
          <w:u w:val="none"/>
        </w:rPr>
        <w:t>g</w:t>
      </w:r>
      <w:r>
        <w:rPr>
          <w:i w:val="false"/>
          <w:iCs w:val="false"/>
          <w:u w:val="none"/>
        </w:rPr>
        <w:t xml:space="preserve"> war es aber üblich, dass der kleine Rat Geistliche damit</w:t>
      </w:r>
      <w:r>
        <w:rPr>
          <w:i w:val="false"/>
          <w:iCs w:val="false"/>
          <w:u w:val="none"/>
        </w:rPr>
        <w:t xml:space="preserve"> beauftragt</w:t>
      </w:r>
      <w:r>
        <w:rPr>
          <w:i w:val="false"/>
          <w:iCs w:val="false"/>
          <w:u w:val="none"/>
        </w:rPr>
        <w:t>e,</w:t>
      </w:r>
      <w:r>
        <w:rPr>
          <w:i w:val="false"/>
          <w:iCs w:val="false"/>
          <w:u w:val="none"/>
        </w:rPr>
        <w:t xml:space="preserve"> die</w:t>
      </w:r>
      <w:r>
        <w:rPr>
          <w:i w:val="false"/>
          <w:iCs w:val="false"/>
          <w:u w:val="none"/>
        </w:rPr>
        <w:t xml:space="preserve"> </w:t>
      </w:r>
      <w:r>
        <w:rPr>
          <w:i w:val="false"/>
          <w:iCs w:val="false"/>
          <w:u w:val="none"/>
        </w:rPr>
        <w:t>V</w:t>
      </w:r>
      <w:r>
        <w:rPr>
          <w:i w:val="false"/>
          <w:iCs w:val="false"/>
          <w:u w:val="none"/>
        </w:rPr>
        <w:t xml:space="preserve">erhafteten in den Zellen </w:t>
      </w:r>
      <w:r>
        <w:rPr>
          <w:i w:val="false"/>
          <w:iCs w:val="false"/>
          <w:u w:val="none"/>
        </w:rPr>
        <w:t xml:space="preserve">zu besuchen </w:t>
      </w:r>
      <w:r>
        <w:rPr>
          <w:i w:val="false"/>
          <w:iCs w:val="false"/>
          <w:u w:val="none"/>
        </w:rPr>
        <w:t xml:space="preserve">und dem Gericht </w:t>
      </w:r>
      <w:r>
        <w:rPr>
          <w:i w:val="false"/>
          <w:iCs w:val="false"/>
          <w:u w:val="none"/>
        </w:rPr>
        <w:t xml:space="preserve">darüber </w:t>
      </w:r>
      <w:r>
        <w:rPr>
          <w:i w:val="false"/>
          <w:iCs w:val="false"/>
          <w:u w:val="none"/>
        </w:rPr>
        <w:t>Bericht zu erstatten</w:t>
      </w:r>
      <w:r>
        <w:rPr>
          <w:i w:val="false"/>
          <w:iCs w:val="false"/>
          <w:u w:val="none"/>
        </w:rPr>
        <w:t xml:space="preserve">. </w:t>
      </w:r>
      <w:r>
        <w:rPr>
          <w:i w:val="false"/>
          <w:iCs w:val="false"/>
          <w:u w:val="none"/>
        </w:rPr>
        <w:t>Diese Berichte geben Auskunft über</w:t>
      </w:r>
      <w:r>
        <w:rPr>
          <w:i w:val="false"/>
          <w:iCs w:val="false"/>
          <w:u w:val="none"/>
        </w:rPr>
        <w:t xml:space="preserve"> den Bildungsstand der Angeklagten, das Wissen in Glaubensfragen aber auch ob </w:t>
      </w:r>
      <w:r>
        <w:rPr>
          <w:i w:val="false"/>
          <w:iCs w:val="false"/>
          <w:u w:val="none"/>
        </w:rPr>
        <w:t>sie gegenüber den Geistlichen</w:t>
      </w:r>
      <w:r>
        <w:rPr>
          <w:i w:val="false"/>
          <w:iCs w:val="false"/>
          <w:u w:val="none"/>
        </w:rPr>
        <w:t xml:space="preserve"> neue Aussagen gemacht </w:t>
      </w:r>
      <w:r>
        <w:rPr>
          <w:i w:val="false"/>
          <w:iCs w:val="false"/>
          <w:u w:val="none"/>
        </w:rPr>
        <w:t>haben</w:t>
      </w:r>
      <w:r>
        <w:rPr>
          <w:i w:val="false"/>
          <w:iCs w:val="false"/>
          <w:u w:val="none"/>
        </w:rPr>
        <w:t xml:space="preserve">. </w:t>
      </w:r>
      <w:r>
        <w:rPr>
          <w:i w:val="false"/>
          <w:iCs w:val="false"/>
          <w:u w:val="none"/>
        </w:rPr>
        <w:t xml:space="preserve">Barbeli Senn </w:t>
      </w:r>
      <w:r>
        <w:rPr>
          <w:i w:val="false"/>
          <w:iCs w:val="false"/>
          <w:u w:val="none"/>
        </w:rPr>
        <w:t xml:space="preserve">wurde von Josef Jacob Ulrich, der Pfarrer des Oetenbach, besucht. </w:t>
      </w:r>
      <w:r>
        <w:rPr>
          <w:i w:val="false"/>
          <w:iCs w:val="false"/>
          <w:u w:val="none"/>
        </w:rPr>
        <w:t xml:space="preserve">Ulrich war nicht nur Pfarrer, sondern gleichzeitig auch Professor für Ethik </w:t>
      </w:r>
      <w:r>
        <w:rPr>
          <w:i w:val="false"/>
          <w:iCs w:val="false"/>
          <w:u w:val="none"/>
        </w:rPr>
        <w:t>am Collegium Carolinum. Er schreibt, das arme Mädchen gebe an, «</w:t>
      </w:r>
      <w:r>
        <w:rPr>
          <w:i w:val="false"/>
          <w:iCs w:val="false"/>
          <w:u w:val="none"/>
        </w:rPr>
        <w:t xml:space="preserve">dass es niemahls weder Vögel gemacht, noch selbige machen könne; so auch glaüblichr, als wenn es das gegentheil praetendierte». </w:t>
      </w:r>
      <w:r>
        <w:rPr>
          <w:i w:val="false"/>
          <w:iCs w:val="false"/>
          <w:u w:val="none"/>
        </w:rPr>
        <w:t xml:space="preserve">Nachdem </w:t>
      </w:r>
      <w:r>
        <w:rPr>
          <w:i w:val="false"/>
          <w:iCs w:val="false"/>
          <w:u w:val="none"/>
        </w:rPr>
        <w:t xml:space="preserve">die Nachgänger, zwei Ratsherren die für die </w:t>
      </w:r>
      <w:r>
        <w:rPr>
          <w:i w:val="false"/>
          <w:iCs w:val="false"/>
          <w:u w:val="none"/>
        </w:rPr>
        <w:t xml:space="preserve">Befragung in Gerichtsprozessen zuständig waren, </w:t>
      </w:r>
      <w:r>
        <w:rPr>
          <w:i w:val="false"/>
          <w:iCs w:val="false"/>
          <w:u w:val="none"/>
        </w:rPr>
        <w:t>ihr nach dem Verhör</w:t>
      </w:r>
      <w:r>
        <w:rPr>
          <w:i w:val="false"/>
          <w:iCs w:val="false"/>
          <w:u w:val="none"/>
        </w:rPr>
        <w:t xml:space="preserve"> «freündt-ernstlich» zu</w:t>
      </w:r>
      <w:r>
        <w:rPr>
          <w:i w:val="false"/>
          <w:iCs w:val="false"/>
          <w:u w:val="none"/>
        </w:rPr>
        <w:t xml:space="preserve">gesprochen hatten </w:t>
      </w:r>
      <w:r>
        <w:rPr>
          <w:i w:val="false"/>
          <w:iCs w:val="false"/>
          <w:u w:val="none"/>
        </w:rPr>
        <w:t xml:space="preserve">und </w:t>
      </w:r>
      <w:r>
        <w:rPr>
          <w:i w:val="false"/>
          <w:iCs w:val="false"/>
          <w:u w:val="none"/>
        </w:rPr>
        <w:t>aufgezeigt</w:t>
      </w:r>
      <w:r>
        <w:rPr>
          <w:i w:val="false"/>
          <w:iCs w:val="false"/>
          <w:u w:val="none"/>
        </w:rPr>
        <w:t>, dass das Zaubern von Vögeln nur eine Einbildung ist,</w:t>
      </w:r>
      <w:r>
        <w:rPr>
          <w:i w:val="false"/>
          <w:iCs w:val="false"/>
          <w:u w:val="none"/>
        </w:rPr>
        <w:t xml:space="preserve"> hatte </w:t>
      </w:r>
      <w:r>
        <w:rPr>
          <w:i w:val="false"/>
          <w:iCs w:val="false"/>
          <w:u w:val="none"/>
        </w:rPr>
        <w:t>sie offensichtlich</w:t>
      </w:r>
      <w:r>
        <w:rPr>
          <w:i w:val="false"/>
          <w:iCs w:val="false"/>
          <w:u w:val="none"/>
        </w:rPr>
        <w:t xml:space="preserve"> die Ansicht über ihre Fähigkeiten geändert. </w:t>
      </w:r>
      <w:r>
        <w:rPr>
          <w:i w:val="false"/>
          <w:iCs w:val="false"/>
          <w:u w:val="none"/>
        </w:rPr>
        <w:t>D</w:t>
      </w:r>
      <w:r>
        <w:rPr>
          <w:i w:val="false"/>
          <w:iCs w:val="false"/>
          <w:u w:val="none"/>
        </w:rPr>
        <w:t xml:space="preserve">er Pfarrer </w:t>
      </w:r>
      <w:r>
        <w:rPr>
          <w:i w:val="false"/>
          <w:iCs w:val="false"/>
          <w:u w:val="none"/>
        </w:rPr>
        <w:t>hielt die erste</w:t>
      </w:r>
      <w:r>
        <w:rPr>
          <w:i w:val="false"/>
          <w:iCs w:val="false"/>
          <w:u w:val="none"/>
        </w:rPr>
        <w:t>n</w:t>
      </w:r>
      <w:r>
        <w:rPr>
          <w:i w:val="false"/>
          <w:iCs w:val="false"/>
          <w:u w:val="none"/>
        </w:rPr>
        <w:t xml:space="preserve"> Aussage</w:t>
      </w:r>
      <w:r>
        <w:rPr>
          <w:i w:val="false"/>
          <w:iCs w:val="false"/>
          <w:u w:val="none"/>
        </w:rPr>
        <w:t>n</w:t>
      </w:r>
      <w:r>
        <w:rPr>
          <w:i w:val="false"/>
          <w:iCs w:val="false"/>
          <w:u w:val="none"/>
        </w:rPr>
        <w:t xml:space="preserve"> für unglaubwürdig. Er fleht in seinem Schreiben beinahe um ein mildes Urteil für das mitleidenswürdige Kind und er widerspricht </w:t>
      </w:r>
      <w:r>
        <w:rPr>
          <w:i w:val="false"/>
          <w:iCs w:val="false"/>
          <w:u w:val="none"/>
        </w:rPr>
        <w:t>dem Pfarrer Amman der behauptete Barbeli «</w:t>
      </w:r>
      <w:r>
        <w:rPr>
          <w:i w:val="false"/>
          <w:iCs w:val="false"/>
          <w:u w:val="none"/>
        </w:rPr>
        <w:t xml:space="preserve">kann </w:t>
      </w:r>
      <w:r>
        <w:rPr>
          <w:i w:val="false"/>
          <w:iCs w:val="false"/>
          <w:u w:val="none"/>
        </w:rPr>
        <w:t>(...)</w:t>
      </w:r>
      <w:r>
        <w:rPr>
          <w:i w:val="false"/>
          <w:iCs w:val="false"/>
          <w:u w:val="none"/>
        </w:rPr>
        <w:t xml:space="preserve"> schöne Bäte</w:t>
      </w:r>
      <w:r>
        <w:rPr>
          <w:i w:val="false"/>
          <w:iCs w:val="false"/>
          <w:u w:val="none"/>
        </w:rPr>
        <w:t>n</w:t>
      </w:r>
      <w:r>
        <w:rPr>
          <w:i w:val="false"/>
          <w:iCs w:val="false"/>
          <w:u w:val="none"/>
        </w:rPr>
        <w:t xml:space="preserve"> und Qua</w:t>
      </w:r>
      <w:r>
        <w:rPr>
          <w:i w:val="false"/>
          <w:iCs w:val="false"/>
          <w:u w:val="none"/>
        </w:rPr>
        <w:t>s</w:t>
      </w:r>
      <w:r>
        <w:rPr>
          <w:i w:val="false"/>
          <w:iCs w:val="false"/>
          <w:u w:val="none"/>
        </w:rPr>
        <w:t>tiunc</w:t>
      </w:r>
      <w:r>
        <w:rPr>
          <w:i w:val="false"/>
          <w:iCs w:val="false"/>
          <w:u w:val="none"/>
        </w:rPr>
        <w:t>u</w:t>
      </w:r>
      <w:r>
        <w:rPr>
          <w:i w:val="false"/>
          <w:iCs w:val="false"/>
          <w:u w:val="none"/>
        </w:rPr>
        <w:t>las»</w:t>
      </w:r>
      <w:r>
        <w:rPr>
          <w:i w:val="false"/>
          <w:iCs w:val="false"/>
          <w:u w:val="none"/>
        </w:rPr>
        <w:t xml:space="preserve"> – Fragen und Antworten aus dem Katechismus die in der Kinderlehre vermittelt wurden und die Kinder auswendig zu lernen hatten. Gemäss dem 38jährigen Oetenbachpfarrer kann Barb</w:t>
      </w:r>
      <w:r>
        <w:rPr>
          <w:i w:val="false"/>
          <w:iCs w:val="false"/>
          <w:u w:val="none"/>
        </w:rPr>
        <w:t>e</w:t>
      </w:r>
      <w:r>
        <w:rPr>
          <w:i w:val="false"/>
          <w:iCs w:val="false"/>
          <w:u w:val="none"/>
        </w:rPr>
        <w:t xml:space="preserve">li weder lesen noch schreiben, </w:t>
      </w:r>
      <w:r>
        <w:rPr>
          <w:i w:val="false"/>
          <w:iCs w:val="false"/>
          <w:u w:val="none"/>
        </w:rPr>
        <w:t>noch die</w:t>
      </w:r>
      <w:r>
        <w:rPr>
          <w:i w:val="false"/>
          <w:iCs w:val="false"/>
          <w:u w:val="none"/>
        </w:rPr>
        <w:t>se</w:t>
      </w:r>
      <w:r>
        <w:rPr>
          <w:i w:val="false"/>
          <w:iCs w:val="false"/>
          <w:u w:val="none"/>
        </w:rPr>
        <w:t xml:space="preserve"> «fragstücklein». </w:t>
      </w:r>
      <w:r>
        <w:rPr>
          <w:i w:val="false"/>
          <w:iCs w:val="false"/>
          <w:u w:val="none"/>
        </w:rPr>
        <w:t xml:space="preserve">Wohl </w:t>
      </w:r>
      <w:r>
        <w:rPr>
          <w:i w:val="false"/>
          <w:iCs w:val="false"/>
          <w:u w:val="none"/>
        </w:rPr>
        <w:t xml:space="preserve">kenne </w:t>
      </w:r>
      <w:r>
        <w:rPr>
          <w:i w:val="false"/>
          <w:iCs w:val="false"/>
          <w:u w:val="none"/>
        </w:rPr>
        <w:t>es ein paar</w:t>
      </w:r>
      <w:r>
        <w:rPr>
          <w:i w:val="false"/>
          <w:iCs w:val="false"/>
          <w:u w:val="none"/>
        </w:rPr>
        <w:t xml:space="preserve"> Gebete, doch «</w:t>
      </w:r>
      <w:r>
        <w:rPr>
          <w:i w:val="false"/>
          <w:iCs w:val="false"/>
          <w:u w:val="none"/>
        </w:rPr>
        <w:t xml:space="preserve">allein erzehlt solche so verkehrs und Rothwelsch, dass es </w:t>
      </w:r>
      <w:r>
        <w:rPr>
          <w:i w:val="false"/>
          <w:iCs w:val="false"/>
          <w:u w:val="none"/>
        </w:rPr>
        <w:t xml:space="preserve">zu erbarmen und ohne schreken kaum anzuhören» </w:t>
      </w:r>
      <w:r>
        <w:rPr>
          <w:i w:val="false"/>
          <w:iCs w:val="false"/>
          <w:u w:val="none"/>
        </w:rPr>
        <w:t>ist</w:t>
      </w:r>
      <w:r>
        <w:rPr>
          <w:i w:val="false"/>
          <w:iCs w:val="false"/>
          <w:u w:val="none"/>
        </w:rPr>
        <w:t xml:space="preserve">. </w:t>
      </w:r>
      <w:r>
        <w:rPr>
          <w:i w:val="false"/>
          <w:iCs w:val="false"/>
          <w:u w:val="none"/>
        </w:rPr>
        <w:t>Dass es die Gebete in Rotwelsch spricht, dem Jargon der Fahrenden, Bettler und Gauner, spricht eher dafür, dass es sie bei den Eltern gelernt hat und nicht bei den Bauern zu welchen Amman sie verdingt hatte. Dass das Kind in allen Dingen so ungebildet war stellt</w:t>
      </w:r>
      <w:r>
        <w:rPr>
          <w:i w:val="false"/>
          <w:iCs w:val="false"/>
          <w:u w:val="none"/>
        </w:rPr>
        <w:t>e Amman</w:t>
      </w:r>
      <w:r>
        <w:rPr>
          <w:i w:val="false"/>
          <w:iCs w:val="false"/>
          <w:u w:val="none"/>
        </w:rPr>
        <w:t xml:space="preserve">, der für ihre Erziehung verantwortlich gewesen wäre, ein schlechtes Zeugnis aus. </w:t>
      </w:r>
      <w:r>
        <w:rPr>
          <w:i w:val="false"/>
          <w:iCs w:val="false"/>
          <w:u w:val="none"/>
        </w:rPr>
        <w:t xml:space="preserve">Wir sehen in diesem Fall einen sehr unterschiedlichen Umgang der beiden Theologen mit dem Hexerei-Verdacht, der Blick der beiden auf Barbeli Senn unterscheidet sich stark. </w:t>
      </w:r>
    </w:p>
    <w:p>
      <w:pPr>
        <w:pStyle w:val="Normal"/>
        <w:bidi w:val="0"/>
        <w:jc w:val="left"/>
        <w:rPr>
          <w:i w:val="false"/>
          <w:i w:val="false"/>
          <w:iCs w:val="false"/>
        </w:rPr>
      </w:pPr>
      <w:r>
        <w:rPr>
          <w:i w:val="false"/>
          <w:iCs w:val="false"/>
          <w:u w:val="none"/>
        </w:rPr>
        <w:t>D</w:t>
      </w:r>
      <w:r>
        <w:rPr>
          <w:i w:val="false"/>
          <w:iCs w:val="false"/>
          <w:u w:val="none"/>
        </w:rPr>
        <w:t xml:space="preserve">er kleine Rat, der für die </w:t>
      </w:r>
      <w:r>
        <w:rPr>
          <w:i w:val="false"/>
          <w:iCs w:val="false"/>
          <w:u w:val="none"/>
        </w:rPr>
        <w:t>Rechtsprechung</w:t>
      </w:r>
      <w:r>
        <w:rPr>
          <w:i w:val="false"/>
          <w:iCs w:val="false"/>
          <w:u w:val="none"/>
        </w:rPr>
        <w:t xml:space="preserve"> bei Kapitalverbrechen zuständig war, </w:t>
      </w:r>
      <w:r>
        <w:rPr>
          <w:i w:val="false"/>
          <w:iCs w:val="false"/>
          <w:u w:val="none"/>
        </w:rPr>
        <w:t xml:space="preserve">vertritt ebenfalls die Auffassung von Ulrich. Das Mädchen wird für einige Zeit im Oetenbach unter Ulrichs Aufsicht behalten, damit es unterrichtet werden kann. </w:t>
      </w:r>
    </w:p>
    <w:p>
      <w:pPr>
        <w:pStyle w:val="Normal"/>
        <w:bidi w:val="0"/>
        <w:jc w:val="left"/>
        <w:rPr>
          <w:i w:val="false"/>
          <w:i w:val="false"/>
          <w:iCs w:val="false"/>
        </w:rPr>
      </w:pPr>
      <w:r>
        <w:rPr>
          <w:i w:val="false"/>
          <w:iCs w:val="false"/>
          <w:u w:val="none"/>
        </w:rPr>
        <w:t xml:space="preserve">Nun könnte man denken, dass der Prozess des Barbeli Senn so glimpflich endete, habe nur damit zu tun, dass er 1721 spielt und nicht 1621, </w:t>
      </w:r>
      <w:r>
        <w:rPr>
          <w:i w:val="false"/>
          <w:iCs w:val="false"/>
          <w:u w:val="none"/>
        </w:rPr>
        <w:t>wegen</w:t>
      </w:r>
      <w:r>
        <w:rPr>
          <w:i w:val="false"/>
          <w:iCs w:val="false"/>
          <w:u w:val="none"/>
        </w:rPr>
        <w:t xml:space="preserve"> der Entzauberung der Welt wie sie Max Weber postuliert, der zunehmenden </w:t>
      </w:r>
      <w:r>
        <w:rPr>
          <w:i w:val="false"/>
          <w:iCs w:val="false"/>
          <w:u w:val="none"/>
        </w:rPr>
        <w:t>Intellektualisierung und Rationalisierung</w:t>
      </w:r>
      <w:r>
        <w:rPr>
          <w:i w:val="false"/>
          <w:iCs w:val="false"/>
          <w:u w:val="none"/>
        </w:rPr>
        <w:t xml:space="preserve">. </w:t>
      </w:r>
      <w:r>
        <w:rPr>
          <w:i w:val="false"/>
          <w:iCs w:val="false"/>
          <w:u w:val="none"/>
        </w:rPr>
        <w:t xml:space="preserve"> </w:t>
      </w:r>
      <w:r>
        <w:rPr>
          <w:i w:val="false"/>
          <w:iCs w:val="false"/>
          <w:u w:val="none"/>
        </w:rPr>
        <w:t>Dem kann entegegen gehalten werden, dass es</w:t>
      </w:r>
      <w:r>
        <w:rPr>
          <w:i w:val="false"/>
          <w:iCs w:val="false"/>
          <w:u w:val="none"/>
        </w:rPr>
        <w:t xml:space="preserve"> 1721 – zeitgleich mit dem Prozess gegen Barbeli Senn – im Tessin zu einer letzten Serie von Hinrichtungen </w:t>
      </w:r>
      <w:r>
        <w:rPr>
          <w:i w:val="false"/>
          <w:iCs w:val="false"/>
          <w:u w:val="none"/>
        </w:rPr>
        <w:t>kam</w:t>
      </w:r>
      <w:r>
        <w:rPr>
          <w:i w:val="false"/>
          <w:iCs w:val="false"/>
          <w:u w:val="none"/>
        </w:rPr>
        <w:t xml:space="preserve">, In Zug kam es 1737 zu einer Hexenpanik die sechs Frauen das Leben kostete. Im Kanton Graubünden verstarb 1779 Ursula Padrutt in der Haft an den Folgen der Folter und auch in Zürich hatte es 20 Jahre vor dem Barbeli noch eine letzte Verfolgungswelle gegeben – die Wasterkinger Hexenprozesse bei welchen 8 Personen hingerichtet wurde, das jüngste Opfer war erst 24. </w:t>
      </w:r>
      <w:r>
        <w:rPr>
          <w:i w:val="false"/>
          <w:iCs w:val="false"/>
          <w:u w:val="none"/>
        </w:rPr>
        <w:t>Auch</w:t>
      </w:r>
      <w:r>
        <w:rPr>
          <w:i w:val="false"/>
          <w:iCs w:val="false"/>
          <w:u w:val="none"/>
        </w:rPr>
        <w:t xml:space="preserve"> anzunehmen, dass </w:t>
      </w:r>
      <w:r>
        <w:rPr>
          <w:i w:val="false"/>
          <w:iCs w:val="false"/>
          <w:u w:val="none"/>
        </w:rPr>
        <w:t xml:space="preserve">es im 18. Jahrhundert nur noch in der Schweiz Hexenprozesse gegeben hätte, wären falsch: In Ungarn erreichte die Verfolgung ihren Höhepunkt zwischen 1710 und 1760 und dauerte bis 1777. Und auch anderenorts gab es immer wieder einzelne Prozesse. Auffällig ist, dass ein sehr grosser Anteil dieser Prozesse Kinderhexenprozesse waren – die letzte Hinrichtung in Bayer 1756, in Deutschland 1775 oder der Schweiz – und auch in Europa – 1782, sie alle wurden durch die Anschuldigung von Kindern ausgelöst, die ohne die Selbstreflexion </w:t>
      </w:r>
      <w:r>
        <w:rPr>
          <w:i w:val="false"/>
          <w:iCs w:val="false"/>
          <w:u w:val="none"/>
        </w:rPr>
        <w:t>von</w:t>
      </w:r>
      <w:r>
        <w:rPr>
          <w:i w:val="false"/>
          <w:iCs w:val="false"/>
          <w:u w:val="none"/>
        </w:rPr>
        <w:t xml:space="preserve"> Erwachsene</w:t>
      </w:r>
      <w:r>
        <w:rPr>
          <w:i w:val="false"/>
          <w:iCs w:val="false"/>
          <w:u w:val="none"/>
        </w:rPr>
        <w:t>n</w:t>
      </w:r>
      <w:r>
        <w:rPr>
          <w:i w:val="false"/>
          <w:iCs w:val="false"/>
          <w:u w:val="none"/>
        </w:rPr>
        <w:t>, welche die Konsequenzen ihres Tuns besser überblicken k</w:t>
      </w:r>
      <w:r>
        <w:rPr>
          <w:i w:val="false"/>
          <w:iCs w:val="false"/>
          <w:u w:val="none"/>
        </w:rPr>
        <w:t>önnen</w:t>
      </w:r>
      <w:r>
        <w:rPr>
          <w:i w:val="false"/>
          <w:iCs w:val="false"/>
          <w:u w:val="none"/>
        </w:rPr>
        <w:t>, von ihren Phantasien erzählten. Um es mit Behringer zu sagen: «Am Ende der Geschichte der Hexenverfolgung blieben die Kinderhexenprozesse übrig.» Der Fall Barbeli Senn ist einer von ihnen, einer, der zum Glück glimpflich ausging.</w:t>
      </w:r>
    </w:p>
    <w:p>
      <w:pPr>
        <w:pStyle w:val="Normal"/>
        <w:bidi w:val="0"/>
        <w:jc w:val="left"/>
        <w:rPr>
          <w:i w:val="false"/>
          <w:i w:val="false"/>
          <w:iCs w:val="false"/>
          <w:u w:val="none"/>
        </w:rPr>
      </w:pPr>
      <w:r>
        <w:rPr>
          <w:i w:val="false"/>
          <w:iCs w:val="false"/>
          <w:u w:val="none"/>
        </w:rPr>
      </w:r>
    </w:p>
    <w:p>
      <w:pPr>
        <w:pStyle w:val="Normal"/>
        <w:bidi w:val="0"/>
        <w:ind w:left="283" w:right="0" w:hanging="283"/>
        <w:jc w:val="left"/>
        <w:rPr>
          <w:i w:val="false"/>
          <w:i w:val="false"/>
          <w:iCs w:val="false"/>
        </w:rPr>
      </w:pPr>
      <w:r>
        <w:rPr>
          <w:i w:val="false"/>
          <w:iCs w:val="false"/>
          <w:u w:val="none"/>
        </w:rPr>
        <w:t>B</w:t>
      </w:r>
      <w:r>
        <w:rPr>
          <w:i w:val="false"/>
          <w:iCs w:val="false"/>
          <w:u w:val="none"/>
        </w:rPr>
        <w:t>ehringer, Wolfgang. Kinderhexenprozesse. Zur Rolle von Kindern in der Geschichte der Hexenverfolgung. In: Zeitschrift für Hostorische Forschung, Bd. 16, Berlin, 1989. S. 31-47.</w:t>
      </w:r>
    </w:p>
    <w:p>
      <w:pPr>
        <w:pStyle w:val="Normal"/>
        <w:bidi w:val="0"/>
        <w:ind w:left="283" w:right="0" w:hanging="283"/>
        <w:jc w:val="left"/>
        <w:rPr>
          <w:i w:val="false"/>
          <w:i w:val="false"/>
          <w:iCs w:val="false"/>
          <w:u w:val="none"/>
        </w:rPr>
      </w:pPr>
      <w:r>
        <w:rPr>
          <w:i w:val="false"/>
          <w:iCs w:val="false"/>
          <w:u w:val="none"/>
        </w:rPr>
        <w:t xml:space="preserve">Zürcher, Meret. Die Behandlung jugendlicher Delinquenten im alten Zürich (1400–1798). Winterthur, 1960. </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default"/>
  </w:font>
  <w:font w:name="Liberation Sans">
    <w:altName w:val="Arial"/>
    <w:charset w:val="01"/>
    <w:family w:val="swiss"/>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oto Serif CJK SC" w:cs="Noto Sans Devanagari"/>
        <w:kern w:val="2"/>
        <w:sz w:val="24"/>
        <w:szCs w:val="24"/>
        <w:lang w:val="de-CH"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ans" w:hAnsi="Liberation Sans" w:eastAsia="Noto Serif CJK SC" w:cs="Noto Sans Devanagari"/>
      <w:color w:val="auto"/>
      <w:kern w:val="2"/>
      <w:sz w:val="24"/>
      <w:szCs w:val="24"/>
      <w:lang w:val="de-CH" w:eastAsia="zh-CN" w:bidi="hi-IN"/>
    </w:rPr>
  </w:style>
  <w:style w:type="paragraph" w:styleId="Berschrift">
    <w:name w:val="Überschrift"/>
    <w:basedOn w:val="Normal"/>
    <w:next w:val="Textkrper"/>
    <w:qFormat/>
    <w:pPr>
      <w:keepNext w:val="true"/>
      <w:spacing w:before="240" w:after="120"/>
    </w:pPr>
    <w:rPr>
      <w:rFonts w:ascii="Liberation Sans" w:hAnsi="Liberation Sans" w:eastAsia="Noto Sans CJK SC" w:cs="Noto Sans Devanagari"/>
      <w:sz w:val="28"/>
      <w:szCs w:val="28"/>
    </w:rPr>
  </w:style>
  <w:style w:type="paragraph" w:styleId="Textkrper">
    <w:name w:val="Body Text"/>
    <w:basedOn w:val="Normal"/>
    <w:pPr>
      <w:spacing w:lineRule="auto" w:line="276" w:before="0" w:after="140"/>
    </w:pPr>
    <w:rPr/>
  </w:style>
  <w:style w:type="paragraph" w:styleId="Aufzhlung">
    <w:name w:val="List"/>
    <w:basedOn w:val="Textkrper"/>
    <w:pPr/>
    <w:rPr>
      <w:rFonts w:ascii="Liberation Sans" w:hAnsi="Liberation Sans" w:cs="Noto Sans Devanagari"/>
    </w:rPr>
  </w:style>
  <w:style w:type="paragraph" w:styleId="Beschriftung">
    <w:name w:val="Caption"/>
    <w:basedOn w:val="Normal"/>
    <w:qFormat/>
    <w:pPr>
      <w:suppressLineNumbers/>
      <w:spacing w:before="120" w:after="120"/>
    </w:pPr>
    <w:rPr>
      <w:rFonts w:ascii="Liberation Sans" w:hAnsi="Liberation Sans" w:cs="Noto Sans Devanagari"/>
      <w:i/>
      <w:iCs/>
      <w:sz w:val="24"/>
      <w:szCs w:val="24"/>
    </w:rPr>
  </w:style>
  <w:style w:type="paragraph" w:styleId="Verzeichnis">
    <w:name w:val="Verzeichnis"/>
    <w:basedOn w:val="Normal"/>
    <w:qFormat/>
    <w:pPr>
      <w:suppressLineNumbers/>
    </w:pPr>
    <w:rPr>
      <w:rFonts w:ascii="Liberation Sans" w:hAnsi="Liberation San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35</TotalTime>
  <Application>LibreOffice/7.3.7.2$Linux_X86_64 LibreOffice_project/30$Build-2</Application>
  <AppVersion>15.0000</AppVersion>
  <Pages>4</Pages>
  <Words>2203</Words>
  <Characters>12361</Characters>
  <CharactersWithSpaces>14581</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2023-10-05T22:05:17Z</dcterms:created>
  <dc:creator>Sylvie Matter</dc:creator>
  <dc:description/>
  <dc:language>de-CH</dc:language>
  <cp:lastModifiedBy>Sylvie Matter</cp:lastModifiedBy>
  <dcterms:modified xsi:type="dcterms:W3CDTF">2023-10-07T13:39:53Z</dcterms:modified>
  <cp:revision>6</cp:revision>
  <dc:subject/>
  <dc:title/>
</cp:coreProperties>
</file>